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56"/>
        </w:rPr>
        <w:t>Vandna Gupta</w:t>
      </w:r>
    </w:p>
    <w:p>
      <w:pPr>
        <w:spacing w:after="80"/>
        <w:jc w:val="center"/>
      </w:pPr>
      <w:r>
        <w:rPr>
          <w:rFonts w:ascii="Arial" w:hAnsi="Arial"/>
          <w:color w:val="404040"/>
          <w:sz w:val="22"/>
        </w:rPr>
        <w:t>Khurja, Uttar Pradesh, India | Website: vandna.manupal.dev</w:t>
      </w:r>
    </w:p>
    <w:p>
      <w:pPr>
        <w:spacing w:after="320"/>
        <w:jc w:val="center"/>
      </w:pPr>
      <w:r>
        <w:rPr>
          <w:rFonts w:ascii="Arial" w:hAnsi="Arial"/>
          <w:b/>
          <w:sz w:val="20"/>
        </w:rPr>
        <w:t xml:space="preserve">Email: </w:t>
      </w:r>
      <w:r>
        <w:rPr>
          <w:rFonts w:ascii="Arial" w:hAnsi="Arial"/>
          <w:color w:val="1F4E79"/>
          <w:sz w:val="20"/>
        </w:rPr>
        <w:t xml:space="preserve">vandnaa2230@gmail.com     </w:t>
      </w:r>
      <w:r>
        <w:rPr>
          <w:rFonts w:ascii="Arial" w:hAnsi="Arial"/>
          <w:b/>
          <w:sz w:val="20"/>
        </w:rPr>
        <w:t xml:space="preserve">LinkedIn: </w:t>
      </w:r>
      <w:r>
        <w:rPr>
          <w:rFonts w:ascii="Arial" w:hAnsi="Arial"/>
          <w:color w:val="1F4E79"/>
          <w:sz w:val="20"/>
        </w:rPr>
        <w:t xml:space="preserve">linkedin.com/in/vandna-gupta-6a579a351     </w:t>
      </w:r>
      <w:r>
        <w:rPr>
          <w:rFonts w:ascii="Arial" w:hAnsi="Arial"/>
          <w:b/>
          <w:sz w:val="20"/>
        </w:rPr>
        <w:t xml:space="preserve">GitHub: </w:t>
      </w:r>
      <w:r>
        <w:rPr>
          <w:rFonts w:ascii="Arial" w:hAnsi="Arial"/>
          <w:color w:val="1F4E79"/>
          <w:sz w:val="20"/>
        </w:rPr>
        <w:t>github.com/Vandna-22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Professional Profile</w:t>
      </w:r>
    </w:p>
    <w:p>
      <w:pPr>
        <w:spacing w:after="200"/>
      </w:pPr>
      <w:r>
        <w:rPr>
          <w:rFonts w:ascii="Arial" w:hAnsi="Arial"/>
          <w:sz w:val="20"/>
        </w:rPr>
        <w:t>M.Sc. Bioinformatics graduate (Chaudhary Charan Singh University, Completed with 86.25%) with an active research internship at ICMR-National Institute of Cancer Prevention &amp; Research (NICPR), Noida. Specializes in end-to-end metatranscriptomics pipeline development, functional biomarker profiling using the KEGG database, NGS-based microbiome analysis, and multi-omics data interpretation in oral cancer research. Distinguished by advanced proficiency in frontier AI research tools — Claude AI (Anthropic), NeodiSC, AntiGravity AI, OpenCode AI, and Gemini CLI — enabling accelerated hypothesis generation, literature synthesis, and bioinformatics workflow design at a level uncommon among early-career researchers. Also experienced in molecular docking and protein-ligand simulation using AutoDock and AutoDock Vina. Certified in Advanced Microsoft Excel.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Key Achievements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University Gold Medalist in M.Sc. Bioinformatics (86.25%), Chaudhary Charan Singh University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Co-authored a systematic review and meta-analysis on oral microbiome biomarkers in OSCC — manuscript submitted to Elsevier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Built a complete end-to-end metatranscriptomics pipeline (SRA Toolkit → FastQC → Trimmomatic → Bowtie2 → Kraken2/Bracken → STAR/HISAT2 → DESeq2/edgeR → KEGG) from scratch during internship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One of very few early-career bioinformaticians integrating frontier AI tools (Claude AI, Gemini CLI, OpenCode) into active cancer genomics research workflows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Developed an automated Python pipeline for extraction of BioSample IDs from research literature PDFs to streamline data collection for meta-analysis studies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Certified in Advanced Microsoft Excel (2025) for data analysis and reporting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Completed (86.25%)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M.Sc. Bioinformatics (Gold Medalist)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CCSU, Meerut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Completed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B.Sc. Biotechnology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CCSU, Meerut</w:t>
            </w:r>
          </w:p>
        </w:tc>
      </w:tr>
    </w:tbl>
    <w:p>
      <w:pPr>
        <w:spacing w:after="200"/>
      </w:pPr>
      <w:r>
        <w:rPr>
          <w:rFonts w:ascii="Arial" w:hAnsi="Arial"/>
          <w:b/>
          <w:sz w:val="20"/>
        </w:rPr>
        <w:t xml:space="preserve">Relevant Coursework: </w:t>
      </w:r>
      <w:r>
        <w:rPr>
          <w:rFonts w:ascii="Arial" w:hAnsi="Arial"/>
          <w:sz w:val="20"/>
        </w:rPr>
        <w:t>Genomics, Proteomics, Bioinformatics Algorithms, Molecular Biology, Computational Biology, Biostatistics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Research &amp; Internship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2025 – Present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Bioinformatics Research Trainee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ICMR-NICPR, Noida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/>
          <w:color w:val="666666"/>
          <w:sz w:val="20"/>
        </w:rPr>
        <w:t>Supervisor: Dr. Pramod Kumar (Scientist-D), Division of Molecular Biology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Main responsibilities and contributions: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Designed and executed a complete metatranscriptomics pipeline for microbial community profiling from NCBI BioProject sequencing data, covering SRA retrieval, QC, host removal, taxonomic classification, RNA-seq alignment, differential expression, and KEGG functional interpretation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Conducted functional profiling of cancer-associated biomarkers using the KEGG database to map metabolic and signaling pathways implicated in OSCC progression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Analyzed NGS-derived microbiome datasets from oral and other cancer cohorts using Linux-based bioinformatics workflows in R and Python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Applied statistical methods including Mann-Whitney and Kruskal-Wallis tests for differential abundance testing and multi-group comparisons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Leveraged Claude AI (Anthropic) for AI-assisted literature review, rapid hypothesis generation, research documentation, and manuscript preparation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Utilized NeodiSC and AntiGravity AI tools for specialized bioinformatics analysis and biomarker discovery workflows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Generated publication-quality data visualizations — violin plots, boxplots, heatmaps — using ggplot2 and ComplexHeatmap in R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Developed Python automation tools: PDF classifier (smoking vs. non-smoking papers), BioSample ID extraction pipeline from literature PDFs, AI-powered PubMed screening app for systematic review triage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2023 (May – Aug)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Summer Research Trainee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Bebymil International Pvt. Ltd.</w:t>
            </w:r>
          </w:p>
        </w:tc>
      </w:tr>
    </w:tbl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Carried out summer research training on "Basic Techniques of Molecular and Microbiology"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Gained practical laboratory experience in core molecular biology protocols and microbiological techniques under professional supervision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Research Projects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Oral Microbiome Meta-Analysis in OSCC — Systematic Review (Manuscript Submitted)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Co-authored systematic review analyzing oral microbiome composition across global OSCC patient cohorts; identified conserved biomarker taxa and assessed confounding impact of age and geographic variation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AI-accelerated synthesis of 50+ peer-reviewed studies using Claude AI and OpenCode AI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Literature Mining Pipeline for Oral Host Microbiome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Developed an automated pipeline for targeted paper searching on meta-transcriptomics in the oral host microbiome.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Expanded the literature extraction framework to systematically identify and categorize papers related to OPMD and OSCC within metagenomic studies.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Metagenomics Pipeline — 16S rRNA Amplicon Analysis (QIIME2 + DADA2)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Processed raw 16S rRNA amplicon sequencing data through a complete QIIME2 pipeline: paired-end import → DADA2 denoising → ASV table generation → taxonomic classification using SILVA database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Generated diversity analyses (alpha and beta diversity), taxonomic bar plots (phylum to species level), and differential abundance outputs to characterize oral microbial community shifts in OSCC vs. healthy controls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Produced publication-quality taxonomic bar plots and PCoA plots to visualize community composition across patient cohorts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Functional Biomarker Profiling via KEGG Database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Mapped cancer-associated microbial taxa to KEGG metabolic and signaling pathways using DADA2 ASV pipeline, 16S rRNA profiling, and QIIME2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Integrated Claude AI-assisted annotation with statistical outputs for accelerated pathway-level biological interpretation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Molecular Docking &amp; Simulation — AutoDock / AutoDock Vina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Performed protein-ligand molecular docking using AutoDock and AutoDock Vina to evaluate binding affinities and interaction modes of candidate bioactive compounds against cancer-relevant target proteins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Prepared receptor and ligand structures (PDB processing, energy minimization), defined grid boxes, and analyzed docking poses using PyMOL and Discovery Studio Visualizer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Applied GROMACS and NAMD for molecular dynamics simulations to assess stability of docked complexes over simulation trajectories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Metabolomics ML Classification Pipeline — Control vs. OSCC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Developed ML classification pipeline using XGBoost, Random Forest, SVM, and Neural Networks (scikit-learn, TensorFlow) for metabolomics data analysis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Microbiome Statistical Analysis &amp; Visualization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Performed differential abundance testing of microbial taxa in OSCC vs. healthy controls; reproduced diverging orange-blue heatmap of cellular biomarkers in R (ComplexHeatmap) and Python (seaborn/matplotlib)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OS &amp; Shell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Linux (Ubuntu) — command line, shell scripting, pipeline execution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Languages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Python, R, Bash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Metatranscriptomics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SRA Toolkit, FastQC, Trimmomatic, Bowtie2, Kraken2, Bracken, STAR, HISAT2, DESeq2, edgeR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Metagenomics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QIIME2, DADA2, 16S rRNA amplicon analysis, taxonomic bar plots, alpha/beta diversity, SILVA database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Molecular Docking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AutoDock, AutoDock Vina, PyMOL, Discovery Studio Visualizer — protein-ligand docking &amp; binding affinity analysis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MD Simulations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GROMACS, NAMD — molecular dynamics simulation, trajectory analysis, complex stability assessment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Machine Learning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XGBoost, Gradient Boosting, Random Forest, SVM, Neural Networks, Scikit-learn, TensorFlow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AI Research Tools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Claude AI (Anthropic), NeodiSC, AntiGravity AI, OpenCode AI, Gemini CLI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Databases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KEGG, NCBI, BioProject, ClinVar, SILVA, PDB, genomic databases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Visualisation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ggplot2, ComplexHeatmap, seaborn, matplotlib, QIIME2 plots, PyMOL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Data &amp; Reporting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Advanced Microsoft Excel (Certified), Jupyter Notebook, RStudio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Statistics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Mann-Whitney, Kruskal-Wallis, differential expression analysis, meta-analysis</w:t>
            </w:r>
          </w:p>
        </w:tc>
      </w:tr>
    </w:tbl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Certifications &amp; Training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Advanced Microsoft Excel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E-Certificate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2025–Present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Bioinformatics Research Internship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ICMR-NICPR, Noida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Basic Techniques of Molecular and Microbiology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Bebymil International Pvt. Ltd.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