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3DC13" w14:textId="24AC6B8C" w:rsidR="004C6D23" w:rsidRPr="00282FD9" w:rsidRDefault="004C6D23" w:rsidP="004C6D23">
      <w:pPr>
        <w:rPr>
          <w:b/>
          <w:bCs/>
          <w:i/>
          <w:iCs/>
          <w:sz w:val="28"/>
          <w:szCs w:val="28"/>
        </w:rPr>
      </w:pPr>
      <w:r w:rsidRPr="00D70776">
        <w:rPr>
          <w:sz w:val="28"/>
          <w:szCs w:val="28"/>
        </w:rPr>
        <w:t>[Slide 2]</w:t>
      </w:r>
      <w:r>
        <w:rPr>
          <w:b/>
          <w:bCs/>
          <w:sz w:val="28"/>
          <w:szCs w:val="28"/>
        </w:rPr>
        <w:t xml:space="preserve"> Communication Services - The “___ Remotely” Portfolio</w:t>
      </w:r>
    </w:p>
    <w:p w14:paraId="301EAE07" w14:textId="77777777" w:rsidR="004C6D23" w:rsidRDefault="004C6D23" w:rsidP="004C6D23">
      <w:pPr>
        <w:rPr>
          <w:sz w:val="28"/>
          <w:szCs w:val="28"/>
        </w:rPr>
      </w:pPr>
      <w:r w:rsidRPr="00F953F7">
        <w:rPr>
          <w:b/>
          <w:bCs/>
          <w:sz w:val="28"/>
          <w:szCs w:val="28"/>
        </w:rPr>
        <w:t>Components</w:t>
      </w:r>
      <w:r>
        <w:rPr>
          <w:sz w:val="28"/>
          <w:szCs w:val="28"/>
        </w:rPr>
        <w:t xml:space="preserve">: </w:t>
      </w:r>
    </w:p>
    <w:p w14:paraId="24071664" w14:textId="13D6FCC1" w:rsidR="004C6D23" w:rsidRDefault="004C6D23" w:rsidP="004C6D23">
      <w:pPr>
        <w:ind w:left="720" w:firstLine="720"/>
        <w:rPr>
          <w:sz w:val="28"/>
          <w:szCs w:val="28"/>
        </w:rPr>
      </w:pPr>
      <w:r>
        <w:rPr>
          <w:sz w:val="28"/>
          <w:szCs w:val="28"/>
        </w:rPr>
        <w:t>AT&amp;T, T, $213 billion market capitalization</w:t>
      </w:r>
    </w:p>
    <w:p w14:paraId="3EF2B79F" w14:textId="77777777" w:rsidR="004C6D23" w:rsidRDefault="004C6D23" w:rsidP="004C6D23">
      <w:pPr>
        <w:ind w:left="720" w:firstLine="720"/>
        <w:rPr>
          <w:sz w:val="28"/>
          <w:szCs w:val="28"/>
        </w:rPr>
      </w:pPr>
      <w:r>
        <w:rPr>
          <w:sz w:val="28"/>
          <w:szCs w:val="28"/>
        </w:rPr>
        <w:t xml:space="preserve">Charter Communications, CHTR, $120 billion </w:t>
      </w:r>
    </w:p>
    <w:p w14:paraId="007B1892" w14:textId="77777777" w:rsidR="004C6D23" w:rsidRDefault="004C6D23" w:rsidP="004C6D23">
      <w:pPr>
        <w:rPr>
          <w:sz w:val="28"/>
          <w:szCs w:val="28"/>
        </w:rPr>
      </w:pPr>
      <w:r>
        <w:rPr>
          <w:sz w:val="28"/>
          <w:szCs w:val="28"/>
        </w:rPr>
        <w:tab/>
      </w:r>
      <w:r>
        <w:rPr>
          <w:sz w:val="28"/>
          <w:szCs w:val="28"/>
        </w:rPr>
        <w:tab/>
        <w:t xml:space="preserve">Comcast, CMCSA, $170 billion </w:t>
      </w:r>
    </w:p>
    <w:p w14:paraId="0D6A494C" w14:textId="77777777" w:rsidR="004C6D23" w:rsidRDefault="004C6D23" w:rsidP="004C6D23">
      <w:pPr>
        <w:rPr>
          <w:sz w:val="28"/>
          <w:szCs w:val="28"/>
        </w:rPr>
      </w:pPr>
      <w:r>
        <w:rPr>
          <w:sz w:val="28"/>
          <w:szCs w:val="28"/>
        </w:rPr>
        <w:tab/>
      </w:r>
      <w:r>
        <w:rPr>
          <w:sz w:val="28"/>
          <w:szCs w:val="28"/>
        </w:rPr>
        <w:tab/>
        <w:t xml:space="preserve">Verizon Communications, VZ, $ 235 billion  </w:t>
      </w:r>
    </w:p>
    <w:p w14:paraId="418A9B30" w14:textId="77777777" w:rsidR="004C6D23" w:rsidRDefault="004C6D23" w:rsidP="004C6D23">
      <w:pPr>
        <w:rPr>
          <w:sz w:val="28"/>
          <w:szCs w:val="28"/>
        </w:rPr>
      </w:pPr>
      <w:r w:rsidRPr="00BF4127">
        <w:rPr>
          <w:b/>
          <w:bCs/>
          <w:sz w:val="28"/>
          <w:szCs w:val="28"/>
        </w:rPr>
        <w:t>Investment Thesis</w:t>
      </w:r>
      <w:r>
        <w:rPr>
          <w:sz w:val="28"/>
          <w:szCs w:val="28"/>
        </w:rPr>
        <w:t xml:space="preserve">: Harold suspects the mass shift to working, studying, entertaining remotely from home will not subside immediately. Even as the lockdowns lift, the lack of a vaccine and reticence on the part of employers, schools and other businesses to return to pre-COVID-19 operating procedures will lag if not fail to materialize. Harold thinks a communications services portfolio consisting of the two dominant cell phone carriers (T &amp; VZ) as well as and two leading national cable providers (CMCSA &amp; CHTR) should benefit from this trend and potentially outperform the broader market. </w:t>
      </w:r>
    </w:p>
    <w:p w14:paraId="7D7056B7" w14:textId="77777777" w:rsidR="004C6D23" w:rsidRDefault="004C6D23" w:rsidP="004C6D23">
      <w:pPr>
        <w:rPr>
          <w:sz w:val="28"/>
          <w:szCs w:val="28"/>
        </w:rPr>
      </w:pPr>
      <w:r>
        <w:rPr>
          <w:noProof/>
        </w:rPr>
        <w:drawing>
          <wp:inline distT="0" distB="0" distL="0" distR="0" wp14:anchorId="03B117C2" wp14:editId="3BE91D22">
            <wp:extent cx="1668780" cy="685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685800"/>
                    </a:xfrm>
                    <a:prstGeom prst="rect">
                      <a:avLst/>
                    </a:prstGeom>
                    <a:noFill/>
                    <a:ln>
                      <a:noFill/>
                    </a:ln>
                  </pic:spPr>
                </pic:pic>
              </a:graphicData>
            </a:graphic>
          </wp:inline>
        </w:drawing>
      </w:r>
      <w:r>
        <w:rPr>
          <w:sz w:val="28"/>
          <w:szCs w:val="28"/>
        </w:rPr>
        <w:tab/>
      </w:r>
      <w:r>
        <w:rPr>
          <w:sz w:val="28"/>
          <w:szCs w:val="28"/>
        </w:rPr>
        <w:tab/>
      </w:r>
      <w:r>
        <w:rPr>
          <w:noProof/>
        </w:rPr>
        <w:drawing>
          <wp:inline distT="0" distB="0" distL="0" distR="0" wp14:anchorId="790F68E8" wp14:editId="5F387807">
            <wp:extent cx="209550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662940"/>
                    </a:xfrm>
                    <a:prstGeom prst="rect">
                      <a:avLst/>
                    </a:prstGeom>
                    <a:noFill/>
                    <a:ln>
                      <a:noFill/>
                    </a:ln>
                  </pic:spPr>
                </pic:pic>
              </a:graphicData>
            </a:graphic>
          </wp:inline>
        </w:drawing>
      </w:r>
      <w:r>
        <w:rPr>
          <w:sz w:val="28"/>
          <w:szCs w:val="28"/>
        </w:rPr>
        <w:tab/>
      </w:r>
      <w:r>
        <w:rPr>
          <w:sz w:val="28"/>
          <w:szCs w:val="28"/>
        </w:rPr>
        <w:tab/>
      </w:r>
      <w:r>
        <w:rPr>
          <w:sz w:val="28"/>
          <w:szCs w:val="28"/>
        </w:rPr>
        <w:tab/>
      </w:r>
      <w:r>
        <w:rPr>
          <w:noProof/>
        </w:rPr>
        <w:drawing>
          <wp:inline distT="0" distB="0" distL="0" distR="0" wp14:anchorId="1461862D" wp14:editId="7C6539D2">
            <wp:extent cx="2095500" cy="46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64820"/>
                    </a:xfrm>
                    <a:prstGeom prst="rect">
                      <a:avLst/>
                    </a:prstGeom>
                    <a:noFill/>
                    <a:ln>
                      <a:noFill/>
                    </a:ln>
                  </pic:spPr>
                </pic:pic>
              </a:graphicData>
            </a:graphic>
          </wp:inline>
        </w:drawing>
      </w:r>
      <w:r>
        <w:rPr>
          <w:noProof/>
        </w:rPr>
        <w:drawing>
          <wp:inline distT="0" distB="0" distL="0" distR="0" wp14:anchorId="52682673" wp14:editId="0097D8AE">
            <wp:extent cx="2095500" cy="74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46760"/>
                    </a:xfrm>
                    <a:prstGeom prst="rect">
                      <a:avLst/>
                    </a:prstGeom>
                    <a:noFill/>
                    <a:ln>
                      <a:noFill/>
                    </a:ln>
                  </pic:spPr>
                </pic:pic>
              </a:graphicData>
            </a:graphic>
          </wp:inline>
        </w:drawing>
      </w:r>
    </w:p>
    <w:p w14:paraId="59BB9D92" w14:textId="77777777" w:rsidR="004C6D23" w:rsidRDefault="004C6D23" w:rsidP="004C6D23">
      <w:pPr>
        <w:rPr>
          <w:sz w:val="28"/>
          <w:szCs w:val="28"/>
        </w:rPr>
      </w:pPr>
    </w:p>
    <w:p w14:paraId="0D98C3E2" w14:textId="77777777" w:rsidR="004C6D23" w:rsidRDefault="004C6D23" w:rsidP="004C6D23">
      <w:pPr>
        <w:rPr>
          <w:sz w:val="28"/>
          <w:szCs w:val="28"/>
        </w:rPr>
      </w:pPr>
    </w:p>
    <w:p w14:paraId="389F6069" w14:textId="77777777" w:rsidR="004C6D23" w:rsidRDefault="004C6D23" w:rsidP="004C6D23">
      <w:pPr>
        <w:rPr>
          <w:sz w:val="28"/>
          <w:szCs w:val="28"/>
        </w:rPr>
      </w:pPr>
    </w:p>
    <w:p w14:paraId="55427588" w14:textId="77777777" w:rsidR="004C6D23" w:rsidRDefault="004C6D23" w:rsidP="004C6D23">
      <w:pPr>
        <w:rPr>
          <w:sz w:val="28"/>
          <w:szCs w:val="28"/>
        </w:rPr>
      </w:pPr>
    </w:p>
    <w:p w14:paraId="71A3D6FE" w14:textId="77777777" w:rsidR="004C6D23" w:rsidRDefault="004C6D23" w:rsidP="004C6D23">
      <w:pPr>
        <w:rPr>
          <w:sz w:val="28"/>
          <w:szCs w:val="28"/>
        </w:rPr>
      </w:pPr>
    </w:p>
    <w:p w14:paraId="357BC064" w14:textId="77777777" w:rsidR="004C6D23" w:rsidRDefault="004C6D23" w:rsidP="004C6D23">
      <w:pPr>
        <w:rPr>
          <w:sz w:val="28"/>
          <w:szCs w:val="28"/>
        </w:rPr>
      </w:pPr>
    </w:p>
    <w:p w14:paraId="67908861" w14:textId="77777777" w:rsidR="004C6D23" w:rsidRDefault="004C6D23" w:rsidP="004C6D23">
      <w:pPr>
        <w:rPr>
          <w:sz w:val="28"/>
          <w:szCs w:val="28"/>
        </w:rPr>
      </w:pPr>
    </w:p>
    <w:p w14:paraId="74DB85E4" w14:textId="77777777" w:rsidR="004C6D23" w:rsidRDefault="004C6D23" w:rsidP="004C6D23">
      <w:pPr>
        <w:rPr>
          <w:sz w:val="28"/>
          <w:szCs w:val="28"/>
        </w:rPr>
      </w:pPr>
    </w:p>
    <w:p w14:paraId="2ECCD917" w14:textId="738C062E" w:rsidR="004C6D23" w:rsidRPr="00282FD9" w:rsidRDefault="004C6D23" w:rsidP="004C6D23">
      <w:pPr>
        <w:rPr>
          <w:b/>
          <w:bCs/>
          <w:i/>
          <w:iCs/>
          <w:sz w:val="28"/>
          <w:szCs w:val="28"/>
        </w:rPr>
      </w:pPr>
      <w:r w:rsidRPr="00D70776">
        <w:rPr>
          <w:sz w:val="28"/>
          <w:szCs w:val="28"/>
        </w:rPr>
        <w:lastRenderedPageBreak/>
        <w:t xml:space="preserve">[Slide </w:t>
      </w:r>
      <w:r>
        <w:rPr>
          <w:sz w:val="28"/>
          <w:szCs w:val="28"/>
        </w:rPr>
        <w:t>3</w:t>
      </w:r>
      <w:r w:rsidRPr="00D70776">
        <w:rPr>
          <w:sz w:val="28"/>
          <w:szCs w:val="28"/>
        </w:rPr>
        <w:t>]</w:t>
      </w:r>
      <w:r>
        <w:rPr>
          <w:b/>
          <w:bCs/>
          <w:sz w:val="28"/>
          <w:szCs w:val="28"/>
        </w:rPr>
        <w:t xml:space="preserve"> Financials – A ‘Stimulating’ Portfolio</w:t>
      </w:r>
    </w:p>
    <w:p w14:paraId="6BC7FE94" w14:textId="3E28D3EA" w:rsidR="00F953F7" w:rsidRPr="007A14DE" w:rsidRDefault="00F953F7" w:rsidP="00F953F7">
      <w:pPr>
        <w:rPr>
          <w:b/>
          <w:bCs/>
          <w:sz w:val="28"/>
          <w:szCs w:val="28"/>
        </w:rPr>
      </w:pPr>
      <w:r w:rsidRPr="007A14DE">
        <w:rPr>
          <w:b/>
          <w:bCs/>
          <w:sz w:val="28"/>
          <w:szCs w:val="28"/>
        </w:rPr>
        <w:t xml:space="preserve">Components: </w:t>
      </w:r>
    </w:p>
    <w:p w14:paraId="727E777D" w14:textId="1C698AF8" w:rsidR="00F953F7" w:rsidRDefault="00F953F7" w:rsidP="00F953F7">
      <w:pPr>
        <w:ind w:left="720" w:firstLine="720"/>
        <w:rPr>
          <w:sz w:val="28"/>
          <w:szCs w:val="28"/>
        </w:rPr>
      </w:pPr>
      <w:r>
        <w:rPr>
          <w:sz w:val="28"/>
          <w:szCs w:val="28"/>
        </w:rPr>
        <w:t>Bank of America, BAC, $200 billion market capitalization</w:t>
      </w:r>
    </w:p>
    <w:p w14:paraId="78BADCD6" w14:textId="43CFF2C1" w:rsidR="00F953F7" w:rsidRDefault="00F953F7" w:rsidP="00F953F7">
      <w:pPr>
        <w:ind w:left="720" w:firstLine="720"/>
        <w:rPr>
          <w:sz w:val="28"/>
          <w:szCs w:val="28"/>
        </w:rPr>
      </w:pPr>
      <w:r>
        <w:rPr>
          <w:sz w:val="28"/>
          <w:szCs w:val="28"/>
        </w:rPr>
        <w:t>Goldman Sachs, GS, $600 billion</w:t>
      </w:r>
    </w:p>
    <w:p w14:paraId="33B6E345" w14:textId="7CDFFF32" w:rsidR="00F953F7" w:rsidRDefault="00F953F7" w:rsidP="00F953F7">
      <w:pPr>
        <w:rPr>
          <w:sz w:val="28"/>
          <w:szCs w:val="28"/>
        </w:rPr>
      </w:pPr>
      <w:r>
        <w:rPr>
          <w:sz w:val="28"/>
          <w:szCs w:val="28"/>
        </w:rPr>
        <w:tab/>
      </w:r>
      <w:r>
        <w:rPr>
          <w:sz w:val="28"/>
          <w:szCs w:val="28"/>
        </w:rPr>
        <w:tab/>
        <w:t>PayPal, PYPL, $170 billion</w:t>
      </w:r>
    </w:p>
    <w:p w14:paraId="0A39ACB4" w14:textId="5920F6F4" w:rsidR="00F953F7" w:rsidRDefault="00F953F7" w:rsidP="00F953F7">
      <w:pPr>
        <w:rPr>
          <w:sz w:val="28"/>
          <w:szCs w:val="28"/>
        </w:rPr>
      </w:pPr>
      <w:r>
        <w:rPr>
          <w:sz w:val="28"/>
          <w:szCs w:val="28"/>
        </w:rPr>
        <w:tab/>
      </w:r>
      <w:r>
        <w:rPr>
          <w:sz w:val="28"/>
          <w:szCs w:val="28"/>
        </w:rPr>
        <w:tab/>
        <w:t xml:space="preserve">Visa, V, $ 235 billion  </w:t>
      </w:r>
    </w:p>
    <w:p w14:paraId="2D5B1283" w14:textId="77777777" w:rsidR="004C6D23" w:rsidRDefault="00F953F7" w:rsidP="00002489">
      <w:pPr>
        <w:rPr>
          <w:sz w:val="28"/>
          <w:szCs w:val="28"/>
        </w:rPr>
      </w:pPr>
      <w:r w:rsidRPr="00BF4127">
        <w:rPr>
          <w:b/>
          <w:bCs/>
          <w:sz w:val="28"/>
          <w:szCs w:val="28"/>
        </w:rPr>
        <w:t>Investment Thesis</w:t>
      </w:r>
      <w:r>
        <w:rPr>
          <w:sz w:val="28"/>
          <w:szCs w:val="28"/>
        </w:rPr>
        <w:t>:</w:t>
      </w:r>
      <w:r w:rsidR="00F007DC">
        <w:rPr>
          <w:sz w:val="28"/>
          <w:szCs w:val="28"/>
        </w:rPr>
        <w:t xml:space="preserve"> </w:t>
      </w:r>
      <w:r w:rsidR="007A14DE">
        <w:rPr>
          <w:sz w:val="28"/>
          <w:szCs w:val="28"/>
        </w:rPr>
        <w:t>While</w:t>
      </w:r>
      <w:r w:rsidR="00F007DC">
        <w:rPr>
          <w:sz w:val="28"/>
          <w:szCs w:val="28"/>
        </w:rPr>
        <w:t xml:space="preserve"> Harold is concerned about the long-term effect of the $2.8 trillion in aggregate fiscal stimulus (so far) and $2.5 trillion expansion of the Federal Reserve balance sheet to support the economy during the pandemic, he believe</w:t>
      </w:r>
      <w:r w:rsidR="007A14DE">
        <w:rPr>
          <w:sz w:val="28"/>
          <w:szCs w:val="28"/>
        </w:rPr>
        <w:t>s the enormous infusion of liquidity and fiscal relief</w:t>
      </w:r>
      <w:r w:rsidR="00F007DC">
        <w:rPr>
          <w:sz w:val="28"/>
          <w:szCs w:val="28"/>
        </w:rPr>
        <w:t xml:space="preserve"> could make financials a compelling sector to invest in</w:t>
      </w:r>
      <w:r w:rsidR="007A14DE">
        <w:rPr>
          <w:sz w:val="28"/>
          <w:szCs w:val="28"/>
        </w:rPr>
        <w:t xml:space="preserve"> for the </w:t>
      </w:r>
      <w:r w:rsidR="00F007DC">
        <w:rPr>
          <w:sz w:val="28"/>
          <w:szCs w:val="28"/>
        </w:rPr>
        <w:t>short-term. Banks</w:t>
      </w:r>
      <w:r w:rsidR="007A14DE">
        <w:rPr>
          <w:sz w:val="28"/>
          <w:szCs w:val="28"/>
        </w:rPr>
        <w:t xml:space="preserve"> </w:t>
      </w:r>
      <w:r w:rsidR="00F007DC">
        <w:rPr>
          <w:sz w:val="28"/>
          <w:szCs w:val="28"/>
        </w:rPr>
        <w:t>have been provided $669 billion in Treasury-backed, forgivable small business loans to disburse</w:t>
      </w:r>
      <w:r w:rsidR="007A14DE">
        <w:rPr>
          <w:sz w:val="28"/>
          <w:szCs w:val="28"/>
        </w:rPr>
        <w:t xml:space="preserve"> and will be central to a broader recovery.</w:t>
      </w:r>
      <w:r w:rsidR="00F007DC">
        <w:rPr>
          <w:sz w:val="28"/>
          <w:szCs w:val="28"/>
        </w:rPr>
        <w:t xml:space="preserve"> Harold chose BAC </w:t>
      </w:r>
      <w:r w:rsidR="007A14DE">
        <w:rPr>
          <w:sz w:val="28"/>
          <w:szCs w:val="28"/>
        </w:rPr>
        <w:t>a s</w:t>
      </w:r>
      <w:r w:rsidR="00F007DC">
        <w:rPr>
          <w:sz w:val="28"/>
          <w:szCs w:val="28"/>
        </w:rPr>
        <w:t xml:space="preserve">it is the universal bank with the widest footprint. Online payments leader PYPL and V, the world’s largest credit card provider, offer ample exposure to the increasing shift to online and digital purchases. </w:t>
      </w:r>
      <w:r w:rsidR="007A14DE">
        <w:rPr>
          <w:sz w:val="28"/>
          <w:szCs w:val="28"/>
        </w:rPr>
        <w:t>A significant i</w:t>
      </w:r>
      <w:r w:rsidR="00F007DC">
        <w:rPr>
          <w:sz w:val="28"/>
          <w:szCs w:val="28"/>
        </w:rPr>
        <w:t>mprove</w:t>
      </w:r>
      <w:r w:rsidR="007A14DE">
        <w:rPr>
          <w:sz w:val="28"/>
          <w:szCs w:val="28"/>
        </w:rPr>
        <w:t>ment in</w:t>
      </w:r>
      <w:r w:rsidR="00F007DC">
        <w:rPr>
          <w:sz w:val="28"/>
          <w:szCs w:val="28"/>
        </w:rPr>
        <w:t xml:space="preserve"> consumer spending from extremely low levels during the depths of the crisis </w:t>
      </w:r>
      <w:r w:rsidR="007A14DE">
        <w:rPr>
          <w:sz w:val="28"/>
          <w:szCs w:val="28"/>
        </w:rPr>
        <w:t>sh</w:t>
      </w:r>
      <w:r w:rsidR="00F007DC">
        <w:rPr>
          <w:sz w:val="28"/>
          <w:szCs w:val="28"/>
        </w:rPr>
        <w:t xml:space="preserve">ould boost these stocks </w:t>
      </w:r>
      <w:r w:rsidR="007A14DE">
        <w:rPr>
          <w:sz w:val="28"/>
          <w:szCs w:val="28"/>
        </w:rPr>
        <w:t>strongly</w:t>
      </w:r>
      <w:r w:rsidR="00F007DC">
        <w:rPr>
          <w:sz w:val="28"/>
          <w:szCs w:val="28"/>
        </w:rPr>
        <w:t xml:space="preserve">. </w:t>
      </w:r>
      <w:r w:rsidR="00FA436E">
        <w:rPr>
          <w:sz w:val="28"/>
          <w:szCs w:val="28"/>
        </w:rPr>
        <w:t xml:space="preserve">The economic disruption could </w:t>
      </w:r>
      <w:r w:rsidR="007A14DE">
        <w:rPr>
          <w:sz w:val="28"/>
          <w:szCs w:val="28"/>
        </w:rPr>
        <w:t>also accelerate</w:t>
      </w:r>
      <w:r w:rsidR="00FA436E">
        <w:rPr>
          <w:sz w:val="28"/>
          <w:szCs w:val="28"/>
        </w:rPr>
        <w:t xml:space="preserve"> M&amp;A as firms may be forced to combine to shore up weakened balance sheets</w:t>
      </w:r>
      <w:r w:rsidR="007A14DE">
        <w:rPr>
          <w:sz w:val="28"/>
          <w:szCs w:val="28"/>
        </w:rPr>
        <w:t xml:space="preserve"> and </w:t>
      </w:r>
      <w:r w:rsidR="00FA436E">
        <w:rPr>
          <w:sz w:val="28"/>
          <w:szCs w:val="28"/>
        </w:rPr>
        <w:t>extract cost efficiencies</w:t>
      </w:r>
      <w:r w:rsidR="007A14DE">
        <w:rPr>
          <w:sz w:val="28"/>
          <w:szCs w:val="28"/>
        </w:rPr>
        <w:t xml:space="preserve"> while the regulatory environment is favorable</w:t>
      </w:r>
      <w:r w:rsidR="00FA436E">
        <w:rPr>
          <w:sz w:val="28"/>
          <w:szCs w:val="28"/>
        </w:rPr>
        <w:t xml:space="preserve">. </w:t>
      </w:r>
      <w:r w:rsidR="007A14DE">
        <w:rPr>
          <w:sz w:val="28"/>
          <w:szCs w:val="28"/>
        </w:rPr>
        <w:t>T</w:t>
      </w:r>
      <w:r w:rsidR="00FA436E">
        <w:rPr>
          <w:sz w:val="28"/>
          <w:szCs w:val="28"/>
        </w:rPr>
        <w:t>he world</w:t>
      </w:r>
      <w:r w:rsidR="007A14DE">
        <w:rPr>
          <w:sz w:val="28"/>
          <w:szCs w:val="28"/>
        </w:rPr>
        <w:t>’s</w:t>
      </w:r>
      <w:r w:rsidR="00FA436E">
        <w:rPr>
          <w:sz w:val="28"/>
          <w:szCs w:val="28"/>
        </w:rPr>
        <w:t xml:space="preserve"> leading pure play investment bank</w:t>
      </w:r>
      <w:r w:rsidR="007A14DE">
        <w:rPr>
          <w:sz w:val="28"/>
          <w:szCs w:val="28"/>
        </w:rPr>
        <w:t>, GS, was added to help the portfolio benefit from this trend.</w:t>
      </w:r>
    </w:p>
    <w:p w14:paraId="77C9D8BD" w14:textId="0DF5E4E6" w:rsidR="00BF4127" w:rsidRPr="004C6D23" w:rsidRDefault="00BF4127" w:rsidP="00002489">
      <w:pPr>
        <w:rPr>
          <w:sz w:val="28"/>
          <w:szCs w:val="28"/>
        </w:rPr>
      </w:pPr>
      <w:r>
        <w:rPr>
          <w:noProof/>
        </w:rPr>
        <w:drawing>
          <wp:inline distT="0" distB="0" distL="0" distR="0" wp14:anchorId="38D81068" wp14:editId="2FBB8050">
            <wp:extent cx="2095500" cy="20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5740"/>
                    </a:xfrm>
                    <a:prstGeom prst="rect">
                      <a:avLst/>
                    </a:prstGeom>
                    <a:noFill/>
                    <a:ln>
                      <a:noFill/>
                    </a:ln>
                  </pic:spPr>
                </pic:pic>
              </a:graphicData>
            </a:graphic>
          </wp:inline>
        </w:drawing>
      </w:r>
      <w:r w:rsidR="007A14DE">
        <w:tab/>
      </w:r>
      <w:r w:rsidR="007A14DE">
        <w:tab/>
      </w:r>
      <w:r w:rsidR="007A14DE">
        <w:tab/>
      </w:r>
      <w:r w:rsidR="00F953F7">
        <w:tab/>
      </w:r>
      <w:r w:rsidR="007A14DE">
        <w:rPr>
          <w:noProof/>
        </w:rPr>
        <w:drawing>
          <wp:inline distT="0" distB="0" distL="0" distR="0" wp14:anchorId="7577F45C" wp14:editId="15E65BDE">
            <wp:extent cx="118872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00F953F7">
        <w:tab/>
      </w:r>
      <w:r w:rsidR="00F953F7" w:rsidRPr="00F953F7">
        <w:t xml:space="preserve">  </w:t>
      </w:r>
    </w:p>
    <w:p w14:paraId="2A1E5C5E" w14:textId="77777777" w:rsidR="007A14DE" w:rsidRDefault="007A14DE" w:rsidP="00002489">
      <w:pPr>
        <w:rPr>
          <w:sz w:val="28"/>
          <w:szCs w:val="28"/>
        </w:rPr>
      </w:pPr>
    </w:p>
    <w:p w14:paraId="2BBA6ACA" w14:textId="53F49908" w:rsidR="00346650" w:rsidRDefault="007A14DE" w:rsidP="00346650">
      <w:pPr>
        <w:rPr>
          <w:sz w:val="28"/>
          <w:szCs w:val="28"/>
        </w:rPr>
      </w:pPr>
      <w:r>
        <w:rPr>
          <w:noProof/>
        </w:rPr>
        <w:drawing>
          <wp:inline distT="0" distB="0" distL="0" distR="0" wp14:anchorId="13AB8721" wp14:editId="366BAB5F">
            <wp:extent cx="219456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579120"/>
                    </a:xfrm>
                    <a:prstGeom prst="rect">
                      <a:avLst/>
                    </a:prstGeom>
                    <a:noFill/>
                    <a:ln>
                      <a:noFill/>
                    </a:ln>
                  </pic:spPr>
                </pic:pic>
              </a:graphicData>
            </a:graphic>
          </wp:inline>
        </w:drawing>
      </w:r>
      <w:r>
        <w:rPr>
          <w:sz w:val="28"/>
          <w:szCs w:val="28"/>
        </w:rPr>
        <w:t xml:space="preserve">                              </w:t>
      </w:r>
      <w:r>
        <w:rPr>
          <w:noProof/>
        </w:rPr>
        <w:drawing>
          <wp:inline distT="0" distB="0" distL="0" distR="0" wp14:anchorId="046A81F9" wp14:editId="0508ED26">
            <wp:extent cx="1668780" cy="541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8780" cy="541020"/>
                    </a:xfrm>
                    <a:prstGeom prst="rect">
                      <a:avLst/>
                    </a:prstGeom>
                    <a:noFill/>
                    <a:ln>
                      <a:noFill/>
                    </a:ln>
                  </pic:spPr>
                </pic:pic>
              </a:graphicData>
            </a:graphic>
          </wp:inline>
        </w:drawing>
      </w:r>
    </w:p>
    <w:p w14:paraId="2C210D28" w14:textId="787274EC" w:rsidR="00173E6E" w:rsidRPr="00282FD9" w:rsidRDefault="00173E6E" w:rsidP="00173E6E">
      <w:pPr>
        <w:rPr>
          <w:b/>
          <w:bCs/>
          <w:i/>
          <w:iCs/>
          <w:sz w:val="28"/>
          <w:szCs w:val="28"/>
        </w:rPr>
      </w:pPr>
      <w:r w:rsidRPr="00D70776">
        <w:rPr>
          <w:sz w:val="28"/>
          <w:szCs w:val="28"/>
        </w:rPr>
        <w:lastRenderedPageBreak/>
        <w:t xml:space="preserve">[Slide </w:t>
      </w:r>
      <w:r>
        <w:rPr>
          <w:sz w:val="28"/>
          <w:szCs w:val="28"/>
        </w:rPr>
        <w:t>4</w:t>
      </w:r>
      <w:r w:rsidRPr="00D70776">
        <w:rPr>
          <w:sz w:val="28"/>
          <w:szCs w:val="28"/>
        </w:rPr>
        <w:t>]</w:t>
      </w:r>
      <w:r>
        <w:rPr>
          <w:b/>
          <w:bCs/>
          <w:sz w:val="28"/>
          <w:szCs w:val="28"/>
        </w:rPr>
        <w:t xml:space="preserve"> Food – A Truly Essential Portfolio</w:t>
      </w:r>
    </w:p>
    <w:p w14:paraId="0B027414" w14:textId="77777777" w:rsidR="00173E6E" w:rsidRDefault="00173E6E" w:rsidP="00173E6E">
      <w:pPr>
        <w:rPr>
          <w:sz w:val="28"/>
          <w:szCs w:val="28"/>
        </w:rPr>
      </w:pPr>
      <w:r w:rsidRPr="00F953F7">
        <w:rPr>
          <w:b/>
          <w:bCs/>
          <w:sz w:val="28"/>
          <w:szCs w:val="28"/>
        </w:rPr>
        <w:t>Components</w:t>
      </w:r>
      <w:r>
        <w:rPr>
          <w:sz w:val="28"/>
          <w:szCs w:val="28"/>
        </w:rPr>
        <w:t xml:space="preserve">: </w:t>
      </w:r>
    </w:p>
    <w:p w14:paraId="782BCDBF" w14:textId="497E6CB1" w:rsidR="00173E6E" w:rsidRDefault="00173E6E" w:rsidP="00173E6E">
      <w:pPr>
        <w:ind w:left="720" w:firstLine="720"/>
        <w:rPr>
          <w:sz w:val="28"/>
          <w:szCs w:val="28"/>
        </w:rPr>
      </w:pPr>
      <w:r>
        <w:rPr>
          <w:sz w:val="28"/>
          <w:szCs w:val="28"/>
        </w:rPr>
        <w:t>Archer Daniels Midland, ADM, $2</w:t>
      </w:r>
      <w:r w:rsidR="00862BEC">
        <w:rPr>
          <w:sz w:val="28"/>
          <w:szCs w:val="28"/>
        </w:rPr>
        <w:t>0</w:t>
      </w:r>
      <w:r>
        <w:rPr>
          <w:sz w:val="28"/>
          <w:szCs w:val="28"/>
        </w:rPr>
        <w:t xml:space="preserve"> billion market capitalization</w:t>
      </w:r>
    </w:p>
    <w:p w14:paraId="43811837" w14:textId="0E796CC1" w:rsidR="00173E6E" w:rsidRDefault="00173E6E" w:rsidP="00173E6E">
      <w:pPr>
        <w:ind w:left="720" w:firstLine="720"/>
        <w:rPr>
          <w:sz w:val="28"/>
          <w:szCs w:val="28"/>
        </w:rPr>
      </w:pPr>
      <w:r>
        <w:rPr>
          <w:sz w:val="28"/>
          <w:szCs w:val="28"/>
        </w:rPr>
        <w:t>ConAgra, CAG, $</w:t>
      </w:r>
      <w:r w:rsidR="00862BEC">
        <w:rPr>
          <w:sz w:val="28"/>
          <w:szCs w:val="28"/>
        </w:rPr>
        <w:t>16</w:t>
      </w:r>
      <w:r>
        <w:rPr>
          <w:sz w:val="28"/>
          <w:szCs w:val="28"/>
        </w:rPr>
        <w:t xml:space="preserve"> billion </w:t>
      </w:r>
    </w:p>
    <w:p w14:paraId="4A8ACB53" w14:textId="3726CF9F" w:rsidR="00173E6E" w:rsidRDefault="00173E6E" w:rsidP="00173E6E">
      <w:pPr>
        <w:rPr>
          <w:sz w:val="28"/>
          <w:szCs w:val="28"/>
        </w:rPr>
      </w:pPr>
      <w:r>
        <w:rPr>
          <w:sz w:val="28"/>
          <w:szCs w:val="28"/>
        </w:rPr>
        <w:tab/>
      </w:r>
      <w:r>
        <w:rPr>
          <w:sz w:val="28"/>
          <w:szCs w:val="28"/>
        </w:rPr>
        <w:tab/>
        <w:t>Hormel, HRL, $</w:t>
      </w:r>
      <w:r w:rsidR="00862BEC">
        <w:rPr>
          <w:sz w:val="28"/>
          <w:szCs w:val="28"/>
        </w:rPr>
        <w:t>25</w:t>
      </w:r>
      <w:r>
        <w:rPr>
          <w:sz w:val="28"/>
          <w:szCs w:val="28"/>
        </w:rPr>
        <w:t xml:space="preserve"> billion </w:t>
      </w:r>
    </w:p>
    <w:p w14:paraId="49A704B8" w14:textId="268C34DF" w:rsidR="00173E6E" w:rsidRDefault="00173E6E" w:rsidP="00173E6E">
      <w:pPr>
        <w:rPr>
          <w:sz w:val="28"/>
          <w:szCs w:val="28"/>
        </w:rPr>
      </w:pPr>
      <w:r>
        <w:rPr>
          <w:sz w:val="28"/>
          <w:szCs w:val="28"/>
        </w:rPr>
        <w:tab/>
      </w:r>
      <w:r>
        <w:rPr>
          <w:sz w:val="28"/>
          <w:szCs w:val="28"/>
        </w:rPr>
        <w:tab/>
        <w:t>Tyson Foods, TSN, $ 2</w:t>
      </w:r>
      <w:r w:rsidR="00862BEC">
        <w:rPr>
          <w:sz w:val="28"/>
          <w:szCs w:val="28"/>
        </w:rPr>
        <w:t>2</w:t>
      </w:r>
      <w:r>
        <w:rPr>
          <w:sz w:val="28"/>
          <w:szCs w:val="28"/>
        </w:rPr>
        <w:t xml:space="preserve"> billion  </w:t>
      </w:r>
    </w:p>
    <w:p w14:paraId="276CF152" w14:textId="31B3C014" w:rsidR="00173E6E" w:rsidRDefault="00173E6E" w:rsidP="00173E6E">
      <w:pPr>
        <w:rPr>
          <w:sz w:val="28"/>
          <w:szCs w:val="28"/>
        </w:rPr>
      </w:pPr>
      <w:r w:rsidRPr="00BF4127">
        <w:rPr>
          <w:b/>
          <w:bCs/>
          <w:sz w:val="28"/>
          <w:szCs w:val="28"/>
        </w:rPr>
        <w:t>Investment Thesis</w:t>
      </w:r>
      <w:r>
        <w:rPr>
          <w:sz w:val="28"/>
          <w:szCs w:val="28"/>
        </w:rPr>
        <w:t>: In a time of segmenting workers by ‘essential’ or ‘non-essential’, Harold thinks a purely non-discretionary industry like food has the potential to generate strong performance</w:t>
      </w:r>
      <w:r w:rsidR="00862BEC">
        <w:rPr>
          <w:sz w:val="28"/>
          <w:szCs w:val="28"/>
        </w:rPr>
        <w:t xml:space="preserve"> whether the economy struggles to regain traction</w:t>
      </w:r>
      <w:r w:rsidR="00723CA7">
        <w:rPr>
          <w:sz w:val="28"/>
          <w:szCs w:val="28"/>
        </w:rPr>
        <w:t xml:space="preserve"> or not</w:t>
      </w:r>
      <w:r>
        <w:rPr>
          <w:sz w:val="28"/>
          <w:szCs w:val="28"/>
        </w:rPr>
        <w:t xml:space="preserve">. Even if COVID-19 has shifted consumption away from restaurants and in favor of grocery stores and delivery services. Accordingly, Harold </w:t>
      </w:r>
      <w:r w:rsidR="00862BEC">
        <w:rPr>
          <w:sz w:val="28"/>
          <w:szCs w:val="28"/>
        </w:rPr>
        <w:t>two</w:t>
      </w:r>
      <w:r>
        <w:rPr>
          <w:sz w:val="28"/>
          <w:szCs w:val="28"/>
        </w:rPr>
        <w:t xml:space="preserve"> dominant food processing companies (ADM</w:t>
      </w:r>
      <w:r w:rsidR="00862BEC">
        <w:rPr>
          <w:sz w:val="28"/>
          <w:szCs w:val="28"/>
        </w:rPr>
        <w:t xml:space="preserve">, TSN) and two major packaged foods companies (CAG, HRL). </w:t>
      </w:r>
    </w:p>
    <w:p w14:paraId="19728E8A" w14:textId="18D37314" w:rsidR="00173E6E" w:rsidRDefault="00173E6E" w:rsidP="00173E6E">
      <w:pPr>
        <w:rPr>
          <w:sz w:val="28"/>
          <w:szCs w:val="28"/>
        </w:rPr>
      </w:pPr>
    </w:p>
    <w:p w14:paraId="5AD2FD01" w14:textId="71CC932E" w:rsidR="00173E6E" w:rsidRDefault="00255585" w:rsidP="00173E6E">
      <w:pPr>
        <w:rPr>
          <w:sz w:val="28"/>
          <w:szCs w:val="28"/>
        </w:rPr>
      </w:pPr>
      <w:r>
        <w:rPr>
          <w:sz w:val="28"/>
          <w:szCs w:val="28"/>
        </w:rPr>
        <w:tab/>
      </w:r>
      <w:r>
        <w:rPr>
          <w:sz w:val="28"/>
          <w:szCs w:val="28"/>
        </w:rPr>
        <w:tab/>
      </w:r>
      <w:r w:rsidR="00862BEC">
        <w:rPr>
          <w:noProof/>
        </w:rPr>
        <w:drawing>
          <wp:inline distT="0" distB="0" distL="0" distR="0" wp14:anchorId="5037392E" wp14:editId="71998215">
            <wp:extent cx="1211580" cy="1419972"/>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1394" cy="1454914"/>
                    </a:xfrm>
                    <a:prstGeom prst="rect">
                      <a:avLst/>
                    </a:prstGeom>
                    <a:noFill/>
                    <a:ln>
                      <a:noFill/>
                    </a:ln>
                  </pic:spPr>
                </pic:pic>
              </a:graphicData>
            </a:graphic>
          </wp:inline>
        </w:drawing>
      </w:r>
      <w:r>
        <w:rPr>
          <w:sz w:val="28"/>
          <w:szCs w:val="28"/>
        </w:rPr>
        <w:tab/>
      </w:r>
      <w:r w:rsidR="00862BEC">
        <w:rPr>
          <w:noProof/>
        </w:rPr>
        <w:drawing>
          <wp:inline distT="0" distB="0" distL="0" distR="0" wp14:anchorId="704FD466" wp14:editId="4194471D">
            <wp:extent cx="1715891" cy="126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771" cy="1286210"/>
                    </a:xfrm>
                    <a:prstGeom prst="rect">
                      <a:avLst/>
                    </a:prstGeom>
                    <a:noFill/>
                    <a:ln>
                      <a:noFill/>
                    </a:ln>
                  </pic:spPr>
                </pic:pic>
              </a:graphicData>
            </a:graphic>
          </wp:inline>
        </w:drawing>
      </w:r>
      <w:r>
        <w:rPr>
          <w:sz w:val="28"/>
          <w:szCs w:val="28"/>
        </w:rPr>
        <w:tab/>
      </w:r>
      <w:r>
        <w:rPr>
          <w:sz w:val="28"/>
          <w:szCs w:val="28"/>
        </w:rPr>
        <w:tab/>
      </w:r>
      <w:r>
        <w:rPr>
          <w:sz w:val="28"/>
          <w:szCs w:val="28"/>
        </w:rPr>
        <w:tab/>
      </w:r>
      <w:r>
        <w:rPr>
          <w:sz w:val="28"/>
          <w:szCs w:val="28"/>
        </w:rPr>
        <w:tab/>
      </w:r>
      <w:r>
        <w:rPr>
          <w:sz w:val="28"/>
          <w:szCs w:val="28"/>
        </w:rPr>
        <w:tab/>
      </w:r>
      <w:r>
        <w:rPr>
          <w:noProof/>
        </w:rPr>
        <w:drawing>
          <wp:inline distT="0" distB="0" distL="0" distR="0" wp14:anchorId="7C8E0482" wp14:editId="6CF0DB86">
            <wp:extent cx="1805940" cy="70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0039" r="29512" b="-2227"/>
                    <a:stretch/>
                  </pic:blipFill>
                  <pic:spPr bwMode="auto">
                    <a:xfrm>
                      <a:off x="0" y="0"/>
                      <a:ext cx="1806004" cy="7010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222CEA" wp14:editId="1E21D82A">
            <wp:extent cx="1917580" cy="739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2425" cy="748716"/>
                    </a:xfrm>
                    <a:prstGeom prst="rect">
                      <a:avLst/>
                    </a:prstGeom>
                    <a:noFill/>
                    <a:ln>
                      <a:noFill/>
                    </a:ln>
                  </pic:spPr>
                </pic:pic>
              </a:graphicData>
            </a:graphic>
          </wp:inline>
        </w:drawing>
      </w:r>
    </w:p>
    <w:p w14:paraId="6B40E408" w14:textId="77777777" w:rsidR="00173E6E" w:rsidRDefault="00173E6E" w:rsidP="00173E6E">
      <w:pPr>
        <w:rPr>
          <w:sz w:val="28"/>
          <w:szCs w:val="28"/>
        </w:rPr>
      </w:pPr>
    </w:p>
    <w:p w14:paraId="3378EA7D" w14:textId="77777777" w:rsidR="00173E6E" w:rsidRDefault="00173E6E" w:rsidP="00173E6E">
      <w:pPr>
        <w:rPr>
          <w:sz w:val="28"/>
          <w:szCs w:val="28"/>
        </w:rPr>
      </w:pPr>
    </w:p>
    <w:p w14:paraId="40C88052" w14:textId="57DC8BFE" w:rsidR="00173E6E" w:rsidRDefault="00173E6E" w:rsidP="00173E6E">
      <w:pPr>
        <w:rPr>
          <w:sz w:val="28"/>
          <w:szCs w:val="28"/>
        </w:rPr>
      </w:pPr>
    </w:p>
    <w:p w14:paraId="42F3691D" w14:textId="0F144F36" w:rsidR="00723CA7" w:rsidRDefault="00723CA7" w:rsidP="00173E6E">
      <w:pPr>
        <w:rPr>
          <w:sz w:val="28"/>
          <w:szCs w:val="28"/>
        </w:rPr>
      </w:pPr>
    </w:p>
    <w:p w14:paraId="192F7DA5" w14:textId="4DF3F12B" w:rsidR="00723CA7" w:rsidRDefault="00723CA7" w:rsidP="00173E6E">
      <w:pPr>
        <w:rPr>
          <w:sz w:val="28"/>
          <w:szCs w:val="28"/>
        </w:rPr>
      </w:pPr>
    </w:p>
    <w:p w14:paraId="689B90DA" w14:textId="215B11E1" w:rsidR="00723CA7" w:rsidRPr="00282FD9" w:rsidRDefault="00723CA7" w:rsidP="00723CA7">
      <w:pPr>
        <w:rPr>
          <w:b/>
          <w:bCs/>
          <w:i/>
          <w:iCs/>
          <w:sz w:val="28"/>
          <w:szCs w:val="28"/>
        </w:rPr>
      </w:pPr>
      <w:r w:rsidRPr="00D70776">
        <w:rPr>
          <w:sz w:val="28"/>
          <w:szCs w:val="28"/>
        </w:rPr>
        <w:lastRenderedPageBreak/>
        <w:t xml:space="preserve">[Slide </w:t>
      </w:r>
      <w:r>
        <w:rPr>
          <w:sz w:val="28"/>
          <w:szCs w:val="28"/>
        </w:rPr>
        <w:t>5</w:t>
      </w:r>
      <w:r w:rsidRPr="00D70776">
        <w:rPr>
          <w:sz w:val="28"/>
          <w:szCs w:val="28"/>
        </w:rPr>
        <w:t>]</w:t>
      </w:r>
      <w:r>
        <w:rPr>
          <w:b/>
          <w:bCs/>
          <w:sz w:val="28"/>
          <w:szCs w:val="28"/>
        </w:rPr>
        <w:t xml:space="preserve"> Pharma – A Pandemic-Proof Portfolio</w:t>
      </w:r>
    </w:p>
    <w:p w14:paraId="3310DC14" w14:textId="77777777" w:rsidR="00723CA7" w:rsidRDefault="00723CA7" w:rsidP="00723CA7">
      <w:pPr>
        <w:rPr>
          <w:sz w:val="28"/>
          <w:szCs w:val="28"/>
        </w:rPr>
      </w:pPr>
      <w:r w:rsidRPr="00F953F7">
        <w:rPr>
          <w:b/>
          <w:bCs/>
          <w:sz w:val="28"/>
          <w:szCs w:val="28"/>
        </w:rPr>
        <w:t>Components</w:t>
      </w:r>
      <w:r>
        <w:rPr>
          <w:sz w:val="28"/>
          <w:szCs w:val="28"/>
        </w:rPr>
        <w:t xml:space="preserve">: </w:t>
      </w:r>
    </w:p>
    <w:p w14:paraId="28D7BFC9" w14:textId="1668CAE8" w:rsidR="00723CA7" w:rsidRDefault="00723CA7" w:rsidP="00723CA7">
      <w:pPr>
        <w:ind w:left="720" w:firstLine="720"/>
        <w:rPr>
          <w:sz w:val="28"/>
          <w:szCs w:val="28"/>
        </w:rPr>
      </w:pPr>
      <w:r>
        <w:rPr>
          <w:sz w:val="28"/>
          <w:szCs w:val="28"/>
        </w:rPr>
        <w:t>Abbott Laboratories, ABT, $160 billion market capitalization</w:t>
      </w:r>
    </w:p>
    <w:p w14:paraId="77E557A9" w14:textId="7F63B513" w:rsidR="00723CA7" w:rsidRDefault="00723CA7" w:rsidP="00723CA7">
      <w:pPr>
        <w:ind w:left="720" w:firstLine="720"/>
        <w:rPr>
          <w:sz w:val="28"/>
          <w:szCs w:val="28"/>
        </w:rPr>
      </w:pPr>
      <w:r>
        <w:rPr>
          <w:sz w:val="28"/>
          <w:szCs w:val="28"/>
        </w:rPr>
        <w:t xml:space="preserve">Johnson &amp; Johnson, JNJ, $390 billion </w:t>
      </w:r>
    </w:p>
    <w:p w14:paraId="3460DFD6" w14:textId="5D9AFCF9" w:rsidR="00723CA7" w:rsidRDefault="00723CA7" w:rsidP="00723CA7">
      <w:pPr>
        <w:rPr>
          <w:sz w:val="28"/>
          <w:szCs w:val="28"/>
        </w:rPr>
      </w:pPr>
      <w:r>
        <w:rPr>
          <w:sz w:val="28"/>
          <w:szCs w:val="28"/>
        </w:rPr>
        <w:tab/>
      </w:r>
      <w:r>
        <w:rPr>
          <w:sz w:val="28"/>
          <w:szCs w:val="28"/>
        </w:rPr>
        <w:tab/>
        <w:t xml:space="preserve">Merck, MRK, $195 billion </w:t>
      </w:r>
    </w:p>
    <w:p w14:paraId="0377EEE3" w14:textId="7CB18AB8" w:rsidR="00723CA7" w:rsidRDefault="00723CA7" w:rsidP="00723CA7">
      <w:pPr>
        <w:rPr>
          <w:sz w:val="28"/>
          <w:szCs w:val="28"/>
        </w:rPr>
      </w:pPr>
      <w:r>
        <w:rPr>
          <w:sz w:val="28"/>
          <w:szCs w:val="28"/>
        </w:rPr>
        <w:tab/>
      </w:r>
      <w:r>
        <w:rPr>
          <w:sz w:val="28"/>
          <w:szCs w:val="28"/>
        </w:rPr>
        <w:tab/>
        <w:t xml:space="preserve">Pfizer, PFE, $210 billion  </w:t>
      </w:r>
    </w:p>
    <w:p w14:paraId="2B141B49" w14:textId="16FF85F9" w:rsidR="00723CA7" w:rsidRDefault="00723CA7" w:rsidP="00723CA7">
      <w:pPr>
        <w:rPr>
          <w:sz w:val="28"/>
          <w:szCs w:val="28"/>
        </w:rPr>
      </w:pPr>
      <w:r w:rsidRPr="00BF4127">
        <w:rPr>
          <w:b/>
          <w:bCs/>
          <w:sz w:val="28"/>
          <w:szCs w:val="28"/>
        </w:rPr>
        <w:t>Investment Thesis</w:t>
      </w:r>
      <w:r>
        <w:rPr>
          <w:sz w:val="28"/>
          <w:szCs w:val="28"/>
        </w:rPr>
        <w:t xml:space="preserve">: </w:t>
      </w:r>
      <w:r w:rsidR="00FA17D0">
        <w:rPr>
          <w:sz w:val="28"/>
          <w:szCs w:val="28"/>
        </w:rPr>
        <w:t>Harold wants to ensure he has more than one non-discretionary portfolio option to evaluate</w:t>
      </w:r>
      <w:r>
        <w:rPr>
          <w:sz w:val="28"/>
          <w:szCs w:val="28"/>
        </w:rPr>
        <w:t>.</w:t>
      </w:r>
      <w:r w:rsidR="00FA17D0">
        <w:rPr>
          <w:sz w:val="28"/>
          <w:szCs w:val="28"/>
        </w:rPr>
        <w:t xml:space="preserve"> Like food, the pharma industry is essential and during a severe health crisis, he thinks the industry tailwinds would be strong</w:t>
      </w:r>
      <w:r w:rsidR="00B71485">
        <w:rPr>
          <w:sz w:val="28"/>
          <w:szCs w:val="28"/>
        </w:rPr>
        <w:t xml:space="preserve"> as the country intensifies its focus on maintaining good public health</w:t>
      </w:r>
      <w:r w:rsidR="00FA17D0">
        <w:rPr>
          <w:sz w:val="28"/>
          <w:szCs w:val="28"/>
        </w:rPr>
        <w:t xml:space="preserve">. ABT, JNJ, MRK and PFE represent a wide swath of the US-based pharma sectors. </w:t>
      </w:r>
      <w:r w:rsidR="00B71485">
        <w:rPr>
          <w:sz w:val="28"/>
          <w:szCs w:val="28"/>
        </w:rPr>
        <w:t>However, Harold is reticent to make a specific binary bet on the winner of a vaccine to fight the SARS-coV-2 virus, which is why he excluded Gilead from the portfolio. In the event the economic recovery stalls, these leading pharma companies would also provide a strong defensive play if the market rolls over.</w:t>
      </w:r>
    </w:p>
    <w:p w14:paraId="3D67886D" w14:textId="77777777" w:rsidR="00723CA7" w:rsidRDefault="00723CA7" w:rsidP="00723CA7">
      <w:pPr>
        <w:rPr>
          <w:sz w:val="28"/>
          <w:szCs w:val="28"/>
        </w:rPr>
      </w:pPr>
    </w:p>
    <w:p w14:paraId="47E98D52" w14:textId="0DA0E450" w:rsidR="00723CA7" w:rsidRDefault="00723CA7" w:rsidP="00723CA7">
      <w:pPr>
        <w:rPr>
          <w:sz w:val="28"/>
          <w:szCs w:val="28"/>
        </w:rPr>
      </w:pPr>
      <w:r>
        <w:rPr>
          <w:sz w:val="28"/>
          <w:szCs w:val="28"/>
        </w:rPr>
        <w:tab/>
      </w:r>
      <w:r>
        <w:rPr>
          <w:sz w:val="28"/>
          <w:szCs w:val="28"/>
        </w:rPr>
        <w:tab/>
      </w:r>
      <w:r>
        <w:rPr>
          <w:noProof/>
        </w:rPr>
        <w:drawing>
          <wp:inline distT="0" distB="0" distL="0" distR="0" wp14:anchorId="7C538E10" wp14:editId="6B341FDA">
            <wp:extent cx="20955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533400"/>
                    </a:xfrm>
                    <a:prstGeom prst="rect">
                      <a:avLst/>
                    </a:prstGeom>
                    <a:noFill/>
                    <a:ln>
                      <a:noFill/>
                    </a:ln>
                  </pic:spPr>
                </pic:pic>
              </a:graphicData>
            </a:graphic>
          </wp:inline>
        </w:drawing>
      </w:r>
      <w:r>
        <w:rPr>
          <w:sz w:val="28"/>
          <w:szCs w:val="28"/>
        </w:rPr>
        <w:tab/>
      </w:r>
      <w:r>
        <w:rPr>
          <w:noProof/>
        </w:rPr>
        <w:drawing>
          <wp:inline distT="0" distB="0" distL="0" distR="0" wp14:anchorId="412CA650" wp14:editId="53330E49">
            <wp:extent cx="2095500" cy="403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403860"/>
                    </a:xfrm>
                    <a:prstGeom prst="rect">
                      <a:avLst/>
                    </a:prstGeom>
                    <a:noFill/>
                    <a:ln>
                      <a:noFill/>
                    </a:ln>
                  </pic:spPr>
                </pic:pic>
              </a:graphicData>
            </a:graphic>
          </wp:inline>
        </w:drawing>
      </w:r>
      <w:r>
        <w:rPr>
          <w:sz w:val="28"/>
          <w:szCs w:val="28"/>
        </w:rPr>
        <w:tab/>
      </w:r>
      <w:r>
        <w:rPr>
          <w:sz w:val="28"/>
          <w:szCs w:val="28"/>
        </w:rPr>
        <w:tab/>
      </w:r>
      <w:r>
        <w:rPr>
          <w:sz w:val="28"/>
          <w:szCs w:val="28"/>
        </w:rPr>
        <w:tab/>
      </w:r>
      <w:r>
        <w:rPr>
          <w:sz w:val="28"/>
          <w:szCs w:val="28"/>
        </w:rPr>
        <w:tab/>
      </w:r>
      <w:r>
        <w:rPr>
          <w:noProof/>
        </w:rPr>
        <w:drawing>
          <wp:inline distT="0" distB="0" distL="0" distR="0" wp14:anchorId="182BF2DE" wp14:editId="6CE6CF8D">
            <wp:extent cx="190500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00C02D18">
        <w:rPr>
          <w:sz w:val="28"/>
          <w:szCs w:val="28"/>
        </w:rPr>
        <w:t xml:space="preserve">        </w:t>
      </w:r>
      <w:r>
        <w:rPr>
          <w:noProof/>
        </w:rPr>
        <w:drawing>
          <wp:inline distT="0" distB="0" distL="0" distR="0" wp14:anchorId="61D54A24" wp14:editId="7F7B0912">
            <wp:extent cx="1432560" cy="830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2560" cy="830580"/>
                    </a:xfrm>
                    <a:prstGeom prst="rect">
                      <a:avLst/>
                    </a:prstGeom>
                    <a:noFill/>
                    <a:ln>
                      <a:noFill/>
                    </a:ln>
                  </pic:spPr>
                </pic:pic>
              </a:graphicData>
            </a:graphic>
          </wp:inline>
        </w:drawing>
      </w:r>
    </w:p>
    <w:p w14:paraId="2277CA60" w14:textId="6229EEDB" w:rsidR="00723CA7" w:rsidRDefault="00723CA7" w:rsidP="00173E6E">
      <w:pPr>
        <w:rPr>
          <w:sz w:val="28"/>
          <w:szCs w:val="28"/>
        </w:rPr>
      </w:pPr>
    </w:p>
    <w:p w14:paraId="7DBD3639" w14:textId="5ED633C6" w:rsidR="00FA17D0" w:rsidRDefault="00FA17D0" w:rsidP="00173E6E">
      <w:pPr>
        <w:rPr>
          <w:sz w:val="28"/>
          <w:szCs w:val="28"/>
        </w:rPr>
      </w:pPr>
    </w:p>
    <w:p w14:paraId="5A8D1190" w14:textId="70E7AAF5" w:rsidR="00FA17D0" w:rsidRDefault="00FA17D0" w:rsidP="00173E6E">
      <w:pPr>
        <w:rPr>
          <w:sz w:val="28"/>
          <w:szCs w:val="28"/>
        </w:rPr>
      </w:pPr>
    </w:p>
    <w:p w14:paraId="02967D8E" w14:textId="625B707F" w:rsidR="00FA17D0" w:rsidRDefault="00FA17D0" w:rsidP="00173E6E">
      <w:pPr>
        <w:rPr>
          <w:sz w:val="28"/>
          <w:szCs w:val="28"/>
        </w:rPr>
      </w:pPr>
    </w:p>
    <w:p w14:paraId="68F7B604" w14:textId="020EAE4B" w:rsidR="00FA17D0" w:rsidRDefault="00FA17D0" w:rsidP="00173E6E">
      <w:pPr>
        <w:rPr>
          <w:sz w:val="28"/>
          <w:szCs w:val="28"/>
        </w:rPr>
      </w:pPr>
    </w:p>
    <w:p w14:paraId="084129DF" w14:textId="46F01373" w:rsidR="00FA17D0" w:rsidRDefault="00FA17D0" w:rsidP="00173E6E">
      <w:pPr>
        <w:rPr>
          <w:sz w:val="28"/>
          <w:szCs w:val="28"/>
        </w:rPr>
      </w:pPr>
    </w:p>
    <w:p w14:paraId="0326FF89" w14:textId="0A25CA05" w:rsidR="00FA17D0" w:rsidRDefault="00FA17D0" w:rsidP="00173E6E">
      <w:pPr>
        <w:rPr>
          <w:sz w:val="28"/>
          <w:szCs w:val="28"/>
        </w:rPr>
      </w:pPr>
    </w:p>
    <w:p w14:paraId="66C3CB7A" w14:textId="0061F7DC" w:rsidR="00FA17D0" w:rsidRDefault="00FA17D0" w:rsidP="00173E6E">
      <w:pPr>
        <w:rPr>
          <w:sz w:val="28"/>
          <w:szCs w:val="28"/>
        </w:rPr>
      </w:pPr>
    </w:p>
    <w:p w14:paraId="280E0EC0" w14:textId="71E0C163" w:rsidR="00FA17D0" w:rsidRPr="00282FD9" w:rsidRDefault="00FA17D0" w:rsidP="00FA17D0">
      <w:pPr>
        <w:rPr>
          <w:b/>
          <w:bCs/>
          <w:i/>
          <w:iCs/>
          <w:sz w:val="28"/>
          <w:szCs w:val="28"/>
        </w:rPr>
      </w:pPr>
      <w:r w:rsidRPr="00D70776">
        <w:rPr>
          <w:sz w:val="28"/>
          <w:szCs w:val="28"/>
        </w:rPr>
        <w:t xml:space="preserve">[Slide </w:t>
      </w:r>
      <w:r>
        <w:rPr>
          <w:sz w:val="28"/>
          <w:szCs w:val="28"/>
        </w:rPr>
        <w:t>6</w:t>
      </w:r>
      <w:r w:rsidRPr="00D70776">
        <w:rPr>
          <w:sz w:val="28"/>
          <w:szCs w:val="28"/>
        </w:rPr>
        <w:t>]</w:t>
      </w:r>
      <w:r>
        <w:rPr>
          <w:b/>
          <w:bCs/>
          <w:sz w:val="28"/>
          <w:szCs w:val="28"/>
        </w:rPr>
        <w:t xml:space="preserve"> The Hedge Portfolio – In Case the Worst is Yet to Come</w:t>
      </w:r>
    </w:p>
    <w:p w14:paraId="47049BF3" w14:textId="77777777" w:rsidR="00801B2E" w:rsidRDefault="00801B2E" w:rsidP="00801B2E">
      <w:pPr>
        <w:pStyle w:val="NormalWeb"/>
        <w:shd w:val="clear" w:color="auto" w:fill="FFFFFF"/>
        <w:spacing w:before="0" w:beforeAutospacing="0" w:after="120" w:afterAutospacing="0"/>
        <w:rPr>
          <w:rFonts w:ascii="Helvetica" w:hAnsi="Helvetica" w:cs="Helvetica"/>
          <w:color w:val="000000"/>
          <w:sz w:val="21"/>
          <w:szCs w:val="21"/>
        </w:rPr>
      </w:pPr>
      <w:r w:rsidRPr="00801B2E">
        <w:rPr>
          <w:rFonts w:ascii="Helvetica" w:hAnsi="Helvetica" w:cs="Helvetica"/>
          <w:b/>
          <w:bCs/>
          <w:color w:val="000000"/>
          <w:sz w:val="21"/>
          <w:szCs w:val="21"/>
        </w:rPr>
        <w:t>Components</w:t>
      </w:r>
      <w:r>
        <w:rPr>
          <w:rFonts w:ascii="Helvetica" w:hAnsi="Helvetica" w:cs="Helvetica"/>
          <w:color w:val="000000"/>
          <w:sz w:val="21"/>
          <w:szCs w:val="21"/>
        </w:rPr>
        <w:t>: </w:t>
      </w:r>
    </w:p>
    <w:p w14:paraId="16DF942B" w14:textId="77777777" w:rsidR="00801B2E" w:rsidRDefault="00801B2E" w:rsidP="00801B2E">
      <w:pPr>
        <w:pStyle w:val="NormalWeb"/>
        <w:shd w:val="clear" w:color="auto" w:fill="FFFFFF"/>
        <w:spacing w:before="0" w:beforeAutospacing="0" w:after="120" w:afterAutospacing="0"/>
        <w:ind w:left="540" w:firstLine="540"/>
        <w:rPr>
          <w:rFonts w:ascii="Helvetica" w:hAnsi="Helvetica" w:cs="Helvetica"/>
          <w:color w:val="000000"/>
          <w:sz w:val="21"/>
          <w:szCs w:val="21"/>
        </w:rPr>
      </w:pPr>
      <w:r>
        <w:rPr>
          <w:rFonts w:ascii="Helvetica" w:hAnsi="Helvetica" w:cs="Helvetica"/>
          <w:color w:val="000000"/>
          <w:sz w:val="21"/>
          <w:szCs w:val="21"/>
        </w:rPr>
        <w:t>Bitcoin, BTC, $165 billion market capitalization</w:t>
      </w:r>
    </w:p>
    <w:p w14:paraId="1A43F5C3" w14:textId="77777777" w:rsidR="00801B2E" w:rsidRDefault="00801B2E" w:rsidP="00801B2E">
      <w:pPr>
        <w:pStyle w:val="NormalWeb"/>
        <w:shd w:val="clear" w:color="auto" w:fill="FFFFFF"/>
        <w:spacing w:before="0" w:beforeAutospacing="0" w:after="120" w:afterAutospacing="0"/>
        <w:ind w:left="540" w:firstLine="540"/>
        <w:rPr>
          <w:rFonts w:ascii="Helvetica" w:hAnsi="Helvetica" w:cs="Helvetica"/>
          <w:color w:val="000000"/>
          <w:sz w:val="21"/>
          <w:szCs w:val="21"/>
        </w:rPr>
      </w:pPr>
      <w:r>
        <w:rPr>
          <w:rFonts w:ascii="Helvetica" w:hAnsi="Helvetica" w:cs="Helvetica"/>
          <w:color w:val="000000"/>
          <w:sz w:val="21"/>
          <w:szCs w:val="21"/>
        </w:rPr>
        <w:t>Ether, ETH, $23 billion </w:t>
      </w:r>
    </w:p>
    <w:p w14:paraId="3C37FFE6" w14:textId="77777777" w:rsidR="00801B2E" w:rsidRDefault="00801B2E" w:rsidP="00801B2E">
      <w:pPr>
        <w:pStyle w:val="NormalWeb"/>
        <w:shd w:val="clear" w:color="auto" w:fill="FFFFFF"/>
        <w:spacing w:before="0" w:beforeAutospacing="0" w:after="120" w:afterAutospacing="0"/>
        <w:ind w:left="360" w:firstLine="720"/>
        <w:rPr>
          <w:rFonts w:ascii="Helvetica" w:hAnsi="Helvetica" w:cs="Helvetica"/>
          <w:color w:val="000000"/>
          <w:sz w:val="21"/>
          <w:szCs w:val="21"/>
        </w:rPr>
      </w:pPr>
      <w:r>
        <w:rPr>
          <w:rFonts w:ascii="Helvetica" w:hAnsi="Helvetica" w:cs="Helvetica"/>
          <w:color w:val="000000"/>
          <w:sz w:val="21"/>
          <w:szCs w:val="21"/>
        </w:rPr>
        <w:t>SPDR Gold Shares, GLD, $42 billion </w:t>
      </w:r>
    </w:p>
    <w:p w14:paraId="4B60EE06" w14:textId="65074C2D" w:rsidR="00801B2E" w:rsidRDefault="00801B2E" w:rsidP="00801B2E">
      <w:pPr>
        <w:pStyle w:val="NormalWeb"/>
        <w:shd w:val="clear" w:color="auto" w:fill="FFFFFF"/>
        <w:spacing w:before="0" w:beforeAutospacing="0" w:after="120" w:afterAutospacing="0"/>
        <w:ind w:left="720" w:firstLine="360"/>
        <w:rPr>
          <w:rFonts w:ascii="Helvetica" w:hAnsi="Helvetica" w:cs="Helvetica"/>
          <w:color w:val="000000"/>
          <w:sz w:val="21"/>
          <w:szCs w:val="21"/>
        </w:rPr>
      </w:pPr>
      <w:r>
        <w:rPr>
          <w:rFonts w:ascii="Helvetica" w:hAnsi="Helvetica" w:cs="Helvetica"/>
          <w:color w:val="000000"/>
          <w:sz w:val="21"/>
          <w:szCs w:val="21"/>
        </w:rPr>
        <w:t>iShares Silver Trust, SLV, $14 billion  </w:t>
      </w:r>
    </w:p>
    <w:p w14:paraId="640255E7" w14:textId="77777777" w:rsidR="00801B2E" w:rsidRDefault="00801B2E" w:rsidP="00801B2E">
      <w:pPr>
        <w:pStyle w:val="NormalWeb"/>
        <w:shd w:val="clear" w:color="auto" w:fill="FFFFFF"/>
        <w:spacing w:before="0" w:beforeAutospacing="0" w:after="120" w:afterAutospacing="0"/>
        <w:ind w:left="720" w:firstLine="360"/>
        <w:rPr>
          <w:rFonts w:ascii="Helvetica" w:hAnsi="Helvetica" w:cs="Helvetica"/>
          <w:color w:val="000000"/>
          <w:sz w:val="21"/>
          <w:szCs w:val="21"/>
        </w:rPr>
      </w:pPr>
    </w:p>
    <w:p w14:paraId="6098435B" w14:textId="4D8EF8FA" w:rsidR="00801B2E" w:rsidRDefault="00801B2E" w:rsidP="00801B2E">
      <w:pPr>
        <w:pStyle w:val="NormalWeb"/>
        <w:shd w:val="clear" w:color="auto" w:fill="FFFFFF"/>
        <w:spacing w:before="0" w:beforeAutospacing="0" w:after="120" w:afterAutospacing="0"/>
        <w:rPr>
          <w:rFonts w:ascii="Helvetica" w:hAnsi="Helvetica" w:cs="Helvetica"/>
          <w:color w:val="000000"/>
          <w:sz w:val="21"/>
          <w:szCs w:val="21"/>
        </w:rPr>
      </w:pPr>
      <w:r w:rsidRPr="00801B2E">
        <w:rPr>
          <w:rFonts w:ascii="Helvetica" w:hAnsi="Helvetica" w:cs="Helvetica"/>
          <w:b/>
          <w:bCs/>
          <w:color w:val="000000"/>
          <w:sz w:val="21"/>
          <w:szCs w:val="21"/>
        </w:rPr>
        <w:t>Investment Thesis</w:t>
      </w:r>
      <w:r>
        <w:rPr>
          <w:rFonts w:ascii="Helvetica" w:hAnsi="Helvetica" w:cs="Helvetica"/>
          <w:color w:val="000000"/>
          <w:sz w:val="21"/>
          <w:szCs w:val="21"/>
        </w:rPr>
        <w:t>: Harold insists we also test a basket of investments that could present non-correlated characteristics to portfolios with widely-held equities. He selected the two major cryptocurrencies (BTC, ETH) along with two major funds tracking major precious metals (G</w:t>
      </w:r>
      <w:r w:rsidR="002E0FFB">
        <w:rPr>
          <w:rFonts w:ascii="Helvetica" w:hAnsi="Helvetica" w:cs="Helvetica"/>
          <w:color w:val="000000"/>
          <w:sz w:val="21"/>
          <w:szCs w:val="21"/>
        </w:rPr>
        <w:t>LD</w:t>
      </w:r>
      <w:r>
        <w:rPr>
          <w:rFonts w:ascii="Helvetica" w:hAnsi="Helvetica" w:cs="Helvetica"/>
          <w:color w:val="000000"/>
          <w:sz w:val="21"/>
          <w:szCs w:val="21"/>
        </w:rPr>
        <w:t>, S</w:t>
      </w:r>
      <w:r w:rsidR="002E0FFB">
        <w:rPr>
          <w:rFonts w:ascii="Helvetica" w:hAnsi="Helvetica" w:cs="Helvetica"/>
          <w:color w:val="000000"/>
          <w:sz w:val="21"/>
          <w:szCs w:val="21"/>
        </w:rPr>
        <w:t>LV</w:t>
      </w:r>
      <w:r>
        <w:rPr>
          <w:rFonts w:ascii="Helvetica" w:hAnsi="Helvetica" w:cs="Helvetica"/>
          <w:color w:val="000000"/>
          <w:sz w:val="21"/>
          <w:szCs w:val="21"/>
        </w:rPr>
        <w:t>). Though Bitcoin and Ether have not surpassed high watermarks set in 2017, Harold believes this presents a good investment opportunity for the chance there is mainstream adoption and bull run. Bitcoin has a unique value proposition replicating the scarcity gold and silver but in a digital fashion. Bitcoin boasts a fixed supply cap of 21 million coins, arguably a hedge against exploding budget deficits and extreme monetary policy as evidenced by crashing Treasury yields. The Ethereum network is underway a several year transition period to move from a Proof of Work model to Proof of Stake model. To participate in Proof of Stake, holders lock their Ether in a smart contract thus lowering available circulating supply. Gold</w:t>
      </w:r>
      <w:r w:rsidR="002E0FFB">
        <w:rPr>
          <w:rFonts w:ascii="Helvetica" w:hAnsi="Helvetica" w:cs="Helvetica"/>
          <w:color w:val="000000"/>
          <w:sz w:val="21"/>
          <w:szCs w:val="21"/>
        </w:rPr>
        <w:t xml:space="preserve"> has been universally trusted as a defense against hyperinflation,</w:t>
      </w:r>
      <w:r>
        <w:rPr>
          <w:rFonts w:ascii="Helvetica" w:hAnsi="Helvetica" w:cs="Helvetica"/>
          <w:color w:val="000000"/>
          <w:sz w:val="21"/>
          <w:szCs w:val="21"/>
        </w:rPr>
        <w:t xml:space="preserve"> </w:t>
      </w:r>
      <w:r w:rsidR="002E0FFB">
        <w:rPr>
          <w:rFonts w:ascii="Helvetica" w:hAnsi="Helvetica" w:cs="Helvetica"/>
          <w:color w:val="000000"/>
          <w:sz w:val="21"/>
          <w:szCs w:val="21"/>
        </w:rPr>
        <w:t>chaotic</w:t>
      </w:r>
      <w:r>
        <w:rPr>
          <w:rFonts w:ascii="Helvetica" w:hAnsi="Helvetica" w:cs="Helvetica"/>
          <w:color w:val="000000"/>
          <w:sz w:val="21"/>
          <w:szCs w:val="21"/>
        </w:rPr>
        <w:t xml:space="preserve"> monetary policy and</w:t>
      </w:r>
      <w:r w:rsidR="002E0FFB">
        <w:rPr>
          <w:rFonts w:ascii="Helvetica" w:hAnsi="Helvetica" w:cs="Helvetica"/>
          <w:color w:val="000000"/>
          <w:sz w:val="21"/>
          <w:szCs w:val="21"/>
        </w:rPr>
        <w:t xml:space="preserve"> economic </w:t>
      </w:r>
      <w:r>
        <w:rPr>
          <w:rFonts w:ascii="Helvetica" w:hAnsi="Helvetica" w:cs="Helvetica"/>
          <w:color w:val="000000"/>
          <w:sz w:val="21"/>
          <w:szCs w:val="21"/>
        </w:rPr>
        <w:t>uncertainty</w:t>
      </w:r>
      <w:r w:rsidR="002E0FFB">
        <w:rPr>
          <w:rFonts w:ascii="Helvetica" w:hAnsi="Helvetica" w:cs="Helvetica"/>
          <w:color w:val="000000"/>
          <w:sz w:val="21"/>
          <w:szCs w:val="21"/>
        </w:rPr>
        <w:t xml:space="preserve"> for thousands of years in addition to its use for jewelry and in some industrial applications.</w:t>
      </w:r>
      <w:r>
        <w:rPr>
          <w:rFonts w:ascii="Helvetica" w:hAnsi="Helvetica" w:cs="Helvetica"/>
          <w:color w:val="000000"/>
          <w:sz w:val="21"/>
          <w:szCs w:val="21"/>
        </w:rPr>
        <w:t xml:space="preserve"> Though gold has traditionally </w:t>
      </w:r>
      <w:r w:rsidR="002E0FFB">
        <w:rPr>
          <w:rFonts w:ascii="Helvetica" w:hAnsi="Helvetica" w:cs="Helvetica"/>
          <w:color w:val="000000"/>
          <w:sz w:val="21"/>
          <w:szCs w:val="21"/>
        </w:rPr>
        <w:t>been favored over silver in</w:t>
      </w:r>
      <w:r>
        <w:rPr>
          <w:rFonts w:ascii="Helvetica" w:hAnsi="Helvetica" w:cs="Helvetica"/>
          <w:color w:val="000000"/>
          <w:sz w:val="21"/>
          <w:szCs w:val="21"/>
        </w:rPr>
        <w:t xml:space="preserve"> expressing th</w:t>
      </w:r>
      <w:r w:rsidR="002E0FFB">
        <w:rPr>
          <w:rFonts w:ascii="Helvetica" w:hAnsi="Helvetica" w:cs="Helvetica"/>
          <w:color w:val="000000"/>
          <w:sz w:val="21"/>
          <w:szCs w:val="21"/>
        </w:rPr>
        <w:t>ese themes</w:t>
      </w:r>
      <w:r>
        <w:rPr>
          <w:rFonts w:ascii="Helvetica" w:hAnsi="Helvetica" w:cs="Helvetica"/>
          <w:color w:val="000000"/>
          <w:sz w:val="21"/>
          <w:szCs w:val="21"/>
        </w:rPr>
        <w:t>, Harold also wanted silver (SLV) represented due to the extreme 114 gold-to-silver ratio which is significantly above long-term averages</w:t>
      </w:r>
      <w:r w:rsidR="002E0FFB">
        <w:rPr>
          <w:rFonts w:ascii="Helvetica" w:hAnsi="Helvetica" w:cs="Helvetica"/>
          <w:color w:val="000000"/>
          <w:sz w:val="21"/>
          <w:szCs w:val="21"/>
        </w:rPr>
        <w:t xml:space="preserve"> in case of short-term retracement toward the 20-year average of 60</w:t>
      </w:r>
      <w:r>
        <w:rPr>
          <w:rFonts w:ascii="Helvetica" w:hAnsi="Helvetica" w:cs="Helvetica"/>
          <w:color w:val="000000"/>
          <w:sz w:val="21"/>
          <w:szCs w:val="21"/>
        </w:rPr>
        <w:t>.</w:t>
      </w:r>
    </w:p>
    <w:p w14:paraId="6C4B33DA" w14:textId="18CE2CFA" w:rsidR="00FA17D0" w:rsidRDefault="00FA17D0" w:rsidP="00FA17D0">
      <w:pPr>
        <w:rPr>
          <w:sz w:val="28"/>
          <w:szCs w:val="28"/>
        </w:rPr>
      </w:pPr>
      <w:r>
        <w:rPr>
          <w:sz w:val="28"/>
          <w:szCs w:val="28"/>
        </w:rPr>
        <w:tab/>
      </w:r>
      <w:r>
        <w:rPr>
          <w:noProof/>
        </w:rPr>
        <w:drawing>
          <wp:inline distT="0" distB="0" distL="0" distR="0" wp14:anchorId="33021F69" wp14:editId="5690AB0E">
            <wp:extent cx="2400300" cy="502920"/>
            <wp:effectExtent l="0" t="0" r="0" b="0"/>
            <wp:docPr id="30" name="Picture 30" descr="Prevailing bitco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ailing bitcoin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502920"/>
                    </a:xfrm>
                    <a:prstGeom prst="rect">
                      <a:avLst/>
                    </a:prstGeom>
                    <a:noFill/>
                    <a:ln>
                      <a:noFill/>
                    </a:ln>
                  </pic:spPr>
                </pic:pic>
              </a:graphicData>
            </a:graphic>
          </wp:inline>
        </w:drawing>
      </w:r>
      <w:r>
        <w:rPr>
          <w:sz w:val="28"/>
          <w:szCs w:val="28"/>
        </w:rPr>
        <w:tab/>
      </w:r>
      <w:r>
        <w:rPr>
          <w:noProof/>
        </w:rPr>
        <w:drawing>
          <wp:inline distT="0" distB="0" distL="0" distR="0" wp14:anchorId="48EBE2E5" wp14:editId="32C6BEF1">
            <wp:extent cx="1249680" cy="12496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Pr>
          <w:sz w:val="28"/>
          <w:szCs w:val="28"/>
        </w:rPr>
        <w:tab/>
      </w:r>
      <w:r>
        <w:rPr>
          <w:sz w:val="28"/>
          <w:szCs w:val="28"/>
        </w:rPr>
        <w:tab/>
      </w:r>
    </w:p>
    <w:p w14:paraId="699FA244" w14:textId="47502336" w:rsidR="00173E6E" w:rsidRPr="00682A13" w:rsidRDefault="00FA17D0" w:rsidP="00346650">
      <w:pPr>
        <w:rPr>
          <w:sz w:val="28"/>
          <w:szCs w:val="28"/>
        </w:rPr>
      </w:pPr>
      <w:r>
        <w:rPr>
          <w:sz w:val="28"/>
          <w:szCs w:val="28"/>
        </w:rPr>
        <w:tab/>
      </w:r>
      <w:r>
        <w:rPr>
          <w:sz w:val="28"/>
          <w:szCs w:val="28"/>
        </w:rPr>
        <w:tab/>
      </w:r>
      <w:r>
        <w:rPr>
          <w:sz w:val="28"/>
          <w:szCs w:val="28"/>
        </w:rPr>
        <w:tab/>
      </w:r>
      <w:r>
        <w:rPr>
          <w:noProof/>
        </w:rPr>
        <w:drawing>
          <wp:inline distT="0" distB="0" distL="0" distR="0" wp14:anchorId="01060682" wp14:editId="68640957">
            <wp:extent cx="1595120" cy="1196340"/>
            <wp:effectExtent l="0" t="0" r="5080" b="3810"/>
            <wp:docPr id="32" name="Picture 32" descr="Au Gold/ Gold Bars - View Specifications &amp; Details of Gold Bars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 Gold/ Gold Bars - View Specifications &amp; Details of Gold Bars by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5120" cy="119634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1171A7E3" wp14:editId="08A7E7DC">
            <wp:extent cx="2377440" cy="1480040"/>
            <wp:effectExtent l="0" t="0" r="381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440" cy="1480040"/>
                    </a:xfrm>
                    <a:prstGeom prst="rect">
                      <a:avLst/>
                    </a:prstGeom>
                    <a:noFill/>
                    <a:ln>
                      <a:noFill/>
                    </a:ln>
                  </pic:spPr>
                </pic:pic>
              </a:graphicData>
            </a:graphic>
          </wp:inline>
        </w:drawing>
      </w:r>
    </w:p>
    <w:sectPr w:rsidR="00173E6E" w:rsidRPr="0068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2E45"/>
    <w:multiLevelType w:val="hybridMultilevel"/>
    <w:tmpl w:val="0C66FE98"/>
    <w:lvl w:ilvl="0" w:tplc="C58878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C0FF6"/>
    <w:multiLevelType w:val="hybridMultilevel"/>
    <w:tmpl w:val="53E4A5E6"/>
    <w:lvl w:ilvl="0" w:tplc="CB1EC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E86EF0"/>
    <w:multiLevelType w:val="hybridMultilevel"/>
    <w:tmpl w:val="10E2F908"/>
    <w:lvl w:ilvl="0" w:tplc="7AD0DD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D500B0"/>
    <w:multiLevelType w:val="hybridMultilevel"/>
    <w:tmpl w:val="9A78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0"/>
    <w:rsid w:val="00002489"/>
    <w:rsid w:val="00030990"/>
    <w:rsid w:val="0006508E"/>
    <w:rsid w:val="00173E6E"/>
    <w:rsid w:val="00255585"/>
    <w:rsid w:val="00282FD9"/>
    <w:rsid w:val="002857A5"/>
    <w:rsid w:val="002C2689"/>
    <w:rsid w:val="002E0FFB"/>
    <w:rsid w:val="00346650"/>
    <w:rsid w:val="003D6CF6"/>
    <w:rsid w:val="00490524"/>
    <w:rsid w:val="004C6D23"/>
    <w:rsid w:val="00614EB3"/>
    <w:rsid w:val="006358DA"/>
    <w:rsid w:val="00682A13"/>
    <w:rsid w:val="00723CA7"/>
    <w:rsid w:val="007A14DE"/>
    <w:rsid w:val="00801B2E"/>
    <w:rsid w:val="00862BEC"/>
    <w:rsid w:val="00883F0A"/>
    <w:rsid w:val="008B470A"/>
    <w:rsid w:val="009C257B"/>
    <w:rsid w:val="00A56915"/>
    <w:rsid w:val="00A66259"/>
    <w:rsid w:val="00AD637A"/>
    <w:rsid w:val="00B2227F"/>
    <w:rsid w:val="00B40814"/>
    <w:rsid w:val="00B71485"/>
    <w:rsid w:val="00BD70D4"/>
    <w:rsid w:val="00BF4127"/>
    <w:rsid w:val="00C02D18"/>
    <w:rsid w:val="00C07301"/>
    <w:rsid w:val="00C07F12"/>
    <w:rsid w:val="00CB0929"/>
    <w:rsid w:val="00CE0781"/>
    <w:rsid w:val="00CE6299"/>
    <w:rsid w:val="00CF1007"/>
    <w:rsid w:val="00D70776"/>
    <w:rsid w:val="00D938FB"/>
    <w:rsid w:val="00F007DC"/>
    <w:rsid w:val="00F953F7"/>
    <w:rsid w:val="00FA17D0"/>
    <w:rsid w:val="00FA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E198"/>
  <w15:chartTrackingRefBased/>
  <w15:docId w15:val="{916B8067-EC76-4809-8A8E-C2D63E25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FB"/>
    <w:pPr>
      <w:ind w:left="720"/>
      <w:contextualSpacing/>
    </w:pPr>
  </w:style>
  <w:style w:type="paragraph" w:styleId="NormalWeb">
    <w:name w:val="Normal (Web)"/>
    <w:basedOn w:val="Normal"/>
    <w:uiPriority w:val="99"/>
    <w:semiHidden/>
    <w:unhideWhenUsed/>
    <w:rsid w:val="00801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462502">
      <w:bodyDiv w:val="1"/>
      <w:marLeft w:val="0"/>
      <w:marRight w:val="0"/>
      <w:marTop w:val="0"/>
      <w:marBottom w:val="0"/>
      <w:divBdr>
        <w:top w:val="none" w:sz="0" w:space="0" w:color="auto"/>
        <w:left w:val="none" w:sz="0" w:space="0" w:color="auto"/>
        <w:bottom w:val="none" w:sz="0" w:space="0" w:color="auto"/>
        <w:right w:val="none" w:sz="0" w:space="0" w:color="auto"/>
      </w:divBdr>
    </w:div>
    <w:div w:id="169183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tbrodarick@gmail.com</dc:creator>
  <cp:keywords/>
  <dc:description/>
  <cp:lastModifiedBy>tbrodarick@gmail.com</cp:lastModifiedBy>
  <cp:revision>20</cp:revision>
  <dcterms:created xsi:type="dcterms:W3CDTF">2020-05-02T19:29:00Z</dcterms:created>
  <dcterms:modified xsi:type="dcterms:W3CDTF">2020-05-05T02:19:00Z</dcterms:modified>
</cp:coreProperties>
</file>