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Санкт-Петербургский Национальный Исследовательский</w:t>
        <w:br/>
        <w:t>Университет ИТМО</w:t>
      </w:r>
    </w:p>
    <w:p>
      <w:pPr>
        <w:pStyle w:val="Normal"/>
        <w:spacing w:lineRule="auto" w:line="36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Факультет программной инженерии и компьютерной техники</w:t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spacing w:lineRule="auto" w:line="360"/>
        <w:jc w:val="center"/>
        <w:rPr>
          <w:b/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Лабораторная работа №</w:t>
      </w:r>
      <w:r>
        <w:rPr>
          <w:b/>
          <w:sz w:val="40"/>
          <w:szCs w:val="40"/>
          <w:lang w:val="ru-RU"/>
        </w:rPr>
        <w:t>6</w:t>
      </w:r>
    </w:p>
    <w:p>
      <w:pPr>
        <w:pStyle w:val="Normal"/>
        <w:spacing w:lineRule="auto" w:line="36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По “Основы профессиональной деятельности”</w:t>
      </w:r>
    </w:p>
    <w:p>
      <w:pPr>
        <w:pStyle w:val="Normal"/>
        <w:spacing w:lineRule="auto" w:line="36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Вариант 14</w:t>
      </w:r>
      <w:r>
        <w:rPr>
          <w:sz w:val="40"/>
          <w:szCs w:val="40"/>
          <w:lang w:val="ru-RU"/>
        </w:rPr>
        <w:t>718</w:t>
      </w:r>
    </w:p>
    <w:p>
      <w:pPr>
        <w:pStyle w:val="Normal"/>
        <w:spacing w:lineRule="auto" w:line="36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spacing w:lineRule="auto" w:line="36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spacing w:lineRule="auto" w:line="360" w:before="0" w:after="0"/>
        <w:jc w:val="right"/>
        <w:rPr>
          <w:lang w:val="ru-RU"/>
        </w:rPr>
      </w:pPr>
      <w:r>
        <w:rPr>
          <w:i/>
          <w:color w:val="404040"/>
          <w:lang w:val="ru-RU"/>
        </w:rPr>
        <w:t>Выполнила:</w:t>
      </w:r>
      <w:r>
        <w:rPr>
          <w:color w:val="000000"/>
          <w:sz w:val="32"/>
          <w:szCs w:val="32"/>
          <w:lang w:val="ru-RU"/>
        </w:rPr>
        <w:t xml:space="preserve"> </w:t>
      </w:r>
    </w:p>
    <w:p>
      <w:pPr>
        <w:pStyle w:val="Normal"/>
        <w:spacing w:lineRule="auto" w:line="360" w:before="0" w:after="0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Брель Мария Владимировна  P3107</w:t>
      </w:r>
    </w:p>
    <w:p>
      <w:pPr>
        <w:pStyle w:val="Normal"/>
        <w:spacing w:lineRule="auto" w:line="360" w:before="0" w:after="0"/>
        <w:jc w:val="right"/>
        <w:rPr>
          <w:i/>
          <w:i/>
          <w:color w:val="404040"/>
          <w:lang w:val="ru-RU"/>
        </w:rPr>
      </w:pPr>
      <w:r>
        <w:rPr>
          <w:i/>
          <w:color w:val="404040"/>
          <w:lang w:val="ru-RU"/>
        </w:rPr>
        <w:t>Преподаватель:</w:t>
      </w:r>
    </w:p>
    <w:p>
      <w:pPr>
        <w:pStyle w:val="Normal"/>
        <w:spacing w:lineRule="auto" w:line="360" w:before="0" w:after="0"/>
        <w:jc w:val="right"/>
        <w:rPr>
          <w:lang w:val="ru-RU"/>
        </w:rPr>
      </w:pPr>
      <w:r>
        <w:rPr>
          <w:lang w:val="ru-RU"/>
        </w:rPr>
        <w:t>Вербовой Александр Александрович</w:t>
      </w:r>
    </w:p>
    <w:p>
      <w:pPr>
        <w:pStyle w:val="Normal"/>
        <w:spacing w:lineRule="auto" w:line="360"/>
        <w:jc w:val="center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spacing w:lineRule="auto" w:line="36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spacing w:lineRule="auto" w:line="360"/>
        <w:jc w:val="center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spacing w:lineRule="auto" w:line="36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spacing w:lineRule="auto" w:line="360"/>
        <w:jc w:val="center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spacing w:lineRule="auto" w:line="360"/>
        <w:jc w:val="center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spacing w:lineRule="auto" w:line="360"/>
        <w:jc w:val="center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spacing w:lineRule="auto" w:line="36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Санкт-Петербург</w:t>
      </w:r>
    </w:p>
    <w:p>
      <w:pPr>
        <w:pStyle w:val="Normal"/>
        <w:spacing w:lineRule="auto" w:line="360"/>
        <w:jc w:val="center"/>
        <w:rPr>
          <w:sz w:val="20"/>
          <w:szCs w:val="20"/>
        </w:rPr>
      </w:pPr>
      <w:r>
        <w:rPr>
          <w:sz w:val="20"/>
          <w:szCs w:val="20"/>
        </w:rPr>
        <w:t>2024</w:t>
      </w:r>
    </w:p>
    <w:p>
      <w:pPr>
        <w:pStyle w:val="Normal"/>
        <w:keepNext w:val="true"/>
        <w:keepLines/>
        <w:spacing w:lineRule="auto" w:line="360" w:before="480" w:after="0"/>
        <w:jc w:val="center"/>
        <w:rPr>
          <w:b/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20"/>
              <w:tab w:val="right" w:pos="10466" w:leader="dot"/>
            </w:tabs>
            <w:rPr/>
          </w:pPr>
          <w:r>
            <w:fldChar w:fldCharType="begin"/>
          </w:r>
          <w:r>
            <w:rPr/>
            <w:instrText xml:space="preserve"> TOC \o "1-9" \h</w:instrText>
          </w:r>
          <w:r>
            <w:rPr/>
            <w:fldChar w:fldCharType="separate"/>
          </w:r>
          <w:hyperlink w:anchor="__RefHeading___Toc12835_2286687196">
            <w:r>
              <w:rPr/>
              <w:t>Задание</w:t>
              <w:tab/>
              <w:t>3</w:t>
            </w:r>
          </w:hyperlink>
        </w:p>
        <w:p>
          <w:pPr>
            <w:pStyle w:val="11"/>
            <w:tabs>
              <w:tab w:val="clear" w:pos="720"/>
              <w:tab w:val="right" w:pos="10466" w:leader="dot"/>
            </w:tabs>
            <w:rPr/>
          </w:pPr>
          <w:hyperlink w:anchor="__RefHeading___Toc12837_2286687196">
            <w:r>
              <w:rPr/>
              <w:t>Основные этапы вычисления</w:t>
              <w:tab/>
              <w:t>4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39_22866871961">
            <w:r>
              <w:rPr/>
              <w:t>1.1 Программа на ассемблере</w:t>
              <w:tab/>
              <w:t>4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3_2286687196">
            <w:r>
              <w:rPr/>
              <w:t>1.2 Область представления</w:t>
              <w:tab/>
              <w:t>6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3_22866871961">
            <w:r>
              <w:rPr/>
              <w:t>1.3 Область допустимых значений</w:t>
              <w:tab/>
              <w:t>6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5_2286687196">
            <w:r>
              <w:rPr/>
              <w:t>1.4 Расположение данных в памяти</w:t>
              <w:tab/>
              <w:t>6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5_22866871961">
            <w:r>
              <w:rPr/>
              <w:t>1.5 Методика проверки программы</w:t>
              <w:tab/>
              <w:t>7</w:t>
            </w:r>
          </w:hyperlink>
        </w:p>
        <w:p>
          <w:pPr>
            <w:pStyle w:val="11"/>
            <w:tabs>
              <w:tab w:val="clear" w:pos="720"/>
              <w:tab w:val="right" w:pos="10466" w:leader="dot"/>
            </w:tabs>
            <w:rPr/>
          </w:pPr>
          <w:hyperlink w:anchor="__RefHeading___Toc12853_2286687196">
            <w:r>
              <w:rPr/>
              <w:t>Вывод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1"/>
        <w:suppressAutoHyphens w:val="false"/>
        <w:spacing w:lineRule="auto" w:line="360"/>
        <w:jc w:val="center"/>
        <w:rPr/>
      </w:pPr>
      <w:bookmarkStart w:id="0" w:name="__RefHeading___Toc12835_2286687196"/>
      <w:bookmarkStart w:id="1" w:name="_Toc88337925"/>
      <w:bookmarkEnd w:id="0"/>
      <w:r>
        <w:rPr/>
        <w:t>Задание</w:t>
      </w:r>
      <w:bookmarkEnd w:id="1"/>
    </w:p>
    <w:p>
      <w:pPr>
        <w:pStyle w:val="Normal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6777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/>
        <w:jc w:val="center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uppressAutoHyphens w:val="false"/>
        <w:spacing w:lineRule="auto" w:line="360"/>
        <w:jc w:val="center"/>
        <w:rPr>
          <w:lang w:val="ru-RU"/>
        </w:rPr>
      </w:pPr>
      <w:bookmarkStart w:id="2" w:name="__RefHeading___Toc12837_2286687196"/>
      <w:bookmarkStart w:id="3" w:name="_Toc88337926"/>
      <w:bookmarkEnd w:id="2"/>
      <w:r>
        <w:rPr>
          <w:lang w:val="ru-RU"/>
        </w:rPr>
        <w:t>Основные этапы вычисления</w:t>
      </w:r>
      <w:bookmarkEnd w:id="3"/>
    </w:p>
    <w:p>
      <w:pPr>
        <w:pStyle w:val="2"/>
        <w:rPr>
          <w:lang w:val="ru-RU"/>
        </w:rPr>
      </w:pPr>
      <w:bookmarkStart w:id="4" w:name="__RefHeading___Toc12839_22866871961"/>
      <w:bookmarkStart w:id="5" w:name="_Toc883379271"/>
      <w:bookmarkEnd w:id="4"/>
      <w:r>
        <w:rPr>
          <w:lang w:val="ru-RU"/>
        </w:rPr>
        <w:t xml:space="preserve">1.1 </w:t>
      </w:r>
      <w:bookmarkEnd w:id="5"/>
      <w:r>
        <w:rPr>
          <w:lang w:val="ru-RU"/>
        </w:rPr>
        <w:t>Программа на ассемблере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 0x0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V0: WORD $default, 0X180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V1: WORD $int1,    0X180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V2: WORD $int2,    0X180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V3: WORD $default, 0x180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V4: WORD $default, 0X180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V5: WORD $default, 0X180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V6: WORD $default, 0X180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V7: WORD $default, 0X180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 0x04F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x: WORD ?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max: WORD 0x0015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min: WORD 0xFFE</w:t>
            </w:r>
            <w:r>
              <w:rPr>
                <w:sz w:val="20"/>
                <w:szCs w:val="20"/>
              </w:rPr>
              <w:t>A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0"/>
              <w:rPr>
                <w:sz w:val="20"/>
                <w:szCs w:val="20"/>
                <w:lang w:val="ru-RU" w:eastAsia="en-GB" w:bidi="ar-SA"/>
              </w:rPr>
            </w:pPr>
            <w:r>
              <w:rPr>
                <w:sz w:val="20"/>
                <w:szCs w:val="20"/>
                <w:lang w:val="ru-RU" w:eastAsia="en-GB" w:bidi="ar-SA"/>
              </w:rPr>
              <w:t>; Обработка прерываний по умолчанию</w:t>
            </w:r>
          </w:p>
          <w:p>
            <w:pPr>
              <w:pStyle w:val="Style20"/>
              <w:rPr>
                <w:sz w:val="20"/>
                <w:szCs w:val="20"/>
                <w:lang w:val="ru-RU" w:eastAsia="en-GB" w:bidi="ar-SA"/>
              </w:rPr>
            </w:pPr>
            <w:r>
              <w:rPr>
                <w:sz w:val="20"/>
                <w:szCs w:val="20"/>
                <w:lang w:val="ru-RU" w:eastAsia="en-GB" w:bidi="ar-SA"/>
              </w:rPr>
              <w:t>; Сбрасывает готовность со всех неиспользуемых ВУ и выходит из</w:t>
            </w:r>
          </w:p>
          <w:p>
            <w:pPr>
              <w:pStyle w:val="Style20"/>
              <w:rPr>
                <w:sz w:val="20"/>
                <w:szCs w:val="20"/>
                <w:lang w:val="ru-RU" w:eastAsia="en-GB" w:bidi="ar-SA"/>
              </w:rPr>
            </w:pPr>
            <w:r>
              <w:rPr>
                <w:sz w:val="20"/>
                <w:szCs w:val="20"/>
                <w:lang w:val="ru-RU" w:eastAsia="en-GB" w:bidi="ar-SA"/>
              </w:rPr>
              <w:t>прерывания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default: IRET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start: DI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CLA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OUT 0x1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OUT 0x7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OUT 0xB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OUT 0xD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OUT 0x11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OUT 0x15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OUT 0x19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OUT 0x1D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LD #0x9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OUT 0x3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LD #0xA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OUT 0x5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EI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; Основная программа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main: DI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LD X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EI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DEC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CALL check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DI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ST X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EI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JUMP main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; Обработка прерывания ВУ-</w:t>
            </w:r>
            <w:r>
              <w:rPr>
                <w:sz w:val="20"/>
                <w:szCs w:val="20"/>
              </w:rPr>
              <w:t>1</w:t>
            </w:r>
          </w:p>
          <w:p>
            <w:pPr>
              <w:pStyle w:val="Style20"/>
              <w:tabs>
                <w:tab w:val="clear" w:pos="720"/>
                <w:tab w:val="left" w:pos="10065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int1: CALL check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PUSH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shd w:fill="FFFF00" w:val="clear"/>
              </w:rPr>
              <w:t>NOP            ; Отладочная точка останова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ASL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ASL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ASL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NEG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SUB #0x4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OUT 0x2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shd w:fill="FFFF00" w:val="clear"/>
              </w:rPr>
              <w:t xml:space="preserve">  </w:t>
            </w:r>
            <w:r>
              <w:rPr>
                <w:sz w:val="20"/>
                <w:szCs w:val="20"/>
                <w:shd w:fill="FFFF00" w:val="clear"/>
              </w:rPr>
              <w:t xml:space="preserve">NOP             ; Отладочная точка останова                                                                                                                                                   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POP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IRET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; Обработка прерывания ВУ-2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int2: CALL check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PUSH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  <w:shd w:fill="FFFF00" w:val="clear"/>
              </w:rPr>
              <w:t xml:space="preserve"> </w:t>
            </w:r>
            <w:r>
              <w:rPr>
                <w:sz w:val="20"/>
                <w:szCs w:val="20"/>
                <w:shd w:fill="FFFF00" w:val="clear"/>
              </w:rPr>
              <w:t>NOP             ; Отладочная точка останова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CLA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 0x4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SXTB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shd w:fill="FFFF00" w:val="clear"/>
              </w:rPr>
              <w:t>NOP             ; Отладочная точка останова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AND (SP + 0)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NOT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shd w:fill="FFFF00" w:val="clear"/>
              </w:rPr>
              <w:t>NOP             ; Отладочная точка останова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CALL check 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ST (SP + 0)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shd w:fill="FFFF00" w:val="clear"/>
              </w:rPr>
              <w:t>NOP             ; Отладочная точка останова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POP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IRET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check: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check_min: CMP min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BGE check_max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LD max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JUMP return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check_max: CMP max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BLT return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LD max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return: RET</w:t>
            </w:r>
          </w:p>
        </w:tc>
      </w:tr>
    </w:tbl>
    <w:p>
      <w:pPr>
        <w:pStyle w:val="Normal"/>
        <w:rPr>
          <w:lang w:val="ru-RU"/>
        </w:rPr>
      </w:pPr>
      <w:r>
        <w:rPr/>
      </w:r>
    </w:p>
    <w:p>
      <w:pPr>
        <w:pStyle w:val="2"/>
        <w:rPr>
          <w:lang w:val="ru-RU"/>
        </w:rPr>
      </w:pPr>
      <w:bookmarkStart w:id="6" w:name="__RefHeading___Toc12843_2286687196"/>
      <w:bookmarkStart w:id="7" w:name="_Toc88337929"/>
      <w:bookmarkEnd w:id="6"/>
      <w:r>
        <w:rPr>
          <w:lang w:val="ru-RU"/>
        </w:rPr>
        <w:t>1.</w:t>
      </w:r>
      <w:r>
        <w:rPr>
          <w:lang w:val="ru-RU"/>
        </w:rPr>
        <w:t>2</w:t>
      </w:r>
      <w:r>
        <w:rPr>
          <w:lang w:val="ru-RU"/>
        </w:rPr>
        <w:t xml:space="preserve"> Область </w:t>
      </w:r>
      <w:bookmarkEnd w:id="7"/>
      <w:r>
        <w:rPr>
          <w:lang w:val="ru-RU"/>
        </w:rPr>
        <w:t>представления</w:t>
      </w:r>
    </w:p>
    <w:p>
      <w:pPr>
        <w:pStyle w:val="Normal"/>
        <w:rPr>
          <w:rFonts w:ascii="Calibri" w:hAnsi="Calibri" w:eastAsia="Calibri" w:cs="Calibri"/>
          <w:bCs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•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 xml:space="preserve">X, 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min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 xml:space="preserve">, 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max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 xml:space="preserve"> – знаковое 16-разрядное целое число</w:t>
      </w:r>
    </w:p>
    <w:p>
      <w:pPr>
        <w:pStyle w:val="Normal"/>
        <w:rPr>
          <w:rFonts w:ascii="Calibri" w:hAnsi="Calibri" w:eastAsia="Calibri" w:cs="Calibri"/>
          <w:bCs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•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DR (регистр данных) ВУ-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1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 xml:space="preserve"> и ВУ-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 xml:space="preserve">2 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– знаковое 8-разрядное целое число</w:t>
      </w:r>
    </w:p>
    <w:p>
      <w:pPr>
        <w:pStyle w:val="2"/>
        <w:rPr>
          <w:lang w:val="ru-RU"/>
        </w:rPr>
      </w:pPr>
      <w:bookmarkStart w:id="8" w:name="__RefHeading___Toc12843_22866871961"/>
      <w:bookmarkStart w:id="9" w:name="_Toc883379291"/>
      <w:bookmarkEnd w:id="8"/>
      <w:r>
        <w:rPr>
          <w:lang w:val="ru-RU"/>
        </w:rPr>
        <w:t>1.</w:t>
      </w:r>
      <w:r>
        <w:rPr>
          <w:lang w:val="ru-RU"/>
        </w:rPr>
        <w:t>3</w:t>
      </w:r>
      <w:r>
        <w:rPr>
          <w:lang w:val="ru-RU"/>
        </w:rPr>
        <w:t xml:space="preserve"> Область </w:t>
      </w:r>
      <w:bookmarkEnd w:id="9"/>
      <w:r>
        <w:rPr>
          <w:lang w:val="ru-RU"/>
        </w:rPr>
        <w:t>допустимых значений</w:t>
      </w:r>
    </w:p>
    <w:p>
      <w:pPr>
        <w:pStyle w:val="Normal"/>
        <w:rPr>
          <w:rFonts w:ascii="Calibri" w:hAnsi="Calibri" w:eastAsia="Calibri" w:cs="Calibri"/>
          <w:bCs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−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128 ≤ −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6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 xml:space="preserve">X − 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4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 xml:space="preserve"> ≤ 127</w:t>
      </w:r>
    </w:p>
    <w:p>
      <w:pPr>
        <w:pStyle w:val="Normal"/>
        <w:rPr>
          <w:rFonts w:ascii="Calibri" w:hAnsi="Calibri" w:eastAsia="Calibri" w:cs="Calibri"/>
          <w:bCs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−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12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4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 xml:space="preserve"> ≤ −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6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X ≤ 13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1</w:t>
      </w:r>
    </w:p>
    <w:p>
      <w:pPr>
        <w:pStyle w:val="Normal"/>
        <w:rPr>
          <w:rFonts w:ascii="Calibri" w:hAnsi="Calibri" w:eastAsia="Calibri" w:cs="Calibri"/>
          <w:bCs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−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22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 xml:space="preserve"> ≤ X ≤ 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21</w:t>
      </w:r>
    </w:p>
    <w:p>
      <w:pPr>
        <w:pStyle w:val="Normal"/>
        <w:rPr>
          <w:rFonts w:ascii="Calibri" w:hAnsi="Calibri" w:eastAsia="Calibri" w:cs="Calibri"/>
          <w:bCs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–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22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 xml:space="preserve"> = 1111 1111 1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110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 xml:space="preserve"> 1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0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10 = FF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EA</w:t>
      </w:r>
    </w:p>
    <w:p>
      <w:pPr>
        <w:pStyle w:val="Normal"/>
        <w:rPr>
          <w:rFonts w:ascii="Calibri" w:hAnsi="Calibri" w:eastAsia="Calibri" w:cs="Calibri"/>
          <w:bCs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21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 xml:space="preserve"> = 0000 0000 00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0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 xml:space="preserve">1 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0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101 = 003D</w:t>
      </w:r>
    </w:p>
    <w:p>
      <w:pPr>
        <w:pStyle w:val="Normal"/>
        <w:rPr>
          <w:rFonts w:ascii="Calibri" w:hAnsi="Calibri" w:eastAsia="Calibri" w:cs="Calibri"/>
          <w:bCs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 xml:space="preserve">Значит X ∈ [– 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22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 xml:space="preserve">; 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2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1]</w:t>
      </w:r>
    </w:p>
    <w:p>
      <w:pPr>
        <w:pStyle w:val="2"/>
        <w:rPr>
          <w:lang w:val="ru-RU"/>
        </w:rPr>
      </w:pPr>
      <w:bookmarkStart w:id="10" w:name="__RefHeading___Toc12845_2286687196"/>
      <w:bookmarkStart w:id="11" w:name="_Toc88337930"/>
      <w:bookmarkEnd w:id="10"/>
      <w:r>
        <w:rPr>
          <w:lang w:val="ru-RU"/>
        </w:rPr>
        <w:t>1.</w:t>
      </w:r>
      <w:r>
        <w:rPr>
          <w:lang w:val="ru-RU"/>
        </w:rPr>
        <w:t>4</w:t>
      </w:r>
      <w:r>
        <w:rPr>
          <w:lang w:val="ru-RU"/>
        </w:rPr>
        <w:t xml:space="preserve"> Расположение данных в памяти</w:t>
      </w:r>
      <w:bookmarkEnd w:id="11"/>
    </w:p>
    <w:p>
      <w:pPr>
        <w:pStyle w:val="Normal"/>
        <w:rPr/>
      </w:pPr>
      <w:bookmarkStart w:id="12" w:name="__RefHeading___Toc3060_4181575297"/>
      <w:bookmarkEnd w:id="12"/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В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ектора прерываний: 0x000 – 0x00F</w:t>
      </w:r>
    </w:p>
    <w:p>
      <w:pPr>
        <w:pStyle w:val="Normal"/>
        <w:suppressAutoHyphens w:val="false"/>
        <w:rPr>
          <w:rFonts w:ascii="Calibri" w:hAnsi="Calibri" w:eastAsia="Calibri" w:cs="Calibri"/>
          <w:bCs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Переменные: 0x</w:t>
      </w:r>
      <w:r>
        <w:rPr>
          <w:rFonts w:eastAsia="Calibri" w:cs="Calibri"/>
          <w:bCs/>
          <w:color w:val="auto"/>
          <w:kern w:val="0"/>
          <w:sz w:val="20"/>
          <w:szCs w:val="20"/>
          <w:lang w:val="ru-RU" w:eastAsia="en-GB" w:bidi="ar-SA"/>
        </w:rPr>
        <w:t xml:space="preserve">04F 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– 0x0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51</w:t>
      </w:r>
    </w:p>
    <w:p>
      <w:pPr>
        <w:pStyle w:val="Normal"/>
        <w:suppressAutoHyphens w:val="false"/>
        <w:rPr>
          <w:rFonts w:ascii="Calibri" w:hAnsi="Calibri" w:eastAsia="Calibri" w:cs="Calibri"/>
          <w:bCs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Основная программа: 0x0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62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 xml:space="preserve"> – 0x0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6A</w:t>
      </w:r>
    </w:p>
    <w:p>
      <w:pPr>
        <w:pStyle w:val="Normal"/>
        <w:suppressAutoHyphens w:val="false"/>
        <w:rPr>
          <w:rFonts w:ascii="Calibri" w:hAnsi="Calibri" w:eastAsia="Calibri" w:cs="Calibri"/>
          <w:bCs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Подпрограмма обработки прерываний с ВУ-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1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: 0x0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6B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 xml:space="preserve"> – 0x0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76</w:t>
      </w:r>
    </w:p>
    <w:p>
      <w:pPr>
        <w:pStyle w:val="Normal"/>
        <w:suppressAutoHyphens w:val="false"/>
        <w:rPr>
          <w:rFonts w:ascii="Calibri" w:hAnsi="Calibri" w:eastAsia="Calibri" w:cs="Calibri"/>
          <w:bCs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Подпрограмма обработки прерываний с ВУ-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2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: 0x0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77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 xml:space="preserve"> – 0x0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85</w:t>
      </w:r>
    </w:p>
    <w:p>
      <w:pPr>
        <w:pStyle w:val="Normal"/>
        <w:suppressAutoHyphens w:val="false"/>
        <w:rPr>
          <w:rFonts w:ascii="Calibri" w:hAnsi="Calibri" w:eastAsia="Calibri" w:cs="Calibri"/>
          <w:bCs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Подпрограмма обработки для проверки ОДЗ: 0x0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86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 xml:space="preserve"> – 0x0</w:t>
      </w:r>
      <w:r>
        <w:rPr>
          <w:rFonts w:eastAsia="Calibri" w:cs="Calibri"/>
          <w:bCs/>
          <w:color w:val="auto"/>
          <w:kern w:val="0"/>
          <w:sz w:val="22"/>
          <w:szCs w:val="22"/>
          <w:lang w:val="ru-RU" w:eastAsia="en-GB" w:bidi="ar-SA"/>
        </w:rPr>
        <w:t>8E</w:t>
      </w:r>
    </w:p>
    <w:p>
      <w:pPr>
        <w:pStyle w:val="2"/>
        <w:suppressAutoHyphens w:val="false"/>
        <w:rPr>
          <w:rFonts w:ascii="Calibri" w:hAnsi="Calibri" w:eastAsia="Calibri" w:cs="Calibri"/>
          <w:b/>
          <w:b/>
          <w:bCs/>
          <w:color w:val="auto"/>
          <w:kern w:val="0"/>
          <w:sz w:val="36"/>
          <w:szCs w:val="36"/>
          <w:lang w:val="ru-RU" w:eastAsia="en-GB" w:bidi="ar-SA"/>
        </w:rPr>
      </w:pPr>
      <w:bookmarkStart w:id="13" w:name="__RefHeading___Toc12845_22866871961"/>
      <w:bookmarkStart w:id="14" w:name="_Toc883379301"/>
      <w:bookmarkEnd w:id="13"/>
      <w:r>
        <w:rPr>
          <w:rFonts w:eastAsia="Calibri" w:cs="Calibri"/>
          <w:b/>
          <w:bCs/>
          <w:color w:val="auto"/>
          <w:kern w:val="0"/>
          <w:sz w:val="36"/>
          <w:szCs w:val="36"/>
          <w:lang w:val="ru-RU" w:eastAsia="en-GB" w:bidi="ar-SA"/>
        </w:rPr>
        <w:t>1.</w:t>
      </w:r>
      <w:r>
        <w:rPr>
          <w:rFonts w:eastAsia="Calibri" w:cs="Calibri"/>
          <w:b/>
          <w:bCs/>
          <w:color w:val="auto"/>
          <w:kern w:val="0"/>
          <w:sz w:val="36"/>
          <w:szCs w:val="36"/>
          <w:lang w:val="ru-RU" w:eastAsia="en-GB" w:bidi="ar-SA"/>
        </w:rPr>
        <w:t>5</w:t>
      </w:r>
      <w:bookmarkEnd w:id="14"/>
      <w:r>
        <w:rPr>
          <w:rFonts w:eastAsia="Calibri" w:cs="Calibri"/>
          <w:b/>
          <w:bCs/>
          <w:color w:val="auto"/>
          <w:kern w:val="0"/>
          <w:sz w:val="36"/>
          <w:szCs w:val="36"/>
          <w:lang w:val="ru-RU" w:eastAsia="en-GB" w:bidi="ar-SA"/>
        </w:rPr>
        <w:t xml:space="preserve"> Методика проверки программы</w:t>
      </w:r>
    </w:p>
    <w:p>
      <w:pPr>
        <w:pStyle w:val="Normal"/>
        <w:suppressAutoHyphens w:val="false"/>
        <w:rPr>
          <w:rFonts w:ascii="Calibri" w:hAnsi="Calibri" w:eastAsia="Calibri" w:cs="Calibri"/>
          <w:b/>
          <w:b/>
          <w:bCs/>
          <w:i/>
          <w:i/>
          <w:iCs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/>
          <w:bCs/>
          <w:i/>
          <w:iCs/>
          <w:color w:val="auto"/>
          <w:kern w:val="0"/>
          <w:sz w:val="22"/>
          <w:szCs w:val="22"/>
          <w:lang w:val="ru-RU" w:eastAsia="en-GB" w:bidi="ar-SA"/>
        </w:rPr>
        <w:t>Проверка обработки прерываний:</w:t>
      </w:r>
    </w:p>
    <w:p>
      <w:pPr>
        <w:pStyle w:val="Normal"/>
        <w:numPr>
          <w:ilvl w:val="0"/>
          <w:numId w:val="1"/>
        </w:numPr>
        <w:suppressAutoHyphens w:val="false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Загрузить комплекс программ в память БЭВМ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Во всех точках останова заменить NOP на HLT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Запустить БЭВМ в режиме РАБОТА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Ввести в регистр данных ВУ-2 тестовые данные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Установить готовность ВУ-2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Дождаться остановки программы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Запомнить текущее значени AC (считаем что это Х)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Нажать кнопку ПРОДОЛЖЕНИЕ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Дождаться остановки программы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Сверить значение в аккумуляторе со значением введенным на ВУ-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2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Нажать кнопку ПРОДОЛЖЕНИЕ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Дождаться остановки программы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Записать значение из акумулятора, сравнив его с регистром данных ВУ-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2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Нажать кнопку ПРОДОЛЖЕНИЕ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Дождаться остановки программы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 xml:space="preserve">Рассчитать ожидаемы результат вычисления выражения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NOT(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(DR ВУ-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2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 xml:space="preserve">)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AND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 xml:space="preserve"> X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)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 xml:space="preserve"> и сравнить его с полученным в аккумуляторе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Нажать кнопку ПРОДОЛЖЕНИЕ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Дождаться остановки программы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Проверить корректность приведения вычисленного значения в ОДЗ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Нажать кнопку ПРОДОЛЖЕНИЕ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Установить готовность ВУ-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1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Дожаться остановки программы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Записать значение переменной X из аккумулятора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Нажать кнопку ПРОДОЛЖЕНИЕ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Дождаться остановки программы</w:t>
      </w:r>
    </w:p>
    <w:p>
      <w:pPr>
        <w:pStyle w:val="Normal"/>
        <w:numPr>
          <w:ilvl w:val="0"/>
          <w:numId w:val="1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Рассчитать ожидаемый результат вычисления функции F(X) и сравнить его с п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о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лученным в аккумуляторе и на ВУ-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1</w:t>
      </w:r>
    </w:p>
    <w:p>
      <w:pPr>
        <w:pStyle w:val="Normal"/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r>
    </w:p>
    <w:p>
      <w:pPr>
        <w:pStyle w:val="Normal"/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r>
    </w:p>
    <w:p>
      <w:pPr>
        <w:pStyle w:val="Normal"/>
        <w:suppressAutoHyphens w:val="false"/>
        <w:rPr>
          <w:rFonts w:ascii="Calibri" w:hAnsi="Calibri" w:eastAsia="Calibri" w:cs="Calibri"/>
          <w:b/>
          <w:b/>
          <w:bCs/>
          <w:i/>
          <w:i/>
          <w:iCs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/>
          <w:bCs/>
          <w:i/>
          <w:iCs/>
          <w:color w:val="auto"/>
          <w:kern w:val="0"/>
          <w:sz w:val="22"/>
          <w:szCs w:val="22"/>
          <w:lang w:val="ru-RU" w:eastAsia="en-GB" w:bidi="ar-SA"/>
        </w:rPr>
        <w:t>Проверка основной программы</w:t>
      </w:r>
    </w:p>
    <w:p>
      <w:pPr>
        <w:pStyle w:val="Normal"/>
        <w:numPr>
          <w:ilvl w:val="0"/>
          <w:numId w:val="2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Загрузить комплекс программы в память БЭВМ</w:t>
      </w:r>
    </w:p>
    <w:p>
      <w:pPr>
        <w:pStyle w:val="Normal"/>
        <w:numPr>
          <w:ilvl w:val="0"/>
          <w:numId w:val="2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Запустить БЭВМ в режиме РАБОТА</w:t>
      </w:r>
    </w:p>
    <w:p>
      <w:pPr>
        <w:pStyle w:val="Normal"/>
        <w:numPr>
          <w:ilvl w:val="0"/>
          <w:numId w:val="2"/>
        </w:numPr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  <w:t>Дождаться достижения крайних значений аккумулятора для проверки корректности приведения к ОДЗ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3"/>
        <w:gridCol w:w="2093"/>
        <w:gridCol w:w="2093"/>
        <w:gridCol w:w="2093"/>
        <w:gridCol w:w="2094"/>
      </w:tblGrid>
      <w:tr>
        <w:trPr/>
        <w:tc>
          <w:tcPr>
            <w:tcW w:w="104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Прерывание в ВУ-2</w:t>
            </w:r>
          </w:p>
        </w:tc>
      </w:tr>
      <w:tr>
        <w:trPr/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DR ВУ-</w:t>
            </w:r>
            <w:r>
              <w:rPr/>
              <w:t>2</w:t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 xml:space="preserve">X до </w:t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X без одз</w:t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X после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X ожидаемое</w:t>
            </w:r>
          </w:p>
        </w:tc>
      </w:tr>
      <w:tr>
        <w:trPr/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10</w:t>
            </w:r>
            <w:r>
              <w:rPr/>
              <w:t>(16)</w:t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000A(10)</w:t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FFFF(-1)</w:t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FFFF(-1)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FFFF(-1)</w:t>
            </w:r>
          </w:p>
        </w:tc>
      </w:tr>
      <w:tr>
        <w:trPr/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34(</w:t>
            </w:r>
            <w:r>
              <w:rPr/>
              <w:t>52</w:t>
            </w:r>
            <w:r>
              <w:rPr/>
              <w:t>)</w:t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FFFE(-2)</w:t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FFCB</w:t>
            </w:r>
            <w:r>
              <w:rPr/>
              <w:t>(-34)</w:t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0015</w:t>
            </w:r>
            <w:r>
              <w:rPr/>
              <w:t>(21)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0015(21)</w:t>
            </w:r>
          </w:p>
        </w:tc>
      </w:tr>
      <w:tr>
        <w:trPr/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7F(127)</w:t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0010(16)</w:t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FFEF(-10)</w:t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FFEF(-10)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FFEF(-10)</w:t>
            </w:r>
          </w:p>
        </w:tc>
      </w:tr>
    </w:tbl>
    <w:p>
      <w:pPr>
        <w:pStyle w:val="Normal"/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16"/>
        <w:gridCol w:w="2617"/>
        <w:gridCol w:w="2616"/>
        <w:gridCol w:w="2617"/>
      </w:tblGrid>
      <w:tr>
        <w:trPr/>
        <w:tc>
          <w:tcPr>
            <w:tcW w:w="10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Прерывание в ВУ-</w:t>
            </w:r>
            <w:r>
              <w:rPr/>
              <w:t>1</w:t>
            </w:r>
          </w:p>
        </w:tc>
      </w:tr>
      <w:tr>
        <w:trPr/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X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F(X) ожидаемое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F(X) полученное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DR ВУ-1</w:t>
            </w:r>
          </w:p>
        </w:tc>
      </w:tr>
      <w:tr>
        <w:trPr/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000A(10)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FFAC(-64)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FFAC(-64)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AC(-64)</w:t>
            </w:r>
          </w:p>
        </w:tc>
      </w:tr>
      <w:tr>
        <w:trPr/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FFFC(-3)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001C(28)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001C(28)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001C(28)</w:t>
            </w:r>
          </w:p>
        </w:tc>
      </w:tr>
      <w:tr>
        <w:trPr/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0014(20)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FF5C(-92)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FF5C(-92)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5C(-92)</w:t>
            </w:r>
          </w:p>
        </w:tc>
      </w:tr>
    </w:tbl>
    <w:p>
      <w:pPr>
        <w:pStyle w:val="Normal"/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88"/>
        <w:gridCol w:w="3489"/>
        <w:gridCol w:w="3489"/>
      </w:tblGrid>
      <w:tr>
        <w:trPr/>
        <w:tc>
          <w:tcPr>
            <w:tcW w:w="104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Основная программа</w:t>
            </w:r>
          </w:p>
        </w:tc>
      </w:tr>
      <w:tr>
        <w:trPr/>
        <w:tc>
          <w:tcPr>
            <w:tcW w:w="3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 xml:space="preserve">AC до 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AC ожидаемая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AC после</w:t>
            </w:r>
          </w:p>
        </w:tc>
      </w:tr>
      <w:tr>
        <w:trPr/>
        <w:tc>
          <w:tcPr>
            <w:tcW w:w="3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FFEA(-22)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0015(21)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0015(21)</w:t>
            </w:r>
          </w:p>
        </w:tc>
      </w:tr>
      <w:tr>
        <w:trPr/>
        <w:tc>
          <w:tcPr>
            <w:tcW w:w="3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0014(20)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0013(19)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0013(19)</w:t>
            </w:r>
          </w:p>
        </w:tc>
      </w:tr>
      <w:tr>
        <w:trPr/>
        <w:tc>
          <w:tcPr>
            <w:tcW w:w="3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0000(0)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FFFF(-1)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/>
            </w:pPr>
            <w:r>
              <w:rPr/>
              <w:t>FFFF(-1)</w:t>
            </w:r>
          </w:p>
        </w:tc>
      </w:tr>
    </w:tbl>
    <w:p>
      <w:pPr>
        <w:pStyle w:val="Normal"/>
        <w:suppressAutoHyphens w:val="false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ru-RU" w:eastAsia="en-GB" w:bidi="ar-SA"/>
        </w:rPr>
      </w:r>
      <w:r>
        <w:br w:type="page"/>
      </w:r>
    </w:p>
    <w:p>
      <w:pPr>
        <w:pStyle w:val="1"/>
        <w:suppressAutoHyphens w:val="false"/>
        <w:spacing w:lineRule="auto" w:line="360"/>
        <w:jc w:val="center"/>
        <w:rPr>
          <w:lang w:val="ru-RU"/>
        </w:rPr>
      </w:pPr>
      <w:bookmarkStart w:id="15" w:name="__RefHeading___Toc12853_2286687196"/>
      <w:bookmarkStart w:id="16" w:name="_Toc88337934"/>
      <w:bookmarkEnd w:id="15"/>
      <w:r>
        <w:rPr>
          <w:lang w:val="ru-RU"/>
        </w:rPr>
        <w:t>Вывод</w:t>
      </w:r>
      <w:bookmarkEnd w:id="16"/>
    </w:p>
    <w:p>
      <w:pPr>
        <w:pStyle w:val="Normal"/>
        <w:spacing w:lineRule="auto" w:line="360"/>
        <w:jc w:val="left"/>
        <w:rPr/>
      </w:pPr>
      <w:r>
        <w:rPr>
          <w:lang w:val="ru-RU"/>
        </w:rPr>
        <w:t>В ходе работы я изучил</w:t>
      </w:r>
      <w:r>
        <w:rPr>
          <w:lang w:val="ru-RU"/>
        </w:rPr>
        <w:t>а</w:t>
      </w:r>
      <w:r>
        <w:rPr>
          <w:lang w:val="ru-RU"/>
        </w:rPr>
        <w:t xml:space="preserve"> организацию процесса прерывания программы и исследовал</w:t>
      </w:r>
      <w:r>
        <w:rPr>
          <w:lang w:val="ru-RU"/>
        </w:rPr>
        <w:t>а</w:t>
      </w:r>
      <w:r>
        <w:rPr>
          <w:lang w:val="ru-RU"/>
        </w:rPr>
        <w:t xml:space="preserve"> </w:t>
      </w:r>
      <w:r>
        <w:rPr/>
        <w:t>порядок функционирования БЭВМ при обмене данными с внешними устройствами в режиме прерывания программы</w:t>
      </w:r>
    </w:p>
    <w:p>
      <w:pPr>
        <w:pStyle w:val="Normal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Style22"/>
        <w:keepNext w:val="true"/>
        <w:spacing w:lineRule="auto" w:line="360" w:before="120" w:after="120"/>
        <w:jc w:val="center"/>
        <w:rPr>
          <w:lang w:val="ru-RU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GB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GB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CommentTextChar">
    <w:name w:val="Comment Text Char"/>
    <w:basedOn w:val="DefaultParagraphFont"/>
    <w:link w:val="Annotationtex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8">
    <w:name w:val="Интернет-ссылка"/>
    <w:basedOn w:val="DefaultParagraphFont"/>
    <w:rPr>
      <w:color w:val="0000FF"/>
      <w:u w:val="single"/>
    </w:rPr>
  </w:style>
  <w:style w:type="character" w:styleId="Style9">
    <w:name w:val="Ссылка указателя"/>
    <w:qFormat/>
    <w:rPr/>
  </w:style>
  <w:style w:type="character" w:styleId="Style10">
    <w:name w:val="Выделение"/>
    <w:basedOn w:val="DefaultParagraphFont"/>
    <w:qFormat/>
    <w:rPr>
      <w:i/>
      <w:iCs/>
    </w:rPr>
  </w:style>
  <w:style w:type="character" w:styleId="Style11">
    <w:name w:val="Символ нумерации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ascii="Calibri" w:hAnsi="Calibri"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ascii="Calibri" w:hAnsi="Calibri" w:cs="Lohit Devanagari"/>
    </w:rPr>
  </w:style>
  <w:style w:type="paragraph" w:styleId="Style18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9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CommentTextChar"/>
    <w:qFormat/>
    <w:pPr>
      <w:spacing w:lineRule="auto" w:line="240"/>
    </w:pPr>
    <w:rPr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11">
    <w:name w:val="TOC 1"/>
    <w:basedOn w:val="Normal"/>
    <w:next w:val="Normal"/>
    <w:autoRedefine/>
    <w:pPr>
      <w:spacing w:before="0" w:after="100"/>
    </w:pPr>
    <w:rPr/>
  </w:style>
  <w:style w:type="paragraph" w:styleId="21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аблица"/>
    <w:basedOn w:val="Style16"/>
    <w:qFormat/>
    <w:pPr/>
    <w:rPr/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GB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4582</TotalTime>
  <Application>LibreOffice/7.3.7.2$Linux_X86_64 LibreOffice_project/30$Build-2</Application>
  <AppVersion>15.0000</AppVersion>
  <Pages>9</Pages>
  <Words>670</Words>
  <Characters>3739</Characters>
  <CharactersWithSpaces>4641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2021-11-20T12:03:00Z</dcterms:created>
  <dc:creator/>
  <dc:description/>
  <dc:language>ru-RU</dc:language>
  <cp:lastModifiedBy/>
  <dcterms:modified xsi:type="dcterms:W3CDTF">2024-05-04T15:18:05Z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