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4BB6A" w14:textId="503BAE02" w:rsidR="00BF61AD" w:rsidRDefault="00000000">
      <w:pPr>
        <w:jc w:val="center"/>
      </w:pPr>
      <w:r>
        <w:rPr>
          <w:b/>
          <w:color w:val="1F3864"/>
          <w:sz w:val="36"/>
        </w:rPr>
        <w:t>PEER-REVIEW REPORT</w:t>
      </w:r>
    </w:p>
    <w:p w14:paraId="1EA1D12F" w14:textId="23034A07" w:rsidR="00BF61AD" w:rsidRDefault="00000000" w:rsidP="006754B4">
      <w:pPr>
        <w:jc w:val="center"/>
      </w:pPr>
      <w:r>
        <w:rPr>
          <w:b/>
          <w:sz w:val="26"/>
        </w:rPr>
        <w:t>Target Journal: Energy and AI (Elsevier)</w:t>
      </w:r>
    </w:p>
    <w:p w14:paraId="40E2BE48" w14:textId="194A5A49" w:rsidR="00BF61AD" w:rsidRDefault="00000000">
      <w:pPr>
        <w:pStyle w:val="Heading1"/>
      </w:pPr>
      <w:r>
        <w:t xml:space="preserve">1. Journal Selection </w:t>
      </w:r>
    </w:p>
    <w:p w14:paraId="6A5E100B" w14:textId="5EF29996" w:rsidR="00BF61AD" w:rsidRDefault="00000000" w:rsidP="006754B4">
      <w:r>
        <w:rPr>
          <w:b/>
        </w:rPr>
        <w:t xml:space="preserve">Recommended target: </w:t>
      </w:r>
      <w:r>
        <w:t>Energy and AI (Elsevier).</w:t>
      </w:r>
    </w:p>
    <w:p w14:paraId="359A6A10" w14:textId="77777777" w:rsidR="00BF61AD" w:rsidRDefault="00000000">
      <w:pPr>
        <w:pStyle w:val="Heading1"/>
      </w:pPr>
      <w:r>
        <w:t>2. Title Assessment</w:t>
      </w:r>
    </w:p>
    <w:p w14:paraId="7FE3A925" w14:textId="77777777" w:rsidR="00BF61AD" w:rsidRDefault="00000000">
      <w:r>
        <w:rPr>
          <w:b/>
        </w:rPr>
        <w:t xml:space="preserve">Current title: </w:t>
      </w:r>
      <w:r>
        <w:t>A Systematic Literature Review of A Priori Energy Predictors for Neural Network Training</w:t>
      </w:r>
    </w:p>
    <w:p w14:paraId="5BDCFFA1" w14:textId="77777777" w:rsidR="00BF61AD" w:rsidRDefault="00000000">
      <w:r>
        <w:rPr>
          <w:b/>
        </w:rPr>
        <w:t xml:space="preserve">Assessment: </w:t>
      </w:r>
      <w:r>
        <w:t>The title is clear and relevant, but it currently over-promises a training-only systematic review because substantial parts of the corpus concern inference, during-training monitoring, post-hoc carbon accounting, surveys, and optimization frameworks. The title should either be retained only after tightening the eligibility criteria around a priori training-energy prediction, or broadened to match the actual corpus.</w:t>
      </w:r>
    </w:p>
    <w:p w14:paraId="4847A1D3" w14:textId="77777777" w:rsidR="00BF61AD" w:rsidRDefault="00000000">
      <w:r>
        <w:rPr>
          <w:b/>
        </w:rPr>
        <w:t xml:space="preserve">Recommended title: </w:t>
      </w:r>
      <w:r>
        <w:t>A Priori Energy Prediction for Neural Network Training: A Systematic Review of Methods, Measurement Fidelity, and Generalizability</w:t>
      </w:r>
    </w:p>
    <w:p w14:paraId="7F17E96D" w14:textId="77777777" w:rsidR="00BF61AD" w:rsidRDefault="00000000">
      <w:pPr>
        <w:pStyle w:val="SmallNote"/>
      </w:pPr>
      <w:r>
        <w:t>If the broad three-phase corpus is retained, use a broader title instead, e.g., “Energy Estimation for Neural Networks: A Systematic Review of A Priori Prediction, Runtime Monitoring, and Cross-Hardware Generalizability.”</w:t>
      </w:r>
    </w:p>
    <w:p w14:paraId="5362E944" w14:textId="58C11E9E" w:rsidR="00BF61AD" w:rsidRDefault="00000000">
      <w:pPr>
        <w:pStyle w:val="Heading1"/>
      </w:pPr>
      <w:r>
        <w:t>3. Overall Assessment</w:t>
      </w:r>
    </w:p>
    <w:p w14:paraId="149BBA7C" w14:textId="77777777" w:rsidR="00BF61AD" w:rsidRDefault="00000000">
      <w:r>
        <w:rPr>
          <w:b/>
        </w:rPr>
        <w:t xml:space="preserve">Strengths. </w:t>
      </w:r>
      <w:r>
        <w:t>The manuscript addresses a timely Green AI problem, distinguishes pre-execution prediction from monitoring after compute has begun, organizes evidence around architecture and hardware transferability, and identifies measurement fidelity as a practical concern. The decision-oriented framing is potentially publishable and useful to researchers selecting architectures before committing compute.</w:t>
      </w:r>
    </w:p>
    <w:p w14:paraId="354DE64A" w14:textId="77777777" w:rsidR="00BF61AD" w:rsidRDefault="00000000">
      <w:r>
        <w:rPr>
          <w:b/>
        </w:rPr>
        <w:t xml:space="preserve">Main concern. </w:t>
      </w:r>
      <w:r>
        <w:t>The manuscript is not yet submission-ready because the systematic-review protocol and corpus are not fully auditable, several central statements are contradicted by primary sources, the reference list is incomplete, the quality assessment does not cover the stated 26-study corpus, and recent 2026 evidence materially changes the paper's conclusions.</w:t>
      </w:r>
    </w:p>
    <w:p w14:paraId="0888640D" w14:textId="77777777" w:rsidR="00BF61AD" w:rsidRDefault="00000000">
      <w:pPr>
        <w:pStyle w:val="Heading1"/>
      </w:pPr>
      <w:r>
        <w:t>4. Mandatory Major Revisions</w:t>
      </w:r>
    </w:p>
    <w:p w14:paraId="7372FEEB" w14:textId="77777777" w:rsidR="00BF61AD" w:rsidRPr="00D97E5B" w:rsidRDefault="00000000">
      <w:pPr>
        <w:spacing w:after="40"/>
        <w:rPr>
          <w:highlight w:val="green"/>
        </w:rPr>
      </w:pPr>
      <w:r w:rsidRPr="00D97E5B">
        <w:rPr>
          <w:b/>
          <w:highlight w:val="green"/>
        </w:rPr>
        <w:t>Complete the Abstract and Keywords.</w:t>
      </w:r>
    </w:p>
    <w:p w14:paraId="1DAA600E" w14:textId="77777777" w:rsidR="00BF61AD" w:rsidRPr="00D97E5B" w:rsidRDefault="00000000">
      <w:pPr>
        <w:ind w:left="259"/>
        <w:rPr>
          <w:highlight w:val="red"/>
        </w:rPr>
      </w:pPr>
      <w:r w:rsidRPr="00D97E5B">
        <w:rPr>
          <w:highlight w:val="green"/>
        </w:rPr>
        <w:t>The Abstract and Keywords are blank in the supplied manuscript. This is a submission-blocking defect. The abstract should be structured around background, objective/RQs, databases and search date, final number of included studies, principal quantitative/qualitative findings, the revised generalizability conclusion, and implications. Add 5–</w:t>
      </w:r>
      <w:r w:rsidRPr="00D97E5B">
        <w:rPr>
          <w:highlight w:val="red"/>
        </w:rPr>
        <w:t>7 precise keywords.</w:t>
      </w:r>
    </w:p>
    <w:p w14:paraId="2C33B51B" w14:textId="77777777" w:rsidR="00BF61AD" w:rsidRPr="00D97E5B" w:rsidRDefault="00000000">
      <w:pPr>
        <w:spacing w:after="40"/>
        <w:rPr>
          <w:highlight w:val="red"/>
        </w:rPr>
      </w:pPr>
      <w:r w:rsidRPr="00D97E5B">
        <w:rPr>
          <w:b/>
          <w:highlight w:val="red"/>
        </w:rPr>
        <w:t>State and update the search date; rerun the review through September 2026.</w:t>
      </w:r>
    </w:p>
    <w:p w14:paraId="56B7933D" w14:textId="77777777" w:rsidR="00BF61AD" w:rsidRDefault="00000000">
      <w:pPr>
        <w:ind w:left="259"/>
      </w:pPr>
      <w:r w:rsidRPr="00D97E5B">
        <w:rPr>
          <w:highlight w:val="red"/>
        </w:rPr>
        <w:t>No reproducible final search date is reported. This is critical because new work published in 2026 directly addresses the paper's gap claims. The search must be rerun and the PRISMA counts, included-study set, tables, and conclusions updated. Do not continue to claim that Transformers and RNNs are absent from a priori training-energy estimation without incorporating the 2026 evidence discussed below.</w:t>
      </w:r>
    </w:p>
    <w:p w14:paraId="5B988178" w14:textId="77777777" w:rsidR="00BF61AD" w:rsidRDefault="00000000">
      <w:pPr>
        <w:spacing w:after="40"/>
      </w:pPr>
      <w:r>
        <w:rPr>
          <w:b/>
        </w:rPr>
        <w:t>Reconsider the database strategy.</w:t>
      </w:r>
    </w:p>
    <w:p w14:paraId="04ABD188" w14:textId="77777777" w:rsidR="00BF61AD" w:rsidRDefault="00000000">
      <w:pPr>
        <w:ind w:left="259"/>
      </w:pPr>
      <w:r>
        <w:t xml:space="preserve">The formal search uses four publisher platforms and title-only queries. This is highly restrictive for an SLR and creates a substantial recall risk. Add at least Scopus and/or Web of Science if available, and use </w:t>
      </w:r>
      <w:r>
        <w:lastRenderedPageBreak/>
        <w:t>title/abstract/keywords rather than title-only searching. If access prevents this, justify the limitation explicitly and perform a reproducible complementary Google Scholar/backward/forward citation search. Report exact platform syntax, search dates, filters, and result counts.</w:t>
      </w:r>
    </w:p>
    <w:p w14:paraId="4E920853" w14:textId="77777777" w:rsidR="00BF61AD" w:rsidRDefault="00000000">
      <w:pPr>
        <w:spacing w:after="40"/>
      </w:pPr>
      <w:r>
        <w:rPr>
          <w:b/>
        </w:rPr>
        <w:t>Fix the PRISMA flow and screening chronology.</w:t>
      </w:r>
    </w:p>
    <w:p w14:paraId="535641A7" w14:textId="77777777" w:rsidR="00BF61AD" w:rsidRDefault="00000000">
      <w:pPr>
        <w:ind w:left="259"/>
      </w:pPr>
      <w:r>
        <w:t>The sequence screens titles before deduplication, merges snowballed records, screens abstracts, and then performs a second deduplication. Standard practice is to deduplicate before screening whenever possible. If a second deduplication was genuinely necessary, explain exactly why and which source combinations created the duplicates. The current arithmetic is understandable but methodologically awkward and insufficiently documented.</w:t>
      </w:r>
    </w:p>
    <w:p w14:paraId="2F2173EB" w14:textId="77777777" w:rsidR="00BF61AD" w:rsidRDefault="00000000">
      <w:pPr>
        <w:spacing w:after="40"/>
      </w:pPr>
      <w:r>
        <w:rPr>
          <w:b/>
        </w:rPr>
        <w:t>Resolve scope drift between the research question and included studies.</w:t>
      </w:r>
    </w:p>
    <w:p w14:paraId="3168C674" w14:textId="77777777" w:rsidR="00BF61AD" w:rsidRDefault="00000000">
      <w:pPr>
        <w:ind w:left="259"/>
      </w:pPr>
      <w:r>
        <w:t>The stated question is a priori prediction of training energy, yet inference-only methods, during-training monitors, post-hoc lifecycle studies, broad surveys, and optimization frameworks are included. Comparator/context papers can be useful, but they should not be mixed with the primary evidence set. Define a primary corpus (a priori training-energy predictors) and a secondary contextual corpus (inference/during/post-hoc/surveys/optimization), then synthesize them separately.</w:t>
      </w:r>
    </w:p>
    <w:p w14:paraId="1B921FF1" w14:textId="77777777" w:rsidR="00BF61AD" w:rsidRDefault="00000000">
      <w:pPr>
        <w:spacing w:after="40"/>
      </w:pPr>
      <w:r>
        <w:rPr>
          <w:b/>
        </w:rPr>
        <w:t>Reconcile the stated 26-study corpus with the narrative, quality table, and references.</w:t>
      </w:r>
    </w:p>
    <w:p w14:paraId="4FE0252F" w14:textId="77777777" w:rsidR="00BF61AD" w:rsidRDefault="00000000">
      <w:pPr>
        <w:ind w:left="259"/>
      </w:pPr>
      <w:r>
        <w:t>The manuscript says 26 studies are included, but the quality-assessment tables score only 14 studies. Several references (e.g., Jahier Pagliari et al.; Jeong et al.; Maleki et al.; Risso et al.; Servais &amp; Atoofian) appear in the reference list but are not discussed in the synthesis. Conversely, several studies discussed in the text are missing from the reference list, including Page et al. (PRISMA 2020), Guo et al. (SDEnergy), Lyu et al., Luccioni et al. (2024/Watts), Ordoumpozanis &amp; Papakostas, Shuvo et al., Donnellan et al. (ECOpt), Dong et al. (ETNAS), and Tembhekar et al. The final included-study list must be traceable one-to-one across PRISMA, extraction table, quality assessment, synthesis tables, and references.</w:t>
      </w:r>
    </w:p>
    <w:p w14:paraId="64FF6499" w14:textId="77777777" w:rsidR="00BF61AD" w:rsidRDefault="00000000">
      <w:pPr>
        <w:spacing w:after="40"/>
      </w:pPr>
      <w:r>
        <w:rPr>
          <w:b/>
        </w:rPr>
        <w:t>Redesign the quality/risk-of-bias assessment.</w:t>
      </w:r>
    </w:p>
    <w:p w14:paraId="34C32A55" w14:textId="77777777" w:rsidR="00BF61AD" w:rsidRDefault="00000000">
      <w:pPr>
        <w:ind w:left="259"/>
      </w:pPr>
      <w:r>
        <w:t>The manuscript presents a custom five-item quality checklist as satisfying PRISMA risk-of-bias requirements. However, QA5 ('generalizability discussion') is primarily a reporting/interpretation criterion rather than a risk-of-bias domain, and the same instrument is not naturally applicable to surveys, conceptual papers, and optimization frameworks. Either (a) restrict the appraisal to empirical primary studies and state this explicitly, or (b) use separate, fit-for-purpose appraisal tools by study type. Do not claim that Table 2.3 covers 'all studies' unless it actually does.</w:t>
      </w:r>
    </w:p>
    <w:p w14:paraId="3E3BD62C" w14:textId="77777777" w:rsidR="00BF61AD" w:rsidRDefault="00000000">
      <w:pPr>
        <w:spacing w:after="40"/>
      </w:pPr>
      <w:r>
        <w:rPr>
          <w:b/>
        </w:rPr>
        <w:t>Correct the EC-NAS evidence immediately.</w:t>
      </w:r>
    </w:p>
    <w:p w14:paraId="189420EA" w14:textId="77777777" w:rsidR="00BF61AD" w:rsidRDefault="00000000">
      <w:pPr>
        <w:ind w:left="259"/>
      </w:pPr>
      <w:r>
        <w:t>The manuscript repeatedly states or implies that approximately 423,000 CNN architectures were directly measured and that EC-NAS has no cross-hardware evaluation. The EC-NAS primary paper instead reports a measured random subset (4,310 architectures for four epochs) used to train a surrogate for the 7V space, and also reports hardware-specific evaluation on a 4V subspace across multiple NVIDIA GPUs (Titan Xp, RTX 3060, RTX 3090, Quadro RTX 6000). These errors directly affect RQ2/RQ3 and the headline generalizability claim.</w:t>
      </w:r>
    </w:p>
    <w:p w14:paraId="05BF7D10" w14:textId="77777777" w:rsidR="00BF61AD" w:rsidRDefault="00000000">
      <w:pPr>
        <w:spacing w:after="40"/>
      </w:pPr>
      <w:r>
        <w:rPr>
          <w:b/>
        </w:rPr>
        <w:t>Remove or verify 'Kendall-Tau R² = 0.9030' for EC-NAS.</w:t>
      </w:r>
    </w:p>
    <w:p w14:paraId="1E2D904D" w14:textId="77777777" w:rsidR="00BF61AD" w:rsidRDefault="00000000">
      <w:pPr>
        <w:ind w:left="259"/>
      </w:pPr>
      <w:r>
        <w:t>The EC-NAS primary paper available from arXiv reports Pearson correlation greater than 0.9 for surrogate predictions. The manuscript's repeated 'Kendall-Tau R² = 0.9030' formulation is technically suspicious because Kendall's tau and R² are different statistics and this exact value was not located in the cited primary paper. Verify the exact metric from the final published version before retaining it.</w:t>
      </w:r>
    </w:p>
    <w:p w14:paraId="5505AA5F" w14:textId="77777777" w:rsidR="00BF61AD" w:rsidRDefault="00000000">
      <w:pPr>
        <w:spacing w:after="40"/>
      </w:pPr>
      <w:r>
        <w:rPr>
          <w:b/>
        </w:rPr>
        <w:t>Do not use Fischer (2025/2026) as direct evidence about CarbonTracker unless validated.</w:t>
      </w:r>
    </w:p>
    <w:p w14:paraId="5565D487" w14:textId="77777777" w:rsidR="00BF61AD" w:rsidRDefault="00000000">
      <w:pPr>
        <w:ind w:left="259"/>
      </w:pPr>
      <w:r>
        <w:t>Fischer's study is specifically titled and designed as a validation of CodeCarbon against external measurements. The manuscript extrapolates its 20–30% underestimation result to CarbonTracker and then uses that extrapolation to argue that EC-NAS labels (generated with a modified CarbonTracker) are probably underestimated. That cross-</w:t>
      </w:r>
      <w:r>
        <w:lastRenderedPageBreak/>
        <w:t>tool inference is not established by the Fischer study. Rephrase as a measurement-fidelity caution about software estimators generally, or provide a direct CarbonTracker validation source.</w:t>
      </w:r>
    </w:p>
    <w:p w14:paraId="3E972CF7" w14:textId="77777777" w:rsidR="00BF61AD" w:rsidRDefault="00000000">
      <w:pPr>
        <w:spacing w:after="40"/>
      </w:pPr>
      <w:r>
        <w:rPr>
          <w:b/>
        </w:rPr>
        <w:t>Update the central RQ2/RQ3 conclusion with the August 2026 power-law paper.</w:t>
      </w:r>
    </w:p>
    <w:p w14:paraId="48A4C51D" w14:textId="77777777" w:rsidR="00BF61AD" w:rsidRDefault="00000000">
      <w:pPr>
        <w:ind w:left="259"/>
      </w:pPr>
      <w:r>
        <w:t>Mayaki and Charpenay's 'Modeling Energy Consumption in Deep Learning Architectures Using Power Laws' (published online 25 August 2026) explicitly estimates training energy at design time, covers LSTM, GRU and Transformer architectures, evaluates NVIDIA A100 and RTX 2080 Ti hardware, and reports high explanatory performance across architectures/hardware. This directly contradicts the manuscript's current statements that no a priori methods cover Transformers/RNNs and that no reviewed work generalizes across such conditions. The review's novelty must be reframed after including this paper.</w:t>
      </w:r>
    </w:p>
    <w:p w14:paraId="742ACB04" w14:textId="77777777" w:rsidR="00BF61AD" w:rsidRDefault="00000000">
      <w:pPr>
        <w:spacing w:after="40"/>
      </w:pPr>
      <w:r>
        <w:rPr>
          <w:b/>
        </w:rPr>
        <w:t>Tone down 'first review' and absolute gap claims.</w:t>
      </w:r>
    </w:p>
    <w:p w14:paraId="28BB3E5B" w14:textId="77777777" w:rsidR="00BF61AD" w:rsidRDefault="00000000">
      <w:pPr>
        <w:ind w:left="259"/>
      </w:pPr>
      <w:r>
        <w:t>Claims such as 'this review is the first' and 'no existing method' require an exhaustive, current search and careful scoping. Given the restrictive title-only search and the 2026 literature, use time-bounded, evidence-based wording such as 'within the reviewed corpus as of [date]' unless a comprehensive novelty search supports a stronger statement.</w:t>
      </w:r>
    </w:p>
    <w:p w14:paraId="32540419" w14:textId="77777777" w:rsidR="00BF61AD" w:rsidRDefault="00000000">
      <w:pPr>
        <w:spacing w:after="40"/>
      </w:pPr>
      <w:r>
        <w:rPr>
          <w:b/>
        </w:rPr>
        <w:t>Separate energy, power, carbon and lifecycle footprint more rigorously.</w:t>
      </w:r>
    </w:p>
    <w:p w14:paraId="5C2E0128" w14:textId="77777777" w:rsidR="00BF61AD" w:rsidRDefault="00000000">
      <w:pPr>
        <w:ind w:left="259"/>
      </w:pPr>
      <w:r>
        <w:t>The manuscript sometimes moves between energy (kWh/J), power (W), CO2e, and lifecycle carbon as if they were interchangeable prediction targets. They are not. Define the target variables and causal chain: architecture/training configuration -&gt; runtime/power -&gt; operational energy -&gt; carbon intensity/PUE -&gt; CO2e, with embodied emissions as a separate lifecycle component. The taxonomy and extraction table should reflect this distinction.</w:t>
      </w:r>
    </w:p>
    <w:p w14:paraId="6BEF3FB5" w14:textId="77777777" w:rsidR="00BF61AD" w:rsidRDefault="00000000">
      <w:pPr>
        <w:spacing w:after="40"/>
      </w:pPr>
      <w:r>
        <w:rPr>
          <w:b/>
        </w:rPr>
        <w:t>Fix numerical and interpretive inconsistencies.</w:t>
      </w:r>
    </w:p>
    <w:p w14:paraId="546BFD56" w14:textId="77777777" w:rsidR="00BF61AD" w:rsidRDefault="00000000">
      <w:pPr>
        <w:ind w:left="259"/>
      </w:pPr>
      <w:r>
        <w:t>Example: the BLOOM table says '24.7 tCO2e total' whereas the narrative distinguishes approximately 24.7 tCO2e for dynamic consumption from a larger all-process figure. Check every table against the corresponding text and primary source. Likewise, do not state 'all six a priori approaches were validated on CNNs' if the revised corpus includes RNN/Transformer methods.</w:t>
      </w:r>
    </w:p>
    <w:p w14:paraId="4DE2AC60" w14:textId="77777777" w:rsidR="00BF61AD" w:rsidRDefault="00000000">
      <w:pPr>
        <w:spacing w:after="40"/>
      </w:pPr>
      <w:r>
        <w:rPr>
          <w:b/>
        </w:rPr>
        <w:t>Make the data-extraction file and protocol supplementary material.</w:t>
      </w:r>
    </w:p>
    <w:p w14:paraId="0BFBBA71" w14:textId="77777777" w:rsidR="00BF61AD" w:rsidRDefault="00000000">
      <w:pPr>
        <w:ind w:left="259"/>
      </w:pPr>
      <w:r>
        <w:t>The manuscript says the extraction table is 'available on request'. For a reproducible SLR, provide it as supplementary material together with the search log, deduplication method, screening decisions/reasons at full text, quality scores, and coding dictionary. This will substantially strengthen credibility and citation value.</w:t>
      </w:r>
    </w:p>
    <w:p w14:paraId="532C332D" w14:textId="77777777" w:rsidR="00BF61AD" w:rsidRDefault="00000000">
      <w:pPr>
        <w:spacing w:after="40"/>
      </w:pPr>
      <w:r>
        <w:rPr>
          <w:b/>
        </w:rPr>
        <w:t>Reframe the future-work proposal involving BUTTER-E and EC-NAS.</w:t>
      </w:r>
    </w:p>
    <w:p w14:paraId="61B4330A" w14:textId="77777777" w:rsidR="00BF61AD" w:rsidRDefault="00000000">
      <w:pPr>
        <w:ind w:left="259"/>
      </w:pPr>
      <w:r>
        <w:t>The conclusion proposes jointly training on BUTTER-E and EC-NAS. These datasets differ in architecture families, measurement systems, hardware, experimental regimes, and feature representations. A simple pooled model could learn dataset/hardware artifacts rather than architecture-general energy laws. Recommend a harmonization/calibration study with common target units, hardware covariates, domain adaptation, leave-one-family-out evaluation, and external watt-meter validation instead of implying that direct joint training is straightforward.</w:t>
      </w:r>
    </w:p>
    <w:p w14:paraId="591703D6" w14:textId="77777777" w:rsidR="00BF61AD" w:rsidRDefault="00000000">
      <w:pPr>
        <w:spacing w:after="40"/>
      </w:pPr>
      <w:r>
        <w:rPr>
          <w:b/>
        </w:rPr>
        <w:t>Reduce repetition between Sections 3 and 4.</w:t>
      </w:r>
    </w:p>
    <w:p w14:paraId="62FB1696" w14:textId="77777777" w:rsidR="00BF61AD" w:rsidRDefault="00000000">
      <w:pPr>
        <w:ind w:left="259"/>
      </w:pPr>
      <w:r>
        <w:t>The Literature Review and Results of Synthesis sections repeat many of the same studies and conclusions. A journal-ready SLR should present study characteristics/results once, then use the Discussion for cross-study interpretation. Consolidation will improve readability and reduce manuscript length without losing substance.</w:t>
      </w:r>
    </w:p>
    <w:p w14:paraId="559E5D45" w14:textId="77777777" w:rsidR="00BF61AD" w:rsidRDefault="00000000">
      <w:pPr>
        <w:pStyle w:val="Heading1"/>
      </w:pPr>
      <w:r>
        <w:t>5. Evidence Corrections That Affect the Main Conclusions</w:t>
      </w:r>
    </w:p>
    <w:tbl>
      <w:tblPr>
        <w:tblStyle w:val="TableGrid"/>
        <w:tblW w:w="0" w:type="auto"/>
        <w:jc w:val="center"/>
        <w:tblLook w:val="04A0" w:firstRow="1" w:lastRow="0" w:firstColumn="1" w:lastColumn="0" w:noHBand="0" w:noVBand="1"/>
      </w:tblPr>
      <w:tblGrid>
        <w:gridCol w:w="3360"/>
        <w:gridCol w:w="3360"/>
        <w:gridCol w:w="3360"/>
      </w:tblGrid>
      <w:tr w:rsidR="00BF61AD" w14:paraId="6E908CF7" w14:textId="77777777">
        <w:trPr>
          <w:jc w:val="center"/>
        </w:trPr>
        <w:tc>
          <w:tcPr>
            <w:tcW w:w="3360" w:type="dxa"/>
            <w:shd w:val="clear" w:color="auto" w:fill="D9EAF7"/>
            <w:vAlign w:val="center"/>
          </w:tcPr>
          <w:p w14:paraId="376D05AC" w14:textId="77777777" w:rsidR="00BF61AD" w:rsidRDefault="00000000">
            <w:pPr>
              <w:spacing w:after="0"/>
            </w:pPr>
            <w:r>
              <w:rPr>
                <w:b/>
                <w:sz w:val="18"/>
              </w:rPr>
              <w:t>Current manuscript statement</w:t>
            </w:r>
          </w:p>
        </w:tc>
        <w:tc>
          <w:tcPr>
            <w:tcW w:w="3360" w:type="dxa"/>
            <w:shd w:val="clear" w:color="auto" w:fill="D9EAF7"/>
            <w:vAlign w:val="center"/>
          </w:tcPr>
          <w:p w14:paraId="6C7F56A6" w14:textId="77777777" w:rsidR="00BF61AD" w:rsidRDefault="00000000">
            <w:pPr>
              <w:spacing w:after="0"/>
            </w:pPr>
            <w:r>
              <w:rPr>
                <w:b/>
                <w:sz w:val="18"/>
              </w:rPr>
              <w:t>Problem</w:t>
            </w:r>
          </w:p>
        </w:tc>
        <w:tc>
          <w:tcPr>
            <w:tcW w:w="3360" w:type="dxa"/>
            <w:shd w:val="clear" w:color="auto" w:fill="D9EAF7"/>
            <w:vAlign w:val="center"/>
          </w:tcPr>
          <w:p w14:paraId="6C2BFCDD" w14:textId="77777777" w:rsidR="00BF61AD" w:rsidRDefault="00000000">
            <w:pPr>
              <w:spacing w:after="0"/>
            </w:pPr>
            <w:r>
              <w:rPr>
                <w:b/>
                <w:sz w:val="18"/>
              </w:rPr>
              <w:t>Required correction</w:t>
            </w:r>
          </w:p>
        </w:tc>
      </w:tr>
      <w:tr w:rsidR="00BF61AD" w14:paraId="1D2F0C76" w14:textId="77777777">
        <w:trPr>
          <w:jc w:val="center"/>
        </w:trPr>
        <w:tc>
          <w:tcPr>
            <w:tcW w:w="3360" w:type="dxa"/>
            <w:vAlign w:val="center"/>
          </w:tcPr>
          <w:p w14:paraId="3A7CC21D" w14:textId="77777777" w:rsidR="00BF61AD" w:rsidRDefault="00000000">
            <w:pPr>
              <w:spacing w:after="0"/>
            </w:pPr>
            <w:r>
              <w:rPr>
                <w:sz w:val="17"/>
              </w:rPr>
              <w:t>EC-NAS contains measured training-energy data for ~423k architectures.</w:t>
            </w:r>
          </w:p>
        </w:tc>
        <w:tc>
          <w:tcPr>
            <w:tcW w:w="3360" w:type="dxa"/>
            <w:vAlign w:val="center"/>
          </w:tcPr>
          <w:p w14:paraId="5F2F990B" w14:textId="77777777" w:rsidR="00BF61AD" w:rsidRDefault="00000000">
            <w:pPr>
              <w:spacing w:after="0"/>
            </w:pPr>
            <w:r>
              <w:rPr>
                <w:sz w:val="17"/>
              </w:rPr>
              <w:t xml:space="preserve">The large 7V space is largely surrogate-generated; the primary paper reports a </w:t>
            </w:r>
            <w:r>
              <w:rPr>
                <w:sz w:val="17"/>
              </w:rPr>
              <w:lastRenderedPageBreak/>
              <w:t>random measured subset of 4,310 architectures for four epochs.</w:t>
            </w:r>
          </w:p>
        </w:tc>
        <w:tc>
          <w:tcPr>
            <w:tcW w:w="3360" w:type="dxa"/>
            <w:vAlign w:val="center"/>
          </w:tcPr>
          <w:p w14:paraId="400F11EA" w14:textId="77777777" w:rsidR="00BF61AD" w:rsidRDefault="00000000">
            <w:pPr>
              <w:spacing w:after="0"/>
            </w:pPr>
            <w:r>
              <w:rPr>
                <w:sz w:val="17"/>
              </w:rPr>
              <w:lastRenderedPageBreak/>
              <w:t>Describe measured versus surrogate-generated labels precisely and quantify both.</w:t>
            </w:r>
          </w:p>
        </w:tc>
      </w:tr>
      <w:tr w:rsidR="00BF61AD" w14:paraId="367F35C6" w14:textId="77777777">
        <w:trPr>
          <w:jc w:val="center"/>
        </w:trPr>
        <w:tc>
          <w:tcPr>
            <w:tcW w:w="3360" w:type="dxa"/>
            <w:vAlign w:val="center"/>
          </w:tcPr>
          <w:p w14:paraId="30FDC52A" w14:textId="77777777" w:rsidR="00BF61AD" w:rsidRDefault="00000000">
            <w:pPr>
              <w:spacing w:after="0"/>
            </w:pPr>
            <w:r>
              <w:rPr>
                <w:sz w:val="17"/>
              </w:rPr>
              <w:t>EC-NAS has no cross-hardware evaluation.</w:t>
            </w:r>
          </w:p>
        </w:tc>
        <w:tc>
          <w:tcPr>
            <w:tcW w:w="3360" w:type="dxa"/>
            <w:vAlign w:val="center"/>
          </w:tcPr>
          <w:p w14:paraId="12819BE0" w14:textId="77777777" w:rsidR="00BF61AD" w:rsidRDefault="00000000">
            <w:pPr>
              <w:spacing w:after="0"/>
            </w:pPr>
            <w:r>
              <w:rPr>
                <w:sz w:val="17"/>
              </w:rPr>
              <w:t>The paper/GitHub benchmark reports a 4V hardware-specific subset across Titan Xp, RTX 3060, RTX 3090 and Quadro RTX 6000.</w:t>
            </w:r>
          </w:p>
        </w:tc>
        <w:tc>
          <w:tcPr>
            <w:tcW w:w="3360" w:type="dxa"/>
            <w:vAlign w:val="center"/>
          </w:tcPr>
          <w:p w14:paraId="11459C05" w14:textId="77777777" w:rsidR="00BF61AD" w:rsidRDefault="00000000">
            <w:pPr>
              <w:spacing w:after="0"/>
            </w:pPr>
            <w:r>
              <w:rPr>
                <w:sz w:val="17"/>
              </w:rPr>
              <w:t>Revise RQ2/RQ3: cross-hardware evidence exists, though it is limited to a small CNN subspace and NVIDIA GPUs.</w:t>
            </w:r>
          </w:p>
        </w:tc>
      </w:tr>
      <w:tr w:rsidR="00BF61AD" w14:paraId="1F106AA1" w14:textId="77777777">
        <w:trPr>
          <w:jc w:val="center"/>
        </w:trPr>
        <w:tc>
          <w:tcPr>
            <w:tcW w:w="3360" w:type="dxa"/>
            <w:vAlign w:val="center"/>
          </w:tcPr>
          <w:p w14:paraId="493EAB1F" w14:textId="77777777" w:rsidR="00BF61AD" w:rsidRDefault="00000000">
            <w:pPr>
              <w:spacing w:after="0"/>
            </w:pPr>
            <w:r>
              <w:rPr>
                <w:sz w:val="17"/>
              </w:rPr>
              <w:t>EC-NAS achieves 'Kendall-Tau R² = 0.9030'.</w:t>
            </w:r>
          </w:p>
        </w:tc>
        <w:tc>
          <w:tcPr>
            <w:tcW w:w="3360" w:type="dxa"/>
            <w:vAlign w:val="center"/>
          </w:tcPr>
          <w:p w14:paraId="043794F7" w14:textId="77777777" w:rsidR="00BF61AD" w:rsidRDefault="00000000">
            <w:pPr>
              <w:spacing w:after="0"/>
            </w:pPr>
            <w:r>
              <w:rPr>
                <w:sz w:val="17"/>
              </w:rPr>
              <w:t>This mixes two different statistics and the exact claim was not located in the cited primary paper; the arXiv paper reports Pearson correlation &gt;0.9.</w:t>
            </w:r>
          </w:p>
        </w:tc>
        <w:tc>
          <w:tcPr>
            <w:tcW w:w="3360" w:type="dxa"/>
            <w:vAlign w:val="center"/>
          </w:tcPr>
          <w:p w14:paraId="635A6CE5" w14:textId="77777777" w:rsidR="00BF61AD" w:rsidRDefault="00000000">
            <w:pPr>
              <w:spacing w:after="0"/>
            </w:pPr>
            <w:r>
              <w:rPr>
                <w:sz w:val="17"/>
              </w:rPr>
              <w:t>Verify the metric from the definitive publication; otherwise report the primary-source statistic only.</w:t>
            </w:r>
          </w:p>
        </w:tc>
      </w:tr>
      <w:tr w:rsidR="00BF61AD" w14:paraId="795505F0" w14:textId="77777777">
        <w:trPr>
          <w:jc w:val="center"/>
        </w:trPr>
        <w:tc>
          <w:tcPr>
            <w:tcW w:w="3360" w:type="dxa"/>
            <w:vAlign w:val="center"/>
          </w:tcPr>
          <w:p w14:paraId="53D7695F" w14:textId="77777777" w:rsidR="00BF61AD" w:rsidRDefault="00000000">
            <w:pPr>
              <w:spacing w:after="0"/>
            </w:pPr>
            <w:r>
              <w:rPr>
                <w:sz w:val="17"/>
              </w:rPr>
              <w:t>Fischer proves CarbonTracker underestimates by 20–30%.</w:t>
            </w:r>
          </w:p>
        </w:tc>
        <w:tc>
          <w:tcPr>
            <w:tcW w:w="3360" w:type="dxa"/>
            <w:vAlign w:val="center"/>
          </w:tcPr>
          <w:p w14:paraId="09F234E9" w14:textId="77777777" w:rsidR="00BF61AD" w:rsidRDefault="00000000">
            <w:pPr>
              <w:spacing w:after="0"/>
            </w:pPr>
            <w:r>
              <w:rPr>
                <w:sz w:val="17"/>
              </w:rPr>
              <w:t>Fischer validates CodeCarbon, not CarbonTracker.</w:t>
            </w:r>
          </w:p>
        </w:tc>
        <w:tc>
          <w:tcPr>
            <w:tcW w:w="3360" w:type="dxa"/>
            <w:vAlign w:val="center"/>
          </w:tcPr>
          <w:p w14:paraId="2BE4887E" w14:textId="77777777" w:rsidR="00BF61AD" w:rsidRDefault="00000000">
            <w:pPr>
              <w:spacing w:after="0"/>
            </w:pPr>
            <w:r>
              <w:rPr>
                <w:sz w:val="17"/>
              </w:rPr>
              <w:t>Do not transfer the magnitude directly to EC-NAS/CarbonTracker without direct evidence.</w:t>
            </w:r>
          </w:p>
        </w:tc>
      </w:tr>
      <w:tr w:rsidR="00BF61AD" w14:paraId="297D66C1" w14:textId="77777777">
        <w:trPr>
          <w:jc w:val="center"/>
        </w:trPr>
        <w:tc>
          <w:tcPr>
            <w:tcW w:w="3360" w:type="dxa"/>
            <w:vAlign w:val="center"/>
          </w:tcPr>
          <w:p w14:paraId="4DD1C2EB" w14:textId="77777777" w:rsidR="00BF61AD" w:rsidRDefault="00000000">
            <w:pPr>
              <w:spacing w:after="0"/>
            </w:pPr>
            <w:r>
              <w:rPr>
                <w:sz w:val="17"/>
              </w:rPr>
              <w:t>No a priori method has been validated on Transformers or RNNs.</w:t>
            </w:r>
          </w:p>
        </w:tc>
        <w:tc>
          <w:tcPr>
            <w:tcW w:w="3360" w:type="dxa"/>
            <w:vAlign w:val="center"/>
          </w:tcPr>
          <w:p w14:paraId="032F9F72" w14:textId="77777777" w:rsidR="00BF61AD" w:rsidRDefault="00000000">
            <w:pPr>
              <w:spacing w:after="0"/>
            </w:pPr>
            <w:r>
              <w:rPr>
                <w:sz w:val="17"/>
              </w:rPr>
              <w:t>A 2026 design-time energy-estimation study covers LSTM, GRU and Transformers.</w:t>
            </w:r>
          </w:p>
        </w:tc>
        <w:tc>
          <w:tcPr>
            <w:tcW w:w="3360" w:type="dxa"/>
            <w:vAlign w:val="center"/>
          </w:tcPr>
          <w:p w14:paraId="5504855F" w14:textId="77777777" w:rsidR="00BF61AD" w:rsidRDefault="00000000">
            <w:pPr>
              <w:spacing w:after="0"/>
            </w:pPr>
            <w:r>
              <w:rPr>
                <w:sz w:val="17"/>
              </w:rPr>
              <w:t>Update the search and rewrite RQ2/RQ3 and the conclusion.</w:t>
            </w:r>
          </w:p>
        </w:tc>
      </w:tr>
      <w:tr w:rsidR="00BF61AD" w14:paraId="3C08588C" w14:textId="77777777">
        <w:trPr>
          <w:jc w:val="center"/>
        </w:trPr>
        <w:tc>
          <w:tcPr>
            <w:tcW w:w="3360" w:type="dxa"/>
            <w:vAlign w:val="center"/>
          </w:tcPr>
          <w:p w14:paraId="4ADBD168" w14:textId="77777777" w:rsidR="00BF61AD" w:rsidRDefault="00000000">
            <w:pPr>
              <w:spacing w:after="0"/>
            </w:pPr>
            <w:r>
              <w:rPr>
                <w:sz w:val="17"/>
              </w:rPr>
              <w:t>No meaningful cross-hardware generalization has been demonstrated.</w:t>
            </w:r>
          </w:p>
        </w:tc>
        <w:tc>
          <w:tcPr>
            <w:tcW w:w="3360" w:type="dxa"/>
            <w:vAlign w:val="center"/>
          </w:tcPr>
          <w:p w14:paraId="6DFD4DB5" w14:textId="77777777" w:rsidR="00BF61AD" w:rsidRDefault="00000000">
            <w:pPr>
              <w:spacing w:after="0"/>
            </w:pPr>
            <w:r>
              <w:rPr>
                <w:sz w:val="17"/>
              </w:rPr>
              <w:t>Recent work reports results across A100 and RTX 2080 Ti, while EC-NAS also includes a cross-GPU subset.</w:t>
            </w:r>
          </w:p>
        </w:tc>
        <w:tc>
          <w:tcPr>
            <w:tcW w:w="3360" w:type="dxa"/>
            <w:vAlign w:val="center"/>
          </w:tcPr>
          <w:p w14:paraId="299B0B2C" w14:textId="77777777" w:rsidR="00BF61AD" w:rsidRDefault="00000000">
            <w:pPr>
              <w:spacing w:after="0"/>
            </w:pPr>
            <w:r>
              <w:rPr>
                <w:sz w:val="17"/>
              </w:rPr>
              <w:t>Replace the absolute claim with a narrower claim about limited breadth, vendor diversity, external validation, and zero-shot transfer.</w:t>
            </w:r>
          </w:p>
        </w:tc>
      </w:tr>
    </w:tbl>
    <w:p w14:paraId="2739CA3A" w14:textId="77777777" w:rsidR="00BF61AD" w:rsidRDefault="00000000">
      <w:pPr>
        <w:pStyle w:val="Heading1"/>
      </w:pPr>
      <w:r>
        <w:t>6. Recommended Revised Synthesis Framework</w:t>
      </w:r>
    </w:p>
    <w:p w14:paraId="6F0FE4F7" w14:textId="77777777" w:rsidR="00BF61AD" w:rsidRDefault="00000000">
      <w:pPr>
        <w:pStyle w:val="ListBullet"/>
        <w:spacing w:after="60"/>
      </w:pPr>
      <w:r>
        <w:t>Primary evidence set: methods that estimate neural-network training energy before execution begins.</w:t>
      </w:r>
    </w:p>
    <w:p w14:paraId="4FCFC606" w14:textId="77777777" w:rsidR="00BF61AD" w:rsidRDefault="00000000">
      <w:pPr>
        <w:pStyle w:val="ListBullet"/>
        <w:spacing w:after="60"/>
      </w:pPr>
      <w:r>
        <w:t>Comparator set A: a priori inference-energy predictors, used only for transferable methodological lessons.</w:t>
      </w:r>
    </w:p>
    <w:p w14:paraId="70ECBC67" w14:textId="77777777" w:rsidR="00BF61AD" w:rsidRDefault="00000000">
      <w:pPr>
        <w:pStyle w:val="ListBullet"/>
        <w:spacing w:after="60"/>
      </w:pPr>
      <w:r>
        <w:t>Comparator set B: during-training measurement/prediction tools, used to establish the boundary between pre-execution and online estimation.</w:t>
      </w:r>
    </w:p>
    <w:p w14:paraId="4504AEA8" w14:textId="77777777" w:rsidR="00BF61AD" w:rsidRDefault="00000000">
      <w:pPr>
        <w:pStyle w:val="ListBullet"/>
        <w:spacing w:after="60"/>
      </w:pPr>
      <w:r>
        <w:t>Comparator set C: post-hoc/lifecycle studies, used to show what architectural predictors cannot capture (PUE, location, idle infrastructure, embodied carbon).</w:t>
      </w:r>
    </w:p>
    <w:p w14:paraId="5FAD4ACE" w14:textId="77777777" w:rsidR="00BF61AD" w:rsidRDefault="00000000">
      <w:pPr>
        <w:pStyle w:val="ListBullet"/>
        <w:spacing w:after="60"/>
      </w:pPr>
      <w:r>
        <w:t>Context set: surveys and optimization frameworks, discussed separately and not counted as primary predictor evidence.</w:t>
      </w:r>
    </w:p>
    <w:p w14:paraId="161BB0A2" w14:textId="77777777" w:rsidR="00BF61AD" w:rsidRDefault="00000000">
      <w:pPr>
        <w:pStyle w:val="ListBullet"/>
        <w:spacing w:after="60"/>
      </w:pPr>
      <w:r>
        <w:t>Generalizability matrix: architecture family × hardware family/vendor × target quantity × measurement ground truth × transfer setting (within-distribution, cross-architecture, cross-hardware, zero-shot/calibrated).</w:t>
      </w:r>
    </w:p>
    <w:p w14:paraId="3F53EAA1" w14:textId="77777777" w:rsidR="00BF61AD" w:rsidRDefault="00000000">
      <w:pPr>
        <w:pStyle w:val="Heading1"/>
      </w:pPr>
      <w:r>
        <w:t>7. Recommended Paper Structure</w:t>
      </w:r>
    </w:p>
    <w:p w14:paraId="115CE9AC" w14:textId="77777777" w:rsidR="00BF61AD" w:rsidRDefault="00000000">
      <w:pPr>
        <w:pStyle w:val="ListNumber"/>
        <w:spacing w:after="100"/>
      </w:pPr>
      <w:r>
        <w:t>Introduction: motivation, precise gap, contributions, and time-bounded novelty statement.</w:t>
      </w:r>
    </w:p>
    <w:p w14:paraId="347D3464" w14:textId="77777777" w:rsidR="00BF61AD" w:rsidRDefault="00000000">
      <w:pPr>
        <w:pStyle w:val="ListNumber"/>
        <w:spacing w:after="100"/>
      </w:pPr>
      <w:r>
        <w:t>Methods: protocol/registration (if any), databases, exact search date and syntax, eligibility, screening, extraction, appraisal, synthesis plan.</w:t>
      </w:r>
    </w:p>
    <w:p w14:paraId="424FB00D" w14:textId="77777777" w:rsidR="00BF61AD" w:rsidRDefault="00000000">
      <w:pPr>
        <w:pStyle w:val="ListNumber"/>
        <w:spacing w:after="100"/>
      </w:pPr>
      <w:r>
        <w:t>Results: PRISMA flow; study characteristics; primary a priori training predictors; contextual comparator evidence.</w:t>
      </w:r>
    </w:p>
    <w:p w14:paraId="0621C6C1" w14:textId="77777777" w:rsidR="00BF61AD" w:rsidRDefault="00000000">
      <w:pPr>
        <w:pStyle w:val="ListNumber"/>
        <w:spacing w:after="100"/>
      </w:pPr>
      <w:r>
        <w:t>Discussion: cross-architecture generalization; cross-hardware transfer; measurement fidelity; analytical vs learned models; implications for sustainable AI.</w:t>
      </w:r>
    </w:p>
    <w:p w14:paraId="58D2A065" w14:textId="77777777" w:rsidR="00BF61AD" w:rsidRDefault="00000000">
      <w:pPr>
        <w:pStyle w:val="ListNumber"/>
        <w:spacing w:after="100"/>
      </w:pPr>
      <w:r>
        <w:t>Threats to validity / limitations: search coverage, single-reviewer screening, evolving literature, heterogeneity and measurement bias.</w:t>
      </w:r>
    </w:p>
    <w:p w14:paraId="23602B12" w14:textId="77777777" w:rsidR="00BF61AD" w:rsidRDefault="00000000">
      <w:pPr>
        <w:pStyle w:val="ListNumber"/>
        <w:spacing w:after="100"/>
      </w:pPr>
      <w:r>
        <w:t>Conclusion: what is established, what remains uncertain, and a prioritized research agenda.</w:t>
      </w:r>
    </w:p>
    <w:p w14:paraId="3B6105FD" w14:textId="77777777" w:rsidR="00BF61AD" w:rsidRDefault="00000000">
      <w:pPr>
        <w:pStyle w:val="Heading1"/>
      </w:pPr>
      <w:r>
        <w:t>8. Specific Presentation and Language Corrections</w:t>
      </w:r>
    </w:p>
    <w:p w14:paraId="142F9A72" w14:textId="77777777" w:rsidR="00BF61AD" w:rsidRDefault="00000000">
      <w:pPr>
        <w:pStyle w:val="ListBullet"/>
        <w:spacing w:after="60"/>
      </w:pPr>
      <w:r>
        <w:t>Correct duplicate subsection numbering: '3.4.4' is used twice.</w:t>
      </w:r>
    </w:p>
    <w:p w14:paraId="0144D199" w14:textId="77777777" w:rsidR="00BF61AD" w:rsidRDefault="00000000">
      <w:pPr>
        <w:pStyle w:val="ListBullet"/>
        <w:spacing w:after="60"/>
      </w:pPr>
      <w:r>
        <w:t>Change 'Summary: Priori Prediction' to 'Summary: A Priori Prediction'.</w:t>
      </w:r>
    </w:p>
    <w:p w14:paraId="48298750" w14:textId="77777777" w:rsidR="00BF61AD" w:rsidRDefault="00000000">
      <w:pPr>
        <w:pStyle w:val="ListBullet"/>
        <w:spacing w:after="60"/>
      </w:pPr>
      <w:r>
        <w:t>Change 'Results of syntheses' to 'Results of the Synthesis' or simply 'Results'.</w:t>
      </w:r>
    </w:p>
    <w:p w14:paraId="7C38F2C2" w14:textId="77777777" w:rsidR="00BF61AD" w:rsidRDefault="00000000">
      <w:pPr>
        <w:pStyle w:val="ListBullet"/>
        <w:spacing w:after="60"/>
      </w:pPr>
      <w:r>
        <w:t>Rewrite the study-selection sentence beginning 'The title-screened database papers (114) was deduplicated...' for grammar and clarity.</w:t>
      </w:r>
    </w:p>
    <w:p w14:paraId="2FC5FAF5" w14:textId="77777777" w:rsidR="00BF61AD" w:rsidRDefault="00000000">
      <w:pPr>
        <w:pStyle w:val="ListBullet"/>
        <w:spacing w:after="60"/>
      </w:pPr>
      <w:r>
        <w:t>Standardize 'CarbonTracker' capitalization throughout.</w:t>
      </w:r>
    </w:p>
    <w:p w14:paraId="593953DB" w14:textId="77777777" w:rsidR="00BF61AD" w:rsidRDefault="00000000">
      <w:pPr>
        <w:pStyle w:val="ListBullet"/>
        <w:spacing w:after="60"/>
      </w:pPr>
      <w:r>
        <w:t>Standardize CO2e/CO₂e notation and define it once.</w:t>
      </w:r>
    </w:p>
    <w:p w14:paraId="0752E402" w14:textId="77777777" w:rsidR="00BF61AD" w:rsidRDefault="00000000">
      <w:pPr>
        <w:pStyle w:val="ListBullet"/>
        <w:spacing w:after="60"/>
      </w:pPr>
      <w:r>
        <w:lastRenderedPageBreak/>
        <w:t>Use one consistent term for architecture families; distinguish generic feed-forward DNN/MLP from CNN rather than treating them interchangeably.</w:t>
      </w:r>
    </w:p>
    <w:p w14:paraId="1201E657" w14:textId="77777777" w:rsidR="00BF61AD" w:rsidRDefault="00000000">
      <w:pPr>
        <w:pStyle w:val="ListBullet"/>
        <w:spacing w:after="60"/>
      </w:pPr>
      <w:r>
        <w:t>Standardize years across text and tables (e.g., ECOpt is shown as 2023 in the narrative and 2026 in a table).</w:t>
      </w:r>
    </w:p>
    <w:p w14:paraId="6DEE4143" w14:textId="77777777" w:rsidR="00BF61AD" w:rsidRDefault="00000000">
      <w:pPr>
        <w:pStyle w:val="ListBullet"/>
        <w:spacing w:after="60"/>
      </w:pPr>
      <w:r>
        <w:t>Complete every reference with final publication venue/volume/pages/DOI where available; replace outdated preprint citations with peer-reviewed versions when they now exist.</w:t>
      </w:r>
    </w:p>
    <w:p w14:paraId="684AA73E" w14:textId="77777777" w:rsidR="00BF61AD" w:rsidRDefault="00000000">
      <w:pPr>
        <w:pStyle w:val="ListBullet"/>
        <w:spacing w:after="60"/>
      </w:pPr>
      <w:r>
        <w:t>Check all table captions and numbering. 'Table 1' appears inside Section 2 after 'Table 2.1', which is inconsistent.</w:t>
      </w:r>
    </w:p>
    <w:p w14:paraId="12FED1C3" w14:textId="77777777" w:rsidR="00BF61AD" w:rsidRDefault="00000000">
      <w:pPr>
        <w:pStyle w:val="ListBullet"/>
        <w:spacing w:after="60"/>
      </w:pPr>
      <w:r>
        <w:t>Clarify whether preprints are eligible primary evidence and whether their quality is weighted differently from peer-reviewed papers.</w:t>
      </w:r>
    </w:p>
    <w:p w14:paraId="54C1F051" w14:textId="77777777" w:rsidR="00BF61AD" w:rsidRDefault="00000000">
      <w:pPr>
        <w:pStyle w:val="ListBullet"/>
        <w:spacing w:after="60"/>
      </w:pPr>
      <w:r>
        <w:t>Do not use 'Western bias' as a default label for English-only inclusion unless supported; state 'language bias' more precisely.</w:t>
      </w:r>
    </w:p>
    <w:p w14:paraId="491CBD24" w14:textId="64E0E742" w:rsidR="00BF61AD" w:rsidRDefault="00000000">
      <w:pPr>
        <w:pStyle w:val="Heading1"/>
      </w:pPr>
      <w:r>
        <w:t xml:space="preserve">10. Verification Sources </w:t>
      </w:r>
    </w:p>
    <w:p w14:paraId="487FAFA5" w14:textId="77777777" w:rsidR="00BF61AD" w:rsidRDefault="00000000">
      <w:pPr>
        <w:pStyle w:val="ListBullet"/>
        <w:spacing w:after="60"/>
      </w:pPr>
      <w:r>
        <w:rPr>
          <w:sz w:val="18"/>
        </w:rPr>
        <w:t>Research4Life. Country eligibility list showing Ghana in Group A (2025 list, accessed 20 Sep 2026): https://www.research4life.org/wp-content/uploads/insert-EN-web2025.pdf</w:t>
      </w:r>
    </w:p>
    <w:p w14:paraId="658233AB" w14:textId="77777777" w:rsidR="00BF61AD" w:rsidRDefault="00000000">
      <w:pPr>
        <w:pStyle w:val="ListBullet"/>
        <w:spacing w:after="60"/>
      </w:pPr>
      <w:r>
        <w:rPr>
          <w:sz w:val="18"/>
        </w:rPr>
        <w:t>Elsevier. Sustainable Computing: Informatics and Systems journal description (scope comparison): https://shop.elsevier.com/journals/sustainable-computing-informatics-and-systems/2210-5379</w:t>
      </w:r>
    </w:p>
    <w:p w14:paraId="4F050215" w14:textId="77777777" w:rsidR="00BF61AD" w:rsidRDefault="00000000">
      <w:pPr>
        <w:pStyle w:val="ListBullet"/>
        <w:spacing w:after="60"/>
      </w:pPr>
      <w:r>
        <w:rPr>
          <w:sz w:val="18"/>
        </w:rPr>
        <w:t>Bakhtiarifard, P., Igel, C., &amp; Selvan, R. EC-NAS: Energy Consumption Aware Tabular Benchmarks for Neural Architecture Search. ICASSP 2024 / arXiv:2210.06015. https://arxiv.org/abs/2210.06015</w:t>
      </w:r>
    </w:p>
    <w:p w14:paraId="0E2DCD1A" w14:textId="77777777" w:rsidR="00BF61AD" w:rsidRDefault="00000000">
      <w:pPr>
        <w:pStyle w:val="ListBullet"/>
        <w:spacing w:after="60"/>
      </w:pPr>
      <w:r>
        <w:rPr>
          <w:sz w:val="18"/>
        </w:rPr>
        <w:t>EC-NAS-Bench repository, hardware-specific benchmark descriptions: https://github.com/saintslab/EC-NAS-Bench</w:t>
      </w:r>
    </w:p>
    <w:p w14:paraId="0E222063" w14:textId="77777777" w:rsidR="00BF61AD" w:rsidRDefault="00000000">
      <w:pPr>
        <w:pStyle w:val="ListBullet"/>
        <w:spacing w:after="60"/>
      </w:pPr>
      <w:r>
        <w:rPr>
          <w:sz w:val="18"/>
        </w:rPr>
        <w:t>Tripp, C. E., et al. Measuring the Energy Consumption and Efficiency of Deep Neural Networks: An Empirical Analysis and Design Recommendations. arXiv:2403.08151. https://arxiv.org/abs/2403.08151</w:t>
      </w:r>
    </w:p>
    <w:p w14:paraId="4E412372" w14:textId="77777777" w:rsidR="00BF61AD" w:rsidRDefault="00000000">
      <w:pPr>
        <w:pStyle w:val="ListBullet"/>
        <w:spacing w:after="60"/>
      </w:pPr>
      <w:r>
        <w:rPr>
          <w:sz w:val="18"/>
        </w:rPr>
        <w:t>Fischer, R. Ground-Truthing AI Energy Consumption: Validating CodeCarbon Against External Measurements. arXiv:2509.22092; peer-reviewed version published 2026. https://arxiv.org/abs/2509.22092</w:t>
      </w:r>
    </w:p>
    <w:p w14:paraId="33F9B012" w14:textId="77777777" w:rsidR="00BF61AD" w:rsidRDefault="00000000">
      <w:pPr>
        <w:pStyle w:val="ListBullet"/>
        <w:spacing w:after="60"/>
      </w:pPr>
      <w:r>
        <w:rPr>
          <w:sz w:val="18"/>
        </w:rPr>
        <w:t>Mayaki, M. Z., &amp; Charpenay, V. Modeling Energy Consumption in Deep Learning Architectures Using Power Laws. First published online 25 Aug 2026. DOI: 10.3233/FAIA250900.</w:t>
      </w:r>
    </w:p>
    <w:sectPr w:rsidR="00BF61AD"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4E34F" w14:textId="77777777" w:rsidR="00BC05F7" w:rsidRDefault="00BC05F7">
      <w:pPr>
        <w:spacing w:after="0" w:line="240" w:lineRule="auto"/>
      </w:pPr>
      <w:r>
        <w:separator/>
      </w:r>
    </w:p>
  </w:endnote>
  <w:endnote w:type="continuationSeparator" w:id="0">
    <w:p w14:paraId="2CB9C097" w14:textId="77777777" w:rsidR="00BC05F7" w:rsidRDefault="00BC0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6BA4D" w14:textId="20BFBA0F" w:rsidR="00BF61AD" w:rsidRDefault="00BF61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192C9" w14:textId="77777777" w:rsidR="00BC05F7" w:rsidRDefault="00BC05F7">
      <w:pPr>
        <w:spacing w:after="0" w:line="240" w:lineRule="auto"/>
      </w:pPr>
      <w:r>
        <w:separator/>
      </w:r>
    </w:p>
  </w:footnote>
  <w:footnote w:type="continuationSeparator" w:id="0">
    <w:p w14:paraId="06FC7C8B" w14:textId="77777777" w:rsidR="00BC05F7" w:rsidRDefault="00BC05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A16878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7071518">
    <w:abstractNumId w:val="8"/>
  </w:num>
  <w:num w:numId="2" w16cid:durableId="1345521780">
    <w:abstractNumId w:val="6"/>
  </w:num>
  <w:num w:numId="3" w16cid:durableId="55519102">
    <w:abstractNumId w:val="5"/>
  </w:num>
  <w:num w:numId="4" w16cid:durableId="30499802">
    <w:abstractNumId w:val="4"/>
  </w:num>
  <w:num w:numId="5" w16cid:durableId="812676919">
    <w:abstractNumId w:val="7"/>
  </w:num>
  <w:num w:numId="6" w16cid:durableId="1428424416">
    <w:abstractNumId w:val="3"/>
  </w:num>
  <w:num w:numId="7" w16cid:durableId="1956791067">
    <w:abstractNumId w:val="2"/>
  </w:num>
  <w:num w:numId="8" w16cid:durableId="1830900328">
    <w:abstractNumId w:val="1"/>
  </w:num>
  <w:num w:numId="9" w16cid:durableId="609825991">
    <w:abstractNumId w:val="0"/>
  </w:num>
  <w:num w:numId="10" w16cid:durableId="1820628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563"/>
    <w:rsid w:val="0015074B"/>
    <w:rsid w:val="0020617F"/>
    <w:rsid w:val="0029639D"/>
    <w:rsid w:val="00326F90"/>
    <w:rsid w:val="006754B4"/>
    <w:rsid w:val="00AA1D8D"/>
    <w:rsid w:val="00B47730"/>
    <w:rsid w:val="00BC05F7"/>
    <w:rsid w:val="00BF20AF"/>
    <w:rsid w:val="00BF61AD"/>
    <w:rsid w:val="00C5760B"/>
    <w:rsid w:val="00CB0664"/>
    <w:rsid w:val="00D97E5B"/>
    <w:rsid w:val="00DE4AF8"/>
    <w:rsid w:val="00E345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D0357"/>
  <w14:defaultImageDpi w14:val="300"/>
  <w15:docId w15:val="{1E4577DE-A606-417F-91CD-FA5EC1C2B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Calibri" w:hAnsi="Calibri"/>
      <w:i/>
      <w:color w:val="50505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2486</Words>
  <Characters>14175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Vanessa Atta-Fynn</cp:lastModifiedBy>
  <cp:revision>1</cp:revision>
  <dcterms:created xsi:type="dcterms:W3CDTF">2013-12-23T23:15:00Z</dcterms:created>
  <dcterms:modified xsi:type="dcterms:W3CDTF">2026-09-28T09:09:00Z</dcterms:modified>
  <cp:category/>
</cp:coreProperties>
</file>