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4A09C" w14:textId="3CE9CDFF" w:rsidR="00003A2E" w:rsidRPr="003D6F2A" w:rsidRDefault="004D0A4B">
      <w:pPr>
        <w:pStyle w:val="Heading1"/>
        <w:spacing w:before="160" w:after="80"/>
        <w:jc w:val="center"/>
        <w:rPr>
          <w:color w:val="auto"/>
        </w:rPr>
      </w:pPr>
      <w:bookmarkStart w:id="0" w:name="X7ad4a35fa811e46012a1aaa53edf4030c7c8349"/>
      <w:r w:rsidRPr="003D6F2A">
        <w:rPr>
          <w:color w:val="auto"/>
          <w:sz w:val="31"/>
        </w:rPr>
        <w:t>​CAL-ENERGY: Calibration- and Domain-Aware A Priori Prediction of Neural Network Training Energy</w:t>
      </w:r>
    </w:p>
    <w:p w14:paraId="4F3245E8" w14:textId="77777777" w:rsidR="00003A2E" w:rsidRPr="003D6F2A" w:rsidRDefault="008F030F">
      <w:pPr>
        <w:jc w:val="center"/>
      </w:pPr>
      <w:r w:rsidRPr="003D6F2A">
        <w:rPr>
          <w:b/>
        </w:rPr>
        <w:t>Vanessa Atta-Fynn¹, Kofi Sarpong Adu-Manu¹,*</w:t>
      </w:r>
    </w:p>
    <w:p w14:paraId="56B0A8D3" w14:textId="1A169C65" w:rsidR="00003A2E" w:rsidRPr="003D6F2A" w:rsidRDefault="008F030F">
      <w:pPr>
        <w:pStyle w:val="BodyText"/>
        <w:jc w:val="center"/>
      </w:pPr>
      <w:r w:rsidRPr="003D6F2A">
        <w:rPr>
          <w:sz w:val="19"/>
        </w:rPr>
        <w:t>¹ Department of Computer Science, University of Ghana, Legon, Accra, Ghana</w:t>
      </w:r>
      <w:r w:rsidRPr="003D6F2A">
        <w:rPr>
          <w:sz w:val="19"/>
        </w:rPr>
        <w:br/>
        <w:t>* Corresponding author: Kofi Sarpong Adu-Manu</w:t>
      </w:r>
      <w:r w:rsidR="008065A0">
        <w:rPr>
          <w:sz w:val="19"/>
        </w:rPr>
        <w:t xml:space="preserve"> (ksadu-manu@ug.edu.gh)</w:t>
      </w:r>
    </w:p>
    <w:p w14:paraId="524994CC" w14:textId="77777777" w:rsidR="00003A2E" w:rsidRPr="003D6F2A" w:rsidRDefault="008F030F">
      <w:pPr>
        <w:pStyle w:val="Heading2"/>
        <w:spacing w:before="160" w:after="80"/>
        <w:jc w:val="center"/>
        <w:rPr>
          <w:color w:val="auto"/>
        </w:rPr>
      </w:pPr>
      <w:bookmarkStart w:id="1" w:name="abstract"/>
      <w:r w:rsidRPr="003D6F2A">
        <w:rPr>
          <w:color w:val="auto"/>
        </w:rPr>
        <w:t>Abstract</w:t>
      </w:r>
    </w:p>
    <w:p w14:paraId="6BDE3065" w14:textId="32E5A73B" w:rsidR="00003A2E" w:rsidRPr="003D6F2A" w:rsidRDefault="008F030F" w:rsidP="00CD299B">
      <w:pPr>
        <w:jc w:val="both"/>
      </w:pPr>
      <w:r w:rsidRPr="003D6F2A">
        <w:t>Estimating neural-network training energy before execution can support sustainable model selection, compute budgeting, and energy-aware scheduling. Existing energy-aware neural architecture search and GPU-optimi</w:t>
      </w:r>
      <w:r w:rsidR="00DC0AC6">
        <w:t>s</w:t>
      </w:r>
      <w:r w:rsidRPr="003D6F2A">
        <w:t xml:space="preserve">ation studies demonstrate the utility of predictive surrogates, but their targets, architecture scopes, measurement regimes, and </w:t>
      </w:r>
      <w:r w:rsidR="00DC0AC6">
        <w:t>relia</w:t>
      </w:r>
      <w:r w:rsidRPr="003D6F2A">
        <w:t xml:space="preserve">nce on online feedback differ substantially. This paper presents CAL-ENERGY, a calibration- and domain-aware framework for a priori prediction of total training energy from pre-execution metadata. CAL-ENERGY combines a family-agnostic feature core with masked family-specific descriptors, log-transformed Random Forest regression, grouped data splitting, </w:t>
      </w:r>
      <w:r w:rsidRPr="007F7DD8">
        <w:rPr>
          <w:highlight w:val="cyan"/>
        </w:rPr>
        <w:t>measurement-scale sensitivity analysis</w:t>
      </w:r>
      <w:r w:rsidRPr="003D6F2A">
        <w:t xml:space="preserve">, direct-versus-decomposed output modelling, and explicit tests of architecture- and hardware-domain shift. </w:t>
      </w:r>
      <w:r w:rsidRPr="007F7DD8">
        <w:rPr>
          <w:highlight w:val="cyan"/>
        </w:rPr>
        <w:t>CAL-GATE</w:t>
      </w:r>
      <w:r w:rsidRPr="003D6F2A">
        <w:t xml:space="preserve"> </w:t>
      </w:r>
      <w:r w:rsidRPr="007F7DD8">
        <w:rPr>
          <w:highlight w:val="cyan"/>
        </w:rPr>
        <w:t>complements the predictor by assessing whether a candidate lies within the empirical support of the calibration data and, when target-domain pilot measurements are available, applying a robust multiplicative recalibration.</w:t>
      </w:r>
      <w:r w:rsidRPr="003D6F2A">
        <w:t xml:space="preserve"> Evaluation uses </w:t>
      </w:r>
      <w:r w:rsidRPr="007F7DD8">
        <w:rPr>
          <w:highlight w:val="cyan"/>
        </w:rPr>
        <w:t>37,055</w:t>
      </w:r>
      <w:r w:rsidRPr="003D6F2A">
        <w:t xml:space="preserve"> hardware-metered BUTTER-E multilayer-perceptron runs and 2,532 directly measured EC-NAS convolutional architectures. Within-family prediction achieves Kendall’s τ of 0.927 and 0.849, with MAPE of 11.5% and 5.8%, for BUTTER-E and EC-NAS, respectively. </w:t>
      </w:r>
      <w:r w:rsidRPr="00834F45">
        <w:rPr>
          <w:highlight w:val="cyan"/>
        </w:rPr>
        <w:t>Dataset descriptors are critical for BUTTER-E, whereas zero-shot cross-family and cross-hardware experiments reveal substantial calibration failure when workload or hardware variation is absent from training.</w:t>
      </w:r>
      <w:r w:rsidRPr="003D6F2A">
        <w:t xml:space="preserve"> The study therefore contributes a reproducible framework for pre-execution energy prediction, applicability assessment, and diagnosis of domain-shift failure modes in sustainable computing.</w:t>
      </w:r>
    </w:p>
    <w:p w14:paraId="45F38E2C" w14:textId="77777777" w:rsidR="00003A2E" w:rsidRPr="003D6F2A" w:rsidRDefault="008F030F">
      <w:pPr>
        <w:pStyle w:val="BodyText"/>
      </w:pPr>
      <w:r w:rsidRPr="003D6F2A">
        <w:rPr>
          <w:b/>
          <w:bCs/>
        </w:rPr>
        <w:t>Keywords:</w:t>
      </w:r>
      <w:r w:rsidRPr="003D6F2A">
        <w:t xml:space="preserve"> training-energy prediction; sustainable computing; Green AI; domain generalization; neural architecture search; energy-aware scheduling</w:t>
      </w:r>
    </w:p>
    <w:p w14:paraId="2BA21503" w14:textId="77777777" w:rsidR="00003A2E" w:rsidRPr="003D6F2A" w:rsidRDefault="008F030F">
      <w:pPr>
        <w:pStyle w:val="Heading2"/>
        <w:spacing w:before="160" w:after="80"/>
        <w:rPr>
          <w:color w:val="auto"/>
        </w:rPr>
      </w:pPr>
      <w:bookmarkStart w:id="2" w:name="highlights"/>
      <w:bookmarkEnd w:id="1"/>
      <w:r w:rsidRPr="003D6F2A">
        <w:rPr>
          <w:color w:val="auto"/>
        </w:rPr>
        <w:t>Highlights</w:t>
      </w:r>
    </w:p>
    <w:p w14:paraId="040CE491" w14:textId="6477D302" w:rsidR="00003A2E" w:rsidRPr="003D6F2A" w:rsidRDefault="00DA2078">
      <w:pPr>
        <w:numPr>
          <w:ilvl w:val="0"/>
          <w:numId w:val="11"/>
        </w:numPr>
        <w:ind w:firstLine="0"/>
      </w:pPr>
      <w:r w:rsidRPr="003D6F2A">
        <w:t>Predicts the training energy from pre-execution metadata for MLP and CNN benchmarks.</w:t>
      </w:r>
    </w:p>
    <w:p w14:paraId="7DA9454C" w14:textId="287D1DEA" w:rsidR="00003A2E" w:rsidRPr="003D6F2A" w:rsidRDefault="008F030F">
      <w:pPr>
        <w:numPr>
          <w:ilvl w:val="0"/>
          <w:numId w:val="11"/>
        </w:numPr>
        <w:ind w:firstLine="0"/>
      </w:pPr>
      <w:r w:rsidRPr="003D6F2A">
        <w:t xml:space="preserve">Separates interpolation accuracy from architecture and hardware domain </w:t>
      </w:r>
      <w:r w:rsidR="00DA2078" w:rsidRPr="003D6F2A">
        <w:t>shifts</w:t>
      </w:r>
      <w:r w:rsidRPr="003D6F2A">
        <w:t>.</w:t>
      </w:r>
    </w:p>
    <w:p w14:paraId="61D45E68" w14:textId="5596B40B" w:rsidR="00003A2E" w:rsidRPr="003D6F2A" w:rsidRDefault="008F030F">
      <w:pPr>
        <w:numPr>
          <w:ilvl w:val="0"/>
          <w:numId w:val="11"/>
        </w:numPr>
        <w:ind w:firstLine="0"/>
      </w:pPr>
      <w:r w:rsidRPr="003D6F2A">
        <w:t xml:space="preserve">Dataset-scale features </w:t>
      </w:r>
      <w:r w:rsidR="00DA2078" w:rsidRPr="003D6F2A">
        <w:t xml:space="preserve">lifted the </w:t>
      </w:r>
      <w:r w:rsidRPr="003D6F2A">
        <w:t>MLP R² from 0.086 to 0.953.</w:t>
      </w:r>
    </w:p>
    <w:p w14:paraId="2B36A7E8" w14:textId="3EA219B0" w:rsidR="00003A2E" w:rsidRPr="003D6F2A" w:rsidRDefault="008F030F">
      <w:pPr>
        <w:numPr>
          <w:ilvl w:val="0"/>
          <w:numId w:val="11"/>
        </w:numPr>
        <w:ind w:firstLine="0"/>
      </w:pPr>
      <w:r w:rsidRPr="003D6F2A">
        <w:t>Measurement-scale shi</w:t>
      </w:r>
      <w:r w:rsidR="00DA2078" w:rsidRPr="003D6F2A">
        <w:t xml:space="preserve">fts alter the </w:t>
      </w:r>
      <w:r w:rsidRPr="003D6F2A">
        <w:t>absolute energy without</w:t>
      </w:r>
      <w:r w:rsidR="00DA2078" w:rsidRPr="003D6F2A">
        <w:t xml:space="preserve"> changing the </w:t>
      </w:r>
      <w:r w:rsidRPr="003D6F2A">
        <w:t>fit statistics.</w:t>
      </w:r>
    </w:p>
    <w:p w14:paraId="6AD426E0" w14:textId="6A1FDC6A" w:rsidR="00003A2E" w:rsidRPr="003D6F2A" w:rsidRDefault="008F030F">
      <w:pPr>
        <w:numPr>
          <w:ilvl w:val="0"/>
          <w:numId w:val="11"/>
        </w:numPr>
        <w:ind w:firstLine="0"/>
      </w:pPr>
      <w:r w:rsidRPr="003D6F2A">
        <w:t>CAL-GATE flags unsupported domai</w:t>
      </w:r>
      <w:r w:rsidR="00DA2078" w:rsidRPr="003D6F2A">
        <w:t xml:space="preserve">ns before the </w:t>
      </w:r>
      <w:r w:rsidRPr="003D6F2A">
        <w:t>estimates are treated as calibrated.</w:t>
      </w:r>
    </w:p>
    <w:p w14:paraId="67E45709" w14:textId="77777777" w:rsidR="00003A2E" w:rsidRPr="003D6F2A" w:rsidRDefault="008F030F">
      <w:pPr>
        <w:pStyle w:val="Heading1"/>
        <w:spacing w:before="160" w:after="80"/>
        <w:rPr>
          <w:color w:val="auto"/>
        </w:rPr>
      </w:pPr>
      <w:bookmarkStart w:id="3" w:name="introduction"/>
      <w:bookmarkEnd w:id="0"/>
      <w:bookmarkEnd w:id="2"/>
      <w:r w:rsidRPr="003D6F2A">
        <w:rPr>
          <w:color w:val="auto"/>
        </w:rPr>
        <w:t>1. Introduction</w:t>
      </w:r>
    </w:p>
    <w:p w14:paraId="65A9C9D1" w14:textId="77777777" w:rsidR="00CD299B" w:rsidRPr="003D6F2A" w:rsidRDefault="008F030F" w:rsidP="00CD299B">
      <w:pPr>
        <w:jc w:val="both"/>
      </w:pPr>
      <w:r w:rsidRPr="003D6F2A">
        <w:t xml:space="preserve">Deep learning has become central to advances in computer vision, natural-language processing, recommendation, and scientific computing, but these gains have been accompanied by increasing computational and energy demands during model development and training [1–4]. </w:t>
      </w:r>
      <w:r w:rsidRPr="0033247F">
        <w:rPr>
          <w:highlight w:val="cyan"/>
        </w:rPr>
        <w:t>Recent studies further show that energy consumption depends jointly on model architecture, training configuration, dataset scale, hardware characteristics, power-management settings, and the measurement methodology used to quantify consumption [5,8,9,11,13]</w:t>
      </w:r>
      <w:r w:rsidRPr="003D6F2A">
        <w:t>. Consequently, energy estimation is most valuable before execution, when researchers and infrastructure managers can still revise model, hardware, scheduling, or resource-allocation decisions.</w:t>
      </w:r>
    </w:p>
    <w:p w14:paraId="26E0D85D" w14:textId="77777777" w:rsidR="00CD299B" w:rsidRPr="003D6F2A" w:rsidRDefault="008F030F" w:rsidP="00CD299B">
      <w:pPr>
        <w:jc w:val="both"/>
      </w:pPr>
      <w:r w:rsidRPr="003D6F2A">
        <w:t xml:space="preserve">Building on this need, recent work has integrated energy prediction into neural architecture search and GPU-configuration optimisation [6–9,11,13]. EC-NAS augments NAS-Bench-101 with measured energy data and a surrogate model so that search procedures can evaluate energy-performance trade-offs without exhaustively training every candidate [6]. Gratia et al. combine predictive models with NSGA-II for energy-aware architecture search [7], whereas </w:t>
      </w:r>
      <w:r w:rsidRPr="0033247F">
        <w:rPr>
          <w:highlight w:val="green"/>
        </w:rPr>
        <w:t>He et al</w:t>
      </w:r>
      <w:r w:rsidRPr="003D6F2A">
        <w:t xml:space="preserve">. couple offline KNN-XGBoost estimates with online local search over GPU power, clock, and batch-size settings [8]. </w:t>
      </w:r>
      <w:r w:rsidRPr="0033247F">
        <w:rPr>
          <w:highlight w:val="green"/>
        </w:rPr>
        <w:t>Liao et al</w:t>
      </w:r>
      <w:r w:rsidRPr="003D6F2A">
        <w:t xml:space="preserve">. use pre-execution task metadata and symbolic regression to estimate GPU training-energy characteristics across ResNet, VGG, MobileNet, ViT, and BERT workloads on A800 hardware [9]. Collectively, these </w:t>
      </w:r>
      <w:r w:rsidRPr="003D6F2A">
        <w:lastRenderedPageBreak/>
        <w:t xml:space="preserve">studies establish the value of prediction for sustainable computing, while also showing that the prediction task varies across </w:t>
      </w:r>
      <w:r w:rsidRPr="00E06632">
        <w:rPr>
          <w:highlight w:val="cyan"/>
        </w:rPr>
        <w:t>total energy, power-curve components, inference energy, and optimization-specific configuration outcomes</w:t>
      </w:r>
      <w:r w:rsidRPr="003D6F2A">
        <w:t xml:space="preserve"> [6–9,13].</w:t>
      </w:r>
      <w:r w:rsidRPr="003D6F2A">
        <w:br/>
        <w:t xml:space="preserve">Against this background, the central research problem is whether the total energy of a proposed training run can be estimated solely from metadata available before execution while, at the same time, identifying whether the request lies </w:t>
      </w:r>
      <w:r w:rsidRPr="00E06632">
        <w:rPr>
          <w:highlight w:val="cyan"/>
        </w:rPr>
        <w:t>within the predictor’s empirical calibration domain</w:t>
      </w:r>
      <w:r w:rsidRPr="003D6F2A">
        <w:t xml:space="preserve">. The second requirement is essential because a numerically precise point estimate may be misleading under architecture, workload, or hardware shift. The problem therefore extends beyond neural architecture search: shared clusters, institutional compute-allocation systems, and sustainability dashboards require estimates that are both available before execution </w:t>
      </w:r>
      <w:r w:rsidRPr="00E06632">
        <w:rPr>
          <w:highlight w:val="cyan"/>
        </w:rPr>
        <w:t>and explicit about their calibration validity.</w:t>
      </w:r>
    </w:p>
    <w:p w14:paraId="00674AAB" w14:textId="4AD6A0BA" w:rsidR="00003A2E" w:rsidRPr="003D6F2A" w:rsidRDefault="008F030F" w:rsidP="00CD299B">
      <w:pPr>
        <w:jc w:val="both"/>
      </w:pPr>
      <w:r w:rsidRPr="003D6F2A">
        <w:br/>
        <w:t xml:space="preserve">Recent work has expanded the evidence base for pre-execution energy </w:t>
      </w:r>
      <w:r w:rsidRPr="00E06632">
        <w:rPr>
          <w:highlight w:val="cyan"/>
        </w:rPr>
        <w:t>prediction beyond single search spaces, including cross-model tests spanning ResNet, ViT, and BERT workloads [9] and device-aware structure–hardware modelling for neural-network energy estimation [13].</w:t>
      </w:r>
      <w:r w:rsidRPr="003D6F2A">
        <w:t xml:space="preserve"> Accordingly, this study does not base its novelty on being the first cross-model predictor. </w:t>
      </w:r>
      <w:r w:rsidRPr="00E06632">
        <w:rPr>
          <w:highlight w:val="cyan"/>
        </w:rPr>
        <w:t>Instead, novelty arises from jointly addressing independent MLP and CNN benchmark families with different measurement provenance, a shared-plus-masked feature representation, explicit measurement-scale sensitivity analysis, grouped and leave-domain-out evaluation, and an applicability procedure (CAL-GATE) that distinguishes calibrated prediction from unsupported extrapolation.</w:t>
      </w:r>
    </w:p>
    <w:p w14:paraId="390ACC33" w14:textId="77777777" w:rsidR="00CD299B" w:rsidRPr="003D6F2A" w:rsidRDefault="008F030F" w:rsidP="00CD299B">
      <w:pPr>
        <w:pStyle w:val="BodyText"/>
        <w:ind w:firstLine="259"/>
        <w:jc w:val="both"/>
      </w:pPr>
      <w:r w:rsidRPr="003D6F2A">
        <w:t xml:space="preserve">The resulting empirical claim is intentionally bounded: CAL-ENERGY provides accurate within-family estimates for the two benchmark families, whereas the available data do not support reliable zero-shot calibration across unseen architecture families or GPUs. </w:t>
      </w:r>
      <w:r w:rsidRPr="002D37CE">
        <w:rPr>
          <w:highlight w:val="cyan"/>
        </w:rPr>
        <w:t>Rather than treating these negative transfer results as incidental, the study diagnoses the specific sources of failure—missing workload descriptors, training-budget mismatch, and absence of hardware variation—and uses them to define the conditions required for more transferable energy predictors</w:t>
      </w:r>
      <w:r w:rsidRPr="003D6F2A">
        <w:t>.</w:t>
      </w:r>
    </w:p>
    <w:p w14:paraId="6FD54EFF" w14:textId="5CE0D9A7" w:rsidR="00003A2E" w:rsidRPr="003D6F2A" w:rsidRDefault="008F030F" w:rsidP="00CD299B">
      <w:pPr>
        <w:pStyle w:val="BodyText"/>
        <w:ind w:firstLine="259"/>
        <w:jc w:val="both"/>
      </w:pPr>
      <w:r w:rsidRPr="003D6F2A">
        <w:br/>
        <w:t>Accordingly, this study makes five contributions:</w:t>
      </w:r>
    </w:p>
    <w:p w14:paraId="65447DD5" w14:textId="302F4C50" w:rsidR="00003A2E" w:rsidRPr="003D6F2A" w:rsidRDefault="008F030F">
      <w:pPr>
        <w:numPr>
          <w:ilvl w:val="0"/>
          <w:numId w:val="12"/>
        </w:numPr>
        <w:ind w:firstLine="259"/>
        <w:jc w:val="both"/>
      </w:pPr>
      <w:r w:rsidRPr="003D6F2A">
        <w:t>A pre-execution total-training-energy formulation that combines a family-agnostic feature core with masked family-specific and workload descriptors, allowing MLP and CNN data to be represented without imposing a shared layer ontology.</w:t>
      </w:r>
    </w:p>
    <w:p w14:paraId="0F9C47B2" w14:textId="20BE9228" w:rsidR="00003A2E" w:rsidRPr="00451E79" w:rsidRDefault="008F030F">
      <w:pPr>
        <w:numPr>
          <w:ilvl w:val="0"/>
          <w:numId w:val="12"/>
        </w:numPr>
        <w:ind w:firstLine="259"/>
        <w:jc w:val="both"/>
        <w:rPr>
          <w:highlight w:val="cyan"/>
        </w:rPr>
      </w:pPr>
      <w:r w:rsidRPr="00451E79">
        <w:rPr>
          <w:highlight w:val="cyan"/>
        </w:rPr>
        <w:t>A calibration-aware treatment of heterogeneous measurement provenance, including a controlled measurement-scale stress test and a direct-versus-power–duration output analysis that separates statistical fit from absolute energy calibration.</w:t>
      </w:r>
    </w:p>
    <w:p w14:paraId="7977400B" w14:textId="769FD6B0" w:rsidR="00003A2E" w:rsidRPr="003D6F2A" w:rsidRDefault="008F030F">
      <w:pPr>
        <w:numPr>
          <w:ilvl w:val="0"/>
          <w:numId w:val="12"/>
        </w:numPr>
        <w:ind w:firstLine="259"/>
        <w:jc w:val="both"/>
      </w:pPr>
      <w:r w:rsidRPr="003D6F2A">
        <w:t xml:space="preserve">A reproducible evaluation protocol </w:t>
      </w:r>
      <w:r w:rsidRPr="00451E79">
        <w:rPr>
          <w:highlight w:val="cyan"/>
        </w:rPr>
        <w:t>that couples grouped interpolation with leave-one-dataset-out, leave-one-family-out, and held-out-GPU tests</w:t>
      </w:r>
      <w:r w:rsidRPr="003D6F2A">
        <w:t>, thereby distinguishing within-domain prediction from architecture and hardware extrapolation.</w:t>
      </w:r>
    </w:p>
    <w:p w14:paraId="6EE0D1AA" w14:textId="44132036" w:rsidR="00003A2E" w:rsidRPr="00451E79" w:rsidRDefault="008F030F">
      <w:pPr>
        <w:numPr>
          <w:ilvl w:val="0"/>
          <w:numId w:val="12"/>
        </w:numPr>
        <w:ind w:firstLine="259"/>
        <w:jc w:val="both"/>
        <w:rPr>
          <w:highlight w:val="cyan"/>
        </w:rPr>
      </w:pPr>
      <w:r w:rsidRPr="00451E79">
        <w:rPr>
          <w:highlight w:val="cyan"/>
        </w:rPr>
        <w:t>CAL-GATE, an applicability procedure that quantifies empirical support for a candidate request and permits pilot-based multiplicative recalibration when domain shift is detected.</w:t>
      </w:r>
    </w:p>
    <w:p w14:paraId="41D867B6" w14:textId="34EFD211" w:rsidR="00003A2E" w:rsidRPr="00451E79" w:rsidRDefault="008F030F">
      <w:pPr>
        <w:numPr>
          <w:ilvl w:val="0"/>
          <w:numId w:val="12"/>
        </w:numPr>
        <w:ind w:firstLine="259"/>
        <w:jc w:val="both"/>
        <w:rPr>
          <w:highlight w:val="green"/>
        </w:rPr>
      </w:pPr>
      <w:r w:rsidRPr="00451E79">
        <w:rPr>
          <w:highlight w:val="green"/>
        </w:rPr>
        <w:t>An empirical characterization of failure modes showing that workload volume, training-budget coverage, and hardware variation are prerequisites for transferable a priori energy prediction, together with computational-complexity analysis and reproducibility guidance.</w:t>
      </w:r>
    </w:p>
    <w:p w14:paraId="260F7BD3" w14:textId="77777777" w:rsidR="00003A2E" w:rsidRPr="003D6F2A" w:rsidRDefault="008F030F">
      <w:pPr>
        <w:pStyle w:val="Heading1"/>
        <w:spacing w:before="160" w:after="80"/>
        <w:rPr>
          <w:color w:val="auto"/>
        </w:rPr>
      </w:pPr>
      <w:bookmarkStart w:id="4" w:name="related-work-and-research-gap"/>
      <w:bookmarkEnd w:id="3"/>
      <w:r w:rsidRPr="003D6F2A">
        <w:rPr>
          <w:color w:val="auto"/>
        </w:rPr>
        <w:t>2. Related Work and Research Gap</w:t>
      </w:r>
    </w:p>
    <w:p w14:paraId="3B0E04CD" w14:textId="77777777" w:rsidR="00003A2E" w:rsidRPr="003D6F2A" w:rsidRDefault="008F030F">
      <w:pPr>
        <w:pStyle w:val="Heading2"/>
        <w:spacing w:before="160" w:after="80"/>
        <w:rPr>
          <w:color w:val="auto"/>
        </w:rPr>
      </w:pPr>
      <w:bookmarkStart w:id="5" w:name="energy-measurement-and-optimization"/>
      <w:r w:rsidRPr="003D6F2A">
        <w:rPr>
          <w:color w:val="auto"/>
        </w:rPr>
        <w:t>2.1 Energy measurement and optimization</w:t>
      </w:r>
    </w:p>
    <w:p w14:paraId="23DAFA53" w14:textId="1F84BE7E" w:rsidR="00003A2E" w:rsidRPr="003D6F2A" w:rsidRDefault="008F030F">
      <w:pPr>
        <w:ind w:firstLine="259"/>
        <w:jc w:val="both"/>
      </w:pPr>
      <w:r w:rsidRPr="003D6F2A">
        <w:t xml:space="preserve">Reliable energy prediction first depends on understanding how the target is measured. Machine-learning energy studies use both external power instrumentation and software estimators based on GPU telemetry, CPU counters, and runtime models. Carbontracker integrates software-based energy and carbon accounting into training workflows [10], whereas Zeus combines measurement with adaptive control of recurring DNN jobs [11]. Fischer et al. report that dynamic software estimators can systematically deviate from external ground truth, with the magnitude of underestimation depending on workload, hardware, batch size, and operating conditions [5]. </w:t>
      </w:r>
      <w:r w:rsidRPr="006F7072">
        <w:rPr>
          <w:highlight w:val="cyan"/>
        </w:rPr>
        <w:t>Consequently, energy labels collected with different instruments cannot be assumed to be directly interchangeable in a pooled predictive model [5].</w:t>
      </w:r>
    </w:p>
    <w:p w14:paraId="22C2116E" w14:textId="55FF42CA" w:rsidR="00003A2E" w:rsidRPr="003D6F2A" w:rsidRDefault="008F030F">
      <w:pPr>
        <w:pStyle w:val="BodyText"/>
        <w:ind w:firstLine="259"/>
        <w:jc w:val="both"/>
      </w:pPr>
      <w:r w:rsidRPr="003D6F2A">
        <w:lastRenderedPageBreak/>
        <w:t xml:space="preserve">Within this measurement context, optimisation-oriented systems should be distinguished from stand-alone a priori prediction. </w:t>
      </w:r>
      <w:r w:rsidRPr="006F7072">
        <w:rPr>
          <w:highlight w:val="green"/>
        </w:rPr>
        <w:t>EC-NAS and Gratia et al. use energy estimates to search for low-energy architectures [6,7];</w:t>
      </w:r>
      <w:r w:rsidRPr="003D6F2A">
        <w:t xml:space="preserve"> Zeus adapts recurring jobs using measurements obtained during execution [11]; and He et al. combine offline prediction with online correction for GPU/workload configuration selection [8]. </w:t>
      </w:r>
      <w:r w:rsidRPr="006F7072">
        <w:rPr>
          <w:highlight w:val="cyan"/>
        </w:rPr>
        <w:t>CAL-ENERGY addresses the preceding estimation stage: it produces a pre-execution estimate of total training energy together with an applicability status that can subsequently inform optimisation, scheduling, or budgeting</w:t>
      </w:r>
      <w:r w:rsidRPr="003D6F2A">
        <w:t>.</w:t>
      </w:r>
    </w:p>
    <w:p w14:paraId="0A23632F" w14:textId="77777777" w:rsidR="00003A2E" w:rsidRPr="003D6F2A" w:rsidRDefault="008F030F">
      <w:pPr>
        <w:pStyle w:val="Heading2"/>
        <w:spacing w:before="160" w:after="80"/>
        <w:rPr>
          <w:color w:val="auto"/>
        </w:rPr>
      </w:pPr>
      <w:bookmarkStart w:id="6" w:name="X8e0e18fa6081bf4d469c3d7e94bbc4916529565"/>
      <w:bookmarkEnd w:id="5"/>
      <w:r w:rsidRPr="003D6F2A">
        <w:rPr>
          <w:color w:val="auto"/>
        </w:rPr>
        <w:t>2.2 A priori energy prediction and recent 2025–2026 work</w:t>
      </w:r>
    </w:p>
    <w:p w14:paraId="0AA0BAB9" w14:textId="755850B4" w:rsidR="00003A2E" w:rsidRPr="003D6F2A" w:rsidRDefault="008F030F">
      <w:pPr>
        <w:ind w:firstLine="259"/>
        <w:jc w:val="both"/>
      </w:pPr>
      <w:r w:rsidRPr="003D6F2A">
        <w:t>Prior a priori methods differ in both prediction target and representation. NeuralPower models layer-level power and latency and recomposes inference energy, providing an early example of component-wise energy estimation [12]. EC-NAS trains a four-layer MLP surrogate for CNN training energy within the NAS-Bench-101 search space [6]. SDEnergy combines graph-based network encoding with device features and reports 5.35% MAPE for inference-energy prediction [13]. The latter provides useful evidence for joint structure–device modelling, but its inference target is not directly equivalent to total training energy.</w:t>
      </w:r>
    </w:p>
    <w:p w14:paraId="53280AF8" w14:textId="3C6BCCAD" w:rsidR="00003A2E" w:rsidRPr="003D6F2A" w:rsidRDefault="008F030F">
      <w:pPr>
        <w:pStyle w:val="BodyText"/>
        <w:ind w:firstLine="259"/>
        <w:jc w:val="both"/>
      </w:pPr>
      <w:r w:rsidRPr="003D6F2A">
        <w:t xml:space="preserve">Among recent studies, Liao et al. [9] provide the closest methodological comparison to CAL-ENERGY because they predict training-energy characteristics from metadata available before execution. Using 459 A800 training records, their symbolic-regression models incorporate variables such as image size, dataset size, parameter count, computational complexity, batch size, and CPU-thread count [9]. </w:t>
      </w:r>
      <w:r w:rsidRPr="00C051B8">
        <w:rPr>
          <w:highlight w:val="cyan"/>
        </w:rPr>
        <w:t>They report mean relative errors of 2.67% for valley energy</w:t>
      </w:r>
      <w:r w:rsidRPr="003D6F2A">
        <w:t xml:space="preserve">, 8.42% </w:t>
      </w:r>
      <w:r w:rsidRPr="00C051B8">
        <w:rPr>
          <w:highlight w:val="cyan"/>
        </w:rPr>
        <w:t>for valley duration</w:t>
      </w:r>
      <w:r w:rsidRPr="003D6F2A">
        <w:t>, 5</w:t>
      </w:r>
      <w:r w:rsidRPr="00C051B8">
        <w:rPr>
          <w:highlight w:val="cyan"/>
        </w:rPr>
        <w:t>.16% for peak power, and 3.64% for peak duration</w:t>
      </w:r>
      <w:r w:rsidRPr="003D6F2A">
        <w:t xml:space="preserve">, </w:t>
      </w:r>
      <w:r w:rsidRPr="00C051B8">
        <w:rPr>
          <w:highlight w:val="cyan"/>
        </w:rPr>
        <w:t>and they evaluate source-to-target transfer from ResNet50 to other ResNets, ViT, and BERT [9].</w:t>
      </w:r>
      <w:r w:rsidRPr="003D6F2A">
        <w:t xml:space="preserve"> CAL-ENERGY addresses a complementary setting by predicting total run energy across two independently collected public benchmark families, </w:t>
      </w:r>
      <w:r w:rsidRPr="00C051B8">
        <w:rPr>
          <w:highlight w:val="cyan"/>
        </w:rPr>
        <w:t>analysing measurement-provenance sensitivity</w:t>
      </w:r>
      <w:r w:rsidRPr="003D6F2A">
        <w:t>, and testing held-out hardware as well as architecture shift.</w:t>
      </w:r>
    </w:p>
    <w:p w14:paraId="3BEF8D58" w14:textId="364AC97C" w:rsidR="00003A2E" w:rsidRPr="003D6F2A" w:rsidRDefault="008F030F" w:rsidP="00455DFF">
      <w:pPr>
        <w:pStyle w:val="BodyText"/>
        <w:ind w:firstLine="259"/>
        <w:jc w:val="both"/>
        <w:rPr>
          <w:i/>
          <w:sz w:val="18"/>
        </w:rPr>
      </w:pPr>
      <w:r w:rsidRPr="003D6F2A">
        <w:t xml:space="preserve">Gratia et al. integrate energy/performance predictors within NSGA-II over generated CNN topologies [7], whereas He et al. use KNN-XGBoost prediction followed by lightweight online search to refine GPU configurations [8]. These studies further demonstrate the operational value of predictive surrogates, but their principal endpoint is optimisation rather than </w:t>
      </w:r>
      <w:r w:rsidRPr="00C051B8">
        <w:rPr>
          <w:highlight w:val="cyan"/>
        </w:rPr>
        <w:t>stand-alone, zero-telemetry estimation</w:t>
      </w:r>
      <w:r w:rsidRPr="003D6F2A">
        <w:t xml:space="preserve"> [7,8]. Table 1 therefore compares the methods by target, representation, hardware scope, and cross-domain evidence, while Fig. 2 summarises the same distinctions visually without imposing a common performance ranking.</w:t>
      </w:r>
    </w:p>
    <w:p w14:paraId="3C5B0C3C" w14:textId="77777777" w:rsidR="00455DFF" w:rsidRPr="003D6F2A" w:rsidRDefault="00455DFF" w:rsidP="00455DFF">
      <w:pPr>
        <w:pStyle w:val="BodyText"/>
        <w:ind w:firstLine="259"/>
        <w:jc w:val="both"/>
      </w:pPr>
    </w:p>
    <w:p w14:paraId="700E4E45" w14:textId="77777777" w:rsidR="00003A2E" w:rsidRPr="003D6F2A" w:rsidRDefault="008F030F">
      <w:pPr>
        <w:pStyle w:val="BodyText"/>
        <w:keepNext/>
        <w:spacing w:before="100" w:after="60"/>
      </w:pPr>
      <w:r w:rsidRPr="003D6F2A">
        <w:rPr>
          <w:i/>
          <w:sz w:val="18"/>
        </w:rPr>
        <w:t>Table 1. Methodological positioning against representative recent energy-prediction and optimization methods.</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182"/>
        <w:gridCol w:w="1379"/>
        <w:gridCol w:w="1970"/>
        <w:gridCol w:w="1773"/>
        <w:gridCol w:w="1477"/>
        <w:gridCol w:w="2069"/>
      </w:tblGrid>
      <w:tr w:rsidR="00003A2E" w:rsidRPr="003D6F2A" w14:paraId="2B9EFCE6" w14:textId="77777777">
        <w:trPr>
          <w:cantSplit/>
          <w:tblHeader/>
          <w:jc w:val="center"/>
        </w:trPr>
        <w:tc>
          <w:tcPr>
            <w:tcW w:w="1182" w:type="dxa"/>
            <w:tcMar>
              <w:top w:w="70" w:type="dxa"/>
              <w:left w:w="70" w:type="dxa"/>
              <w:bottom w:w="70" w:type="dxa"/>
              <w:right w:w="70" w:type="dxa"/>
            </w:tcMar>
            <w:vAlign w:val="center"/>
          </w:tcPr>
          <w:p w14:paraId="6FDD9D15" w14:textId="77777777" w:rsidR="00003A2E" w:rsidRPr="003D6F2A" w:rsidRDefault="008F030F">
            <w:pPr>
              <w:spacing w:after="0" w:line="240" w:lineRule="auto"/>
            </w:pPr>
            <w:r w:rsidRPr="003D6F2A">
              <w:rPr>
                <w:b/>
                <w:sz w:val="16"/>
              </w:rPr>
              <w:t>Study</w:t>
            </w:r>
          </w:p>
        </w:tc>
        <w:tc>
          <w:tcPr>
            <w:tcW w:w="1379" w:type="dxa"/>
            <w:tcMar>
              <w:top w:w="70" w:type="dxa"/>
              <w:left w:w="70" w:type="dxa"/>
              <w:bottom w:w="70" w:type="dxa"/>
              <w:right w:w="70" w:type="dxa"/>
            </w:tcMar>
            <w:vAlign w:val="center"/>
          </w:tcPr>
          <w:p w14:paraId="23E01DC0" w14:textId="77777777" w:rsidR="00003A2E" w:rsidRPr="003D6F2A" w:rsidRDefault="008F030F">
            <w:pPr>
              <w:spacing w:after="0" w:line="240" w:lineRule="auto"/>
            </w:pPr>
            <w:r w:rsidRPr="003D6F2A">
              <w:rPr>
                <w:b/>
                <w:sz w:val="16"/>
              </w:rPr>
              <w:t>Primary target</w:t>
            </w:r>
          </w:p>
        </w:tc>
        <w:tc>
          <w:tcPr>
            <w:tcW w:w="1970" w:type="dxa"/>
            <w:tcMar>
              <w:top w:w="70" w:type="dxa"/>
              <w:left w:w="70" w:type="dxa"/>
              <w:bottom w:w="70" w:type="dxa"/>
              <w:right w:w="70" w:type="dxa"/>
            </w:tcMar>
            <w:vAlign w:val="center"/>
          </w:tcPr>
          <w:p w14:paraId="67E2109C" w14:textId="77777777" w:rsidR="00003A2E" w:rsidRPr="003D6F2A" w:rsidRDefault="008F030F">
            <w:pPr>
              <w:spacing w:after="0" w:line="240" w:lineRule="auto"/>
            </w:pPr>
            <w:r w:rsidRPr="003D6F2A">
              <w:rPr>
                <w:b/>
                <w:sz w:val="16"/>
              </w:rPr>
              <w:t>Representation / method</w:t>
            </w:r>
          </w:p>
        </w:tc>
        <w:tc>
          <w:tcPr>
            <w:tcW w:w="1773" w:type="dxa"/>
            <w:tcMar>
              <w:top w:w="70" w:type="dxa"/>
              <w:left w:w="70" w:type="dxa"/>
              <w:bottom w:w="70" w:type="dxa"/>
              <w:right w:w="70" w:type="dxa"/>
            </w:tcMar>
            <w:vAlign w:val="center"/>
          </w:tcPr>
          <w:p w14:paraId="66A423E9" w14:textId="77777777" w:rsidR="00003A2E" w:rsidRPr="003D6F2A" w:rsidRDefault="008F030F">
            <w:pPr>
              <w:spacing w:after="0" w:line="240" w:lineRule="auto"/>
            </w:pPr>
            <w:r w:rsidRPr="003D6F2A">
              <w:rPr>
                <w:b/>
                <w:sz w:val="16"/>
              </w:rPr>
              <w:t>Hardware scope</w:t>
            </w:r>
          </w:p>
        </w:tc>
        <w:tc>
          <w:tcPr>
            <w:tcW w:w="1477" w:type="dxa"/>
            <w:tcMar>
              <w:top w:w="70" w:type="dxa"/>
              <w:left w:w="70" w:type="dxa"/>
              <w:bottom w:w="70" w:type="dxa"/>
              <w:right w:w="70" w:type="dxa"/>
            </w:tcMar>
            <w:vAlign w:val="center"/>
          </w:tcPr>
          <w:p w14:paraId="4202896C" w14:textId="77777777" w:rsidR="00003A2E" w:rsidRPr="003D6F2A" w:rsidRDefault="008F030F">
            <w:pPr>
              <w:spacing w:after="0" w:line="240" w:lineRule="auto"/>
            </w:pPr>
            <w:r w:rsidRPr="003D6F2A">
              <w:rPr>
                <w:b/>
                <w:sz w:val="16"/>
              </w:rPr>
              <w:t>Cross-domain evidence</w:t>
            </w:r>
          </w:p>
        </w:tc>
        <w:tc>
          <w:tcPr>
            <w:tcW w:w="2069" w:type="dxa"/>
            <w:tcMar>
              <w:top w:w="70" w:type="dxa"/>
              <w:left w:w="70" w:type="dxa"/>
              <w:bottom w:w="70" w:type="dxa"/>
              <w:right w:w="70" w:type="dxa"/>
            </w:tcMar>
            <w:vAlign w:val="center"/>
          </w:tcPr>
          <w:p w14:paraId="765EBDA9" w14:textId="77777777" w:rsidR="00003A2E" w:rsidRPr="003D6F2A" w:rsidRDefault="008F030F">
            <w:pPr>
              <w:spacing w:after="0" w:line="240" w:lineRule="auto"/>
            </w:pPr>
            <w:r w:rsidRPr="003D6F2A">
              <w:rPr>
                <w:b/>
                <w:sz w:val="16"/>
              </w:rPr>
              <w:t>Difference from CAL-ENERGY</w:t>
            </w:r>
          </w:p>
        </w:tc>
      </w:tr>
      <w:tr w:rsidR="00003A2E" w:rsidRPr="003D6F2A" w14:paraId="72C190CD" w14:textId="77777777">
        <w:trPr>
          <w:cantSplit/>
          <w:jc w:val="center"/>
        </w:trPr>
        <w:tc>
          <w:tcPr>
            <w:tcW w:w="1182" w:type="dxa"/>
            <w:tcMar>
              <w:top w:w="70" w:type="dxa"/>
              <w:left w:w="70" w:type="dxa"/>
              <w:bottom w:w="70" w:type="dxa"/>
              <w:right w:w="70" w:type="dxa"/>
            </w:tcMar>
            <w:vAlign w:val="center"/>
          </w:tcPr>
          <w:p w14:paraId="0D58CAD1" w14:textId="77777777" w:rsidR="00003A2E" w:rsidRPr="003D6F2A" w:rsidRDefault="008F030F">
            <w:pPr>
              <w:spacing w:after="0" w:line="240" w:lineRule="auto"/>
            </w:pPr>
            <w:r w:rsidRPr="003D6F2A">
              <w:rPr>
                <w:sz w:val="16"/>
              </w:rPr>
              <w:t>EC-NAS [6]</w:t>
            </w:r>
          </w:p>
        </w:tc>
        <w:tc>
          <w:tcPr>
            <w:tcW w:w="1379" w:type="dxa"/>
            <w:tcMar>
              <w:top w:w="70" w:type="dxa"/>
              <w:left w:w="70" w:type="dxa"/>
              <w:bottom w:w="70" w:type="dxa"/>
              <w:right w:w="70" w:type="dxa"/>
            </w:tcMar>
            <w:vAlign w:val="center"/>
          </w:tcPr>
          <w:p w14:paraId="22695D70" w14:textId="77777777" w:rsidR="00003A2E" w:rsidRPr="003D6F2A" w:rsidRDefault="008F030F">
            <w:pPr>
              <w:spacing w:after="0" w:line="240" w:lineRule="auto"/>
            </w:pPr>
            <w:r w:rsidRPr="003D6F2A">
              <w:rPr>
                <w:sz w:val="16"/>
              </w:rPr>
              <w:t>Training energy + NAS</w:t>
            </w:r>
          </w:p>
        </w:tc>
        <w:tc>
          <w:tcPr>
            <w:tcW w:w="1970" w:type="dxa"/>
            <w:tcMar>
              <w:top w:w="70" w:type="dxa"/>
              <w:left w:w="70" w:type="dxa"/>
              <w:bottom w:w="70" w:type="dxa"/>
              <w:right w:w="70" w:type="dxa"/>
            </w:tcMar>
            <w:vAlign w:val="center"/>
          </w:tcPr>
          <w:p w14:paraId="3F325D4A" w14:textId="77777777" w:rsidR="00003A2E" w:rsidRPr="003D6F2A" w:rsidRDefault="008F030F">
            <w:pPr>
              <w:spacing w:after="0" w:line="240" w:lineRule="auto"/>
            </w:pPr>
            <w:r w:rsidRPr="003D6F2A">
              <w:rPr>
                <w:sz w:val="16"/>
              </w:rPr>
              <w:t>Four-layer MLP surrogate; CNN DAG features</w:t>
            </w:r>
          </w:p>
        </w:tc>
        <w:tc>
          <w:tcPr>
            <w:tcW w:w="1773" w:type="dxa"/>
            <w:tcMar>
              <w:top w:w="70" w:type="dxa"/>
              <w:left w:w="70" w:type="dxa"/>
              <w:bottom w:w="70" w:type="dxa"/>
              <w:right w:w="70" w:type="dxa"/>
            </w:tcMar>
            <w:vAlign w:val="center"/>
          </w:tcPr>
          <w:p w14:paraId="0A31C44A" w14:textId="77777777" w:rsidR="00003A2E" w:rsidRPr="003D6F2A" w:rsidRDefault="008F030F">
            <w:pPr>
              <w:spacing w:after="0" w:line="240" w:lineRule="auto"/>
            </w:pPr>
            <w:r w:rsidRPr="003D6F2A">
              <w:rPr>
                <w:sz w:val="16"/>
              </w:rPr>
              <w:t>Main surrogate on RTX 6000; multi-GPU benchmark also provided</w:t>
            </w:r>
          </w:p>
        </w:tc>
        <w:tc>
          <w:tcPr>
            <w:tcW w:w="1477" w:type="dxa"/>
            <w:tcMar>
              <w:top w:w="70" w:type="dxa"/>
              <w:left w:w="70" w:type="dxa"/>
              <w:bottom w:w="70" w:type="dxa"/>
              <w:right w:w="70" w:type="dxa"/>
            </w:tcMar>
            <w:vAlign w:val="center"/>
          </w:tcPr>
          <w:p w14:paraId="32440DA5" w14:textId="77777777" w:rsidR="00003A2E" w:rsidRPr="003D6F2A" w:rsidRDefault="008F030F">
            <w:pPr>
              <w:spacing w:after="0" w:line="240" w:lineRule="auto"/>
            </w:pPr>
            <w:r w:rsidRPr="003D6F2A">
              <w:rPr>
                <w:sz w:val="16"/>
              </w:rPr>
              <w:t>Within NAS search space</w:t>
            </w:r>
          </w:p>
        </w:tc>
        <w:tc>
          <w:tcPr>
            <w:tcW w:w="2069" w:type="dxa"/>
            <w:tcMar>
              <w:top w:w="70" w:type="dxa"/>
              <w:left w:w="70" w:type="dxa"/>
              <w:bottom w:w="70" w:type="dxa"/>
              <w:right w:w="70" w:type="dxa"/>
            </w:tcMar>
            <w:vAlign w:val="center"/>
          </w:tcPr>
          <w:p w14:paraId="77CC46B5" w14:textId="77777777" w:rsidR="00003A2E" w:rsidRPr="003D6F2A" w:rsidRDefault="008F030F">
            <w:pPr>
              <w:spacing w:after="0" w:line="240" w:lineRule="auto"/>
            </w:pPr>
            <w:r w:rsidRPr="003D6F2A">
              <w:rPr>
                <w:sz w:val="16"/>
              </w:rPr>
              <w:t>No measurement-scale analysis; no leave-family-out predictor test</w:t>
            </w:r>
          </w:p>
        </w:tc>
      </w:tr>
      <w:tr w:rsidR="00003A2E" w:rsidRPr="003D6F2A" w14:paraId="1DEE1BA5" w14:textId="77777777">
        <w:trPr>
          <w:cantSplit/>
          <w:jc w:val="center"/>
        </w:trPr>
        <w:tc>
          <w:tcPr>
            <w:tcW w:w="1182" w:type="dxa"/>
            <w:tcMar>
              <w:top w:w="70" w:type="dxa"/>
              <w:left w:w="70" w:type="dxa"/>
              <w:bottom w:w="70" w:type="dxa"/>
              <w:right w:w="70" w:type="dxa"/>
            </w:tcMar>
            <w:vAlign w:val="center"/>
          </w:tcPr>
          <w:p w14:paraId="06DCFCD7" w14:textId="77777777" w:rsidR="00003A2E" w:rsidRPr="003D6F2A" w:rsidRDefault="008F030F">
            <w:pPr>
              <w:spacing w:after="0" w:line="240" w:lineRule="auto"/>
            </w:pPr>
            <w:r w:rsidRPr="003D6F2A">
              <w:rPr>
                <w:sz w:val="16"/>
              </w:rPr>
              <w:t>Gratia et al. [7]</w:t>
            </w:r>
          </w:p>
        </w:tc>
        <w:tc>
          <w:tcPr>
            <w:tcW w:w="1379" w:type="dxa"/>
            <w:tcMar>
              <w:top w:w="70" w:type="dxa"/>
              <w:left w:w="70" w:type="dxa"/>
              <w:bottom w:w="70" w:type="dxa"/>
              <w:right w:w="70" w:type="dxa"/>
            </w:tcMar>
            <w:vAlign w:val="center"/>
          </w:tcPr>
          <w:p w14:paraId="66DC7B07" w14:textId="77777777" w:rsidR="00003A2E" w:rsidRPr="003D6F2A" w:rsidRDefault="008F030F">
            <w:pPr>
              <w:spacing w:after="0" w:line="240" w:lineRule="auto"/>
            </w:pPr>
            <w:r w:rsidRPr="003D6F2A">
              <w:rPr>
                <w:sz w:val="16"/>
              </w:rPr>
              <w:t>Energy-aware NAS</w:t>
            </w:r>
          </w:p>
        </w:tc>
        <w:tc>
          <w:tcPr>
            <w:tcW w:w="1970" w:type="dxa"/>
            <w:tcMar>
              <w:top w:w="70" w:type="dxa"/>
              <w:left w:w="70" w:type="dxa"/>
              <w:bottom w:w="70" w:type="dxa"/>
              <w:right w:w="70" w:type="dxa"/>
            </w:tcMar>
            <w:vAlign w:val="center"/>
          </w:tcPr>
          <w:p w14:paraId="33689ADA" w14:textId="77777777" w:rsidR="00003A2E" w:rsidRPr="003D6F2A" w:rsidRDefault="008F030F">
            <w:pPr>
              <w:spacing w:after="0" w:line="240" w:lineRule="auto"/>
            </w:pPr>
            <w:r w:rsidRPr="003D6F2A">
              <w:rPr>
                <w:sz w:val="16"/>
              </w:rPr>
              <w:t>Predictors + NSGA-II</w:t>
            </w:r>
          </w:p>
        </w:tc>
        <w:tc>
          <w:tcPr>
            <w:tcW w:w="1773" w:type="dxa"/>
            <w:tcMar>
              <w:top w:w="70" w:type="dxa"/>
              <w:left w:w="70" w:type="dxa"/>
              <w:bottom w:w="70" w:type="dxa"/>
              <w:right w:w="70" w:type="dxa"/>
            </w:tcMar>
            <w:vAlign w:val="center"/>
          </w:tcPr>
          <w:p w14:paraId="4F0978D5" w14:textId="77777777" w:rsidR="00003A2E" w:rsidRPr="003D6F2A" w:rsidRDefault="008F030F">
            <w:pPr>
              <w:spacing w:after="0" w:line="240" w:lineRule="auto"/>
            </w:pPr>
            <w:r w:rsidRPr="003D6F2A">
              <w:rPr>
                <w:sz w:val="16"/>
              </w:rPr>
              <w:t>CNN-generation setting</w:t>
            </w:r>
          </w:p>
        </w:tc>
        <w:tc>
          <w:tcPr>
            <w:tcW w:w="1477" w:type="dxa"/>
            <w:tcMar>
              <w:top w:w="70" w:type="dxa"/>
              <w:left w:w="70" w:type="dxa"/>
              <w:bottom w:w="70" w:type="dxa"/>
              <w:right w:w="70" w:type="dxa"/>
            </w:tcMar>
            <w:vAlign w:val="center"/>
          </w:tcPr>
          <w:p w14:paraId="396D62D7" w14:textId="77777777" w:rsidR="00003A2E" w:rsidRPr="003D6F2A" w:rsidRDefault="008F030F">
            <w:pPr>
              <w:spacing w:after="0" w:line="240" w:lineRule="auto"/>
            </w:pPr>
            <w:r w:rsidRPr="003D6F2A">
              <w:rPr>
                <w:sz w:val="16"/>
              </w:rPr>
              <w:t>Generated CNN domain</w:t>
            </w:r>
          </w:p>
        </w:tc>
        <w:tc>
          <w:tcPr>
            <w:tcW w:w="2069" w:type="dxa"/>
            <w:tcMar>
              <w:top w:w="70" w:type="dxa"/>
              <w:left w:w="70" w:type="dxa"/>
              <w:bottom w:w="70" w:type="dxa"/>
              <w:right w:w="70" w:type="dxa"/>
            </w:tcMar>
            <w:vAlign w:val="center"/>
          </w:tcPr>
          <w:p w14:paraId="34759551" w14:textId="77777777" w:rsidR="00003A2E" w:rsidRPr="003D6F2A" w:rsidRDefault="008F030F">
            <w:pPr>
              <w:spacing w:after="0" w:line="240" w:lineRule="auto"/>
            </w:pPr>
            <w:r w:rsidRPr="003D6F2A">
              <w:rPr>
                <w:sz w:val="16"/>
              </w:rPr>
              <w:t>Optimization is primary objective</w:t>
            </w:r>
          </w:p>
        </w:tc>
      </w:tr>
      <w:tr w:rsidR="00003A2E" w:rsidRPr="003D6F2A" w14:paraId="0FF750E2" w14:textId="77777777">
        <w:trPr>
          <w:cantSplit/>
          <w:jc w:val="center"/>
        </w:trPr>
        <w:tc>
          <w:tcPr>
            <w:tcW w:w="1182" w:type="dxa"/>
            <w:tcMar>
              <w:top w:w="70" w:type="dxa"/>
              <w:left w:w="70" w:type="dxa"/>
              <w:bottom w:w="70" w:type="dxa"/>
              <w:right w:w="70" w:type="dxa"/>
            </w:tcMar>
            <w:vAlign w:val="center"/>
          </w:tcPr>
          <w:p w14:paraId="52A74CE7" w14:textId="77777777" w:rsidR="00003A2E" w:rsidRPr="003D6F2A" w:rsidRDefault="008F030F">
            <w:pPr>
              <w:spacing w:after="0" w:line="240" w:lineRule="auto"/>
            </w:pPr>
            <w:r w:rsidRPr="003D6F2A">
              <w:rPr>
                <w:sz w:val="16"/>
              </w:rPr>
              <w:t>SDEnergy [13]</w:t>
            </w:r>
          </w:p>
        </w:tc>
        <w:tc>
          <w:tcPr>
            <w:tcW w:w="1379" w:type="dxa"/>
            <w:tcMar>
              <w:top w:w="70" w:type="dxa"/>
              <w:left w:w="70" w:type="dxa"/>
              <w:bottom w:w="70" w:type="dxa"/>
              <w:right w:w="70" w:type="dxa"/>
            </w:tcMar>
            <w:vAlign w:val="center"/>
          </w:tcPr>
          <w:p w14:paraId="773E0A17" w14:textId="77777777" w:rsidR="00003A2E" w:rsidRPr="003D6F2A" w:rsidRDefault="008F030F">
            <w:pPr>
              <w:spacing w:after="0" w:line="240" w:lineRule="auto"/>
            </w:pPr>
            <w:r w:rsidRPr="003D6F2A">
              <w:rPr>
                <w:sz w:val="16"/>
              </w:rPr>
              <w:t>Inference energy</w:t>
            </w:r>
          </w:p>
        </w:tc>
        <w:tc>
          <w:tcPr>
            <w:tcW w:w="1970" w:type="dxa"/>
            <w:tcMar>
              <w:top w:w="70" w:type="dxa"/>
              <w:left w:w="70" w:type="dxa"/>
              <w:bottom w:w="70" w:type="dxa"/>
              <w:right w:w="70" w:type="dxa"/>
            </w:tcMar>
            <w:vAlign w:val="center"/>
          </w:tcPr>
          <w:p w14:paraId="2215FBD5" w14:textId="77777777" w:rsidR="00003A2E" w:rsidRPr="003D6F2A" w:rsidRDefault="008F030F">
            <w:pPr>
              <w:spacing w:after="0" w:line="240" w:lineRule="auto"/>
            </w:pPr>
            <w:r w:rsidRPr="003D6F2A">
              <w:rPr>
                <w:sz w:val="16"/>
              </w:rPr>
              <w:t>GNN structure encoder + device encoder</w:t>
            </w:r>
          </w:p>
        </w:tc>
        <w:tc>
          <w:tcPr>
            <w:tcW w:w="1773" w:type="dxa"/>
            <w:tcMar>
              <w:top w:w="70" w:type="dxa"/>
              <w:left w:w="70" w:type="dxa"/>
              <w:bottom w:w="70" w:type="dxa"/>
              <w:right w:w="70" w:type="dxa"/>
            </w:tcMar>
            <w:vAlign w:val="center"/>
          </w:tcPr>
          <w:p w14:paraId="406AEE60" w14:textId="77777777" w:rsidR="00003A2E" w:rsidRPr="003D6F2A" w:rsidRDefault="008F030F">
            <w:pPr>
              <w:spacing w:after="0" w:line="240" w:lineRule="auto"/>
            </w:pPr>
            <w:r w:rsidRPr="003D6F2A">
              <w:rPr>
                <w:sz w:val="16"/>
              </w:rPr>
              <w:t>Multiple device scenarios</w:t>
            </w:r>
          </w:p>
        </w:tc>
        <w:tc>
          <w:tcPr>
            <w:tcW w:w="1477" w:type="dxa"/>
            <w:tcMar>
              <w:top w:w="70" w:type="dxa"/>
              <w:left w:w="70" w:type="dxa"/>
              <w:bottom w:w="70" w:type="dxa"/>
              <w:right w:w="70" w:type="dxa"/>
            </w:tcMar>
            <w:vAlign w:val="center"/>
          </w:tcPr>
          <w:p w14:paraId="6147A41A" w14:textId="77777777" w:rsidR="00003A2E" w:rsidRPr="003D6F2A" w:rsidRDefault="008F030F">
            <w:pPr>
              <w:spacing w:after="0" w:line="240" w:lineRule="auto"/>
            </w:pPr>
            <w:r w:rsidRPr="003D6F2A">
              <w:rPr>
                <w:sz w:val="16"/>
              </w:rPr>
              <w:t>Device-aware evaluation</w:t>
            </w:r>
          </w:p>
        </w:tc>
        <w:tc>
          <w:tcPr>
            <w:tcW w:w="2069" w:type="dxa"/>
            <w:tcMar>
              <w:top w:w="70" w:type="dxa"/>
              <w:left w:w="70" w:type="dxa"/>
              <w:bottom w:w="70" w:type="dxa"/>
              <w:right w:w="70" w:type="dxa"/>
            </w:tcMar>
            <w:vAlign w:val="center"/>
          </w:tcPr>
          <w:p w14:paraId="146F6160" w14:textId="77777777" w:rsidR="00003A2E" w:rsidRPr="003D6F2A" w:rsidRDefault="008F030F">
            <w:pPr>
              <w:spacing w:after="0" w:line="240" w:lineRule="auto"/>
            </w:pPr>
            <w:r w:rsidRPr="003D6F2A">
              <w:rPr>
                <w:sz w:val="16"/>
              </w:rPr>
              <w:t>Inference, not full training energy</w:t>
            </w:r>
          </w:p>
        </w:tc>
      </w:tr>
      <w:tr w:rsidR="00003A2E" w:rsidRPr="003D6F2A" w14:paraId="65ED7F53" w14:textId="77777777">
        <w:trPr>
          <w:cantSplit/>
          <w:jc w:val="center"/>
        </w:trPr>
        <w:tc>
          <w:tcPr>
            <w:tcW w:w="1182" w:type="dxa"/>
            <w:tcMar>
              <w:top w:w="70" w:type="dxa"/>
              <w:left w:w="70" w:type="dxa"/>
              <w:bottom w:w="70" w:type="dxa"/>
              <w:right w:w="70" w:type="dxa"/>
            </w:tcMar>
            <w:vAlign w:val="center"/>
          </w:tcPr>
          <w:p w14:paraId="1DE699A3" w14:textId="77777777" w:rsidR="00003A2E" w:rsidRPr="003D6F2A" w:rsidRDefault="008F030F">
            <w:pPr>
              <w:spacing w:after="0" w:line="240" w:lineRule="auto"/>
            </w:pPr>
            <w:r w:rsidRPr="003D6F2A">
              <w:rPr>
                <w:sz w:val="16"/>
              </w:rPr>
              <w:t>Liao et al. [9]</w:t>
            </w:r>
          </w:p>
        </w:tc>
        <w:tc>
          <w:tcPr>
            <w:tcW w:w="1379" w:type="dxa"/>
            <w:tcMar>
              <w:top w:w="70" w:type="dxa"/>
              <w:left w:w="70" w:type="dxa"/>
              <w:bottom w:w="70" w:type="dxa"/>
              <w:right w:w="70" w:type="dxa"/>
            </w:tcMar>
            <w:vAlign w:val="center"/>
          </w:tcPr>
          <w:p w14:paraId="32A0CA26" w14:textId="77777777" w:rsidR="00003A2E" w:rsidRPr="003D6F2A" w:rsidRDefault="008F030F">
            <w:pPr>
              <w:spacing w:after="0" w:line="240" w:lineRule="auto"/>
            </w:pPr>
            <w:r w:rsidRPr="003D6F2A">
              <w:rPr>
                <w:sz w:val="16"/>
              </w:rPr>
              <w:t>Training power-curve components</w:t>
            </w:r>
          </w:p>
        </w:tc>
        <w:tc>
          <w:tcPr>
            <w:tcW w:w="1970" w:type="dxa"/>
            <w:tcMar>
              <w:top w:w="70" w:type="dxa"/>
              <w:left w:w="70" w:type="dxa"/>
              <w:bottom w:w="70" w:type="dxa"/>
              <w:right w:w="70" w:type="dxa"/>
            </w:tcMar>
            <w:vAlign w:val="center"/>
          </w:tcPr>
          <w:p w14:paraId="5D77D5AA" w14:textId="77777777" w:rsidR="00003A2E" w:rsidRPr="003D6F2A" w:rsidRDefault="008F030F">
            <w:pPr>
              <w:spacing w:after="0" w:line="240" w:lineRule="auto"/>
            </w:pPr>
            <w:r w:rsidRPr="003D6F2A">
              <w:rPr>
                <w:sz w:val="16"/>
              </w:rPr>
              <w:t>Task metadata + symbolic regression</w:t>
            </w:r>
          </w:p>
        </w:tc>
        <w:tc>
          <w:tcPr>
            <w:tcW w:w="1773" w:type="dxa"/>
            <w:tcMar>
              <w:top w:w="70" w:type="dxa"/>
              <w:left w:w="70" w:type="dxa"/>
              <w:bottom w:w="70" w:type="dxa"/>
              <w:right w:w="70" w:type="dxa"/>
            </w:tcMar>
            <w:vAlign w:val="center"/>
          </w:tcPr>
          <w:p w14:paraId="594CCDFF" w14:textId="77777777" w:rsidR="00003A2E" w:rsidRPr="003D6F2A" w:rsidRDefault="008F030F">
            <w:pPr>
              <w:spacing w:after="0" w:line="240" w:lineRule="auto"/>
            </w:pPr>
            <w:r w:rsidRPr="003D6F2A">
              <w:rPr>
                <w:sz w:val="16"/>
              </w:rPr>
              <w:t>A800</w:t>
            </w:r>
          </w:p>
        </w:tc>
        <w:tc>
          <w:tcPr>
            <w:tcW w:w="1477" w:type="dxa"/>
            <w:tcMar>
              <w:top w:w="70" w:type="dxa"/>
              <w:left w:w="70" w:type="dxa"/>
              <w:bottom w:w="70" w:type="dxa"/>
              <w:right w:w="70" w:type="dxa"/>
            </w:tcMar>
            <w:vAlign w:val="center"/>
          </w:tcPr>
          <w:p w14:paraId="72879769" w14:textId="77777777" w:rsidR="00003A2E" w:rsidRPr="003D6F2A" w:rsidRDefault="008F030F">
            <w:pPr>
              <w:spacing w:after="0" w:line="240" w:lineRule="auto"/>
            </w:pPr>
            <w:r w:rsidRPr="003D6F2A">
              <w:rPr>
                <w:sz w:val="16"/>
              </w:rPr>
              <w:t>Cross-model source-to-target tests</w:t>
            </w:r>
          </w:p>
        </w:tc>
        <w:tc>
          <w:tcPr>
            <w:tcW w:w="2069" w:type="dxa"/>
            <w:tcMar>
              <w:top w:w="70" w:type="dxa"/>
              <w:left w:w="70" w:type="dxa"/>
              <w:bottom w:w="70" w:type="dxa"/>
              <w:right w:w="70" w:type="dxa"/>
            </w:tcMar>
            <w:vAlign w:val="center"/>
          </w:tcPr>
          <w:p w14:paraId="56C886F0" w14:textId="77777777" w:rsidR="00003A2E" w:rsidRPr="003D6F2A" w:rsidRDefault="008F030F">
            <w:pPr>
              <w:spacing w:after="0" w:line="240" w:lineRule="auto"/>
            </w:pPr>
            <w:r w:rsidRPr="003D6F2A">
              <w:rPr>
                <w:sz w:val="16"/>
              </w:rPr>
              <w:t>Single primary GPU platform; component targets</w:t>
            </w:r>
          </w:p>
        </w:tc>
      </w:tr>
      <w:tr w:rsidR="00003A2E" w:rsidRPr="003D6F2A" w14:paraId="3DA3DF90" w14:textId="77777777">
        <w:trPr>
          <w:cantSplit/>
          <w:jc w:val="center"/>
        </w:trPr>
        <w:tc>
          <w:tcPr>
            <w:tcW w:w="1182" w:type="dxa"/>
            <w:tcMar>
              <w:top w:w="70" w:type="dxa"/>
              <w:left w:w="70" w:type="dxa"/>
              <w:bottom w:w="70" w:type="dxa"/>
              <w:right w:w="70" w:type="dxa"/>
            </w:tcMar>
            <w:vAlign w:val="center"/>
          </w:tcPr>
          <w:p w14:paraId="633A80B2" w14:textId="77777777" w:rsidR="00003A2E" w:rsidRPr="003D6F2A" w:rsidRDefault="008F030F">
            <w:pPr>
              <w:spacing w:after="0" w:line="240" w:lineRule="auto"/>
            </w:pPr>
            <w:r w:rsidRPr="003D6F2A">
              <w:rPr>
                <w:sz w:val="16"/>
              </w:rPr>
              <w:t>He et al. [8]</w:t>
            </w:r>
          </w:p>
        </w:tc>
        <w:tc>
          <w:tcPr>
            <w:tcW w:w="1379" w:type="dxa"/>
            <w:tcMar>
              <w:top w:w="70" w:type="dxa"/>
              <w:left w:w="70" w:type="dxa"/>
              <w:bottom w:w="70" w:type="dxa"/>
              <w:right w:w="70" w:type="dxa"/>
            </w:tcMar>
            <w:vAlign w:val="center"/>
          </w:tcPr>
          <w:p w14:paraId="56681BEE" w14:textId="77777777" w:rsidR="00003A2E" w:rsidRPr="003D6F2A" w:rsidRDefault="008F030F">
            <w:pPr>
              <w:spacing w:after="0" w:line="240" w:lineRule="auto"/>
            </w:pPr>
            <w:r w:rsidRPr="003D6F2A">
              <w:rPr>
                <w:sz w:val="16"/>
              </w:rPr>
              <w:t>Training-energy optimization</w:t>
            </w:r>
          </w:p>
        </w:tc>
        <w:tc>
          <w:tcPr>
            <w:tcW w:w="1970" w:type="dxa"/>
            <w:tcMar>
              <w:top w:w="70" w:type="dxa"/>
              <w:left w:w="70" w:type="dxa"/>
              <w:bottom w:w="70" w:type="dxa"/>
              <w:right w:w="70" w:type="dxa"/>
            </w:tcMar>
            <w:vAlign w:val="center"/>
          </w:tcPr>
          <w:p w14:paraId="73046F8C" w14:textId="77777777" w:rsidR="00003A2E" w:rsidRPr="003D6F2A" w:rsidRDefault="008F030F">
            <w:pPr>
              <w:spacing w:after="0" w:line="240" w:lineRule="auto"/>
            </w:pPr>
            <w:r w:rsidRPr="003D6F2A">
              <w:rPr>
                <w:sz w:val="16"/>
              </w:rPr>
              <w:t>KNN-XGBoost + online local search</w:t>
            </w:r>
          </w:p>
        </w:tc>
        <w:tc>
          <w:tcPr>
            <w:tcW w:w="1773" w:type="dxa"/>
            <w:tcMar>
              <w:top w:w="70" w:type="dxa"/>
              <w:left w:w="70" w:type="dxa"/>
              <w:bottom w:w="70" w:type="dxa"/>
              <w:right w:w="70" w:type="dxa"/>
            </w:tcMar>
            <w:vAlign w:val="center"/>
          </w:tcPr>
          <w:p w14:paraId="0C3831E4" w14:textId="77777777" w:rsidR="00003A2E" w:rsidRPr="003D6F2A" w:rsidRDefault="008F030F">
            <w:pPr>
              <w:spacing w:after="0" w:line="240" w:lineRule="auto"/>
            </w:pPr>
            <w:r w:rsidRPr="003D6F2A">
              <w:rPr>
                <w:sz w:val="16"/>
              </w:rPr>
              <w:t>GPU configuration search</w:t>
            </w:r>
          </w:p>
        </w:tc>
        <w:tc>
          <w:tcPr>
            <w:tcW w:w="1477" w:type="dxa"/>
            <w:tcMar>
              <w:top w:w="70" w:type="dxa"/>
              <w:left w:w="70" w:type="dxa"/>
              <w:bottom w:w="70" w:type="dxa"/>
              <w:right w:w="70" w:type="dxa"/>
            </w:tcMar>
            <w:vAlign w:val="center"/>
          </w:tcPr>
          <w:p w14:paraId="62DEBE2F" w14:textId="77777777" w:rsidR="00003A2E" w:rsidRPr="003D6F2A" w:rsidRDefault="008F030F">
            <w:pPr>
              <w:spacing w:after="0" w:line="240" w:lineRule="auto"/>
            </w:pPr>
            <w:r w:rsidRPr="003D6F2A">
              <w:rPr>
                <w:sz w:val="16"/>
              </w:rPr>
              <w:t>Online correction around offline optimum</w:t>
            </w:r>
          </w:p>
        </w:tc>
        <w:tc>
          <w:tcPr>
            <w:tcW w:w="2069" w:type="dxa"/>
            <w:tcMar>
              <w:top w:w="70" w:type="dxa"/>
              <w:left w:w="70" w:type="dxa"/>
              <w:bottom w:w="70" w:type="dxa"/>
              <w:right w:w="70" w:type="dxa"/>
            </w:tcMar>
            <w:vAlign w:val="center"/>
          </w:tcPr>
          <w:p w14:paraId="1633006C" w14:textId="77777777" w:rsidR="00003A2E" w:rsidRPr="003D6F2A" w:rsidRDefault="008F030F">
            <w:pPr>
              <w:spacing w:after="0" w:line="240" w:lineRule="auto"/>
            </w:pPr>
            <w:r w:rsidRPr="003D6F2A">
              <w:rPr>
                <w:sz w:val="16"/>
              </w:rPr>
              <w:t>Requires online execution; optimization endpoint</w:t>
            </w:r>
          </w:p>
        </w:tc>
      </w:tr>
      <w:tr w:rsidR="00003A2E" w:rsidRPr="003D6F2A" w14:paraId="1A0BFB75" w14:textId="77777777">
        <w:trPr>
          <w:cantSplit/>
          <w:jc w:val="center"/>
        </w:trPr>
        <w:tc>
          <w:tcPr>
            <w:tcW w:w="1182" w:type="dxa"/>
            <w:tcMar>
              <w:top w:w="70" w:type="dxa"/>
              <w:left w:w="70" w:type="dxa"/>
              <w:bottom w:w="70" w:type="dxa"/>
              <w:right w:w="70" w:type="dxa"/>
            </w:tcMar>
            <w:vAlign w:val="center"/>
          </w:tcPr>
          <w:p w14:paraId="52C47738" w14:textId="77777777" w:rsidR="00003A2E" w:rsidRPr="003D6F2A" w:rsidRDefault="008F030F">
            <w:pPr>
              <w:spacing w:after="0" w:line="240" w:lineRule="auto"/>
            </w:pPr>
            <w:r w:rsidRPr="003D6F2A">
              <w:rPr>
                <w:sz w:val="16"/>
              </w:rPr>
              <w:t>CAL-ENERGY</w:t>
            </w:r>
          </w:p>
        </w:tc>
        <w:tc>
          <w:tcPr>
            <w:tcW w:w="1379" w:type="dxa"/>
            <w:tcMar>
              <w:top w:w="70" w:type="dxa"/>
              <w:left w:w="70" w:type="dxa"/>
              <w:bottom w:w="70" w:type="dxa"/>
              <w:right w:w="70" w:type="dxa"/>
            </w:tcMar>
            <w:vAlign w:val="center"/>
          </w:tcPr>
          <w:p w14:paraId="561E8C5D" w14:textId="77777777" w:rsidR="00003A2E" w:rsidRPr="003D6F2A" w:rsidRDefault="008F030F">
            <w:pPr>
              <w:spacing w:after="0" w:line="240" w:lineRule="auto"/>
            </w:pPr>
            <w:r w:rsidRPr="003D6F2A">
              <w:rPr>
                <w:sz w:val="16"/>
              </w:rPr>
              <w:t>Total training energy</w:t>
            </w:r>
          </w:p>
        </w:tc>
        <w:tc>
          <w:tcPr>
            <w:tcW w:w="1970" w:type="dxa"/>
            <w:tcMar>
              <w:top w:w="70" w:type="dxa"/>
              <w:left w:w="70" w:type="dxa"/>
              <w:bottom w:w="70" w:type="dxa"/>
              <w:right w:w="70" w:type="dxa"/>
            </w:tcMar>
            <w:vAlign w:val="center"/>
          </w:tcPr>
          <w:p w14:paraId="6CFBB0A3" w14:textId="77777777" w:rsidR="00003A2E" w:rsidRPr="003D6F2A" w:rsidRDefault="008F030F">
            <w:pPr>
              <w:spacing w:after="0" w:line="240" w:lineRule="auto"/>
            </w:pPr>
            <w:r w:rsidRPr="003D6F2A">
              <w:rPr>
                <w:sz w:val="16"/>
              </w:rPr>
              <w:t>Shared + masked metadata; RF; CAL-GATE</w:t>
            </w:r>
          </w:p>
        </w:tc>
        <w:tc>
          <w:tcPr>
            <w:tcW w:w="1773" w:type="dxa"/>
            <w:tcMar>
              <w:top w:w="70" w:type="dxa"/>
              <w:left w:w="70" w:type="dxa"/>
              <w:bottom w:w="70" w:type="dxa"/>
              <w:right w:w="70" w:type="dxa"/>
            </w:tcMar>
            <w:vAlign w:val="center"/>
          </w:tcPr>
          <w:p w14:paraId="0EB449CA" w14:textId="77777777" w:rsidR="00003A2E" w:rsidRPr="003D6F2A" w:rsidRDefault="008F030F">
            <w:pPr>
              <w:spacing w:after="0" w:line="240" w:lineRule="auto"/>
            </w:pPr>
            <w:r w:rsidRPr="003D6F2A">
              <w:rPr>
                <w:sz w:val="16"/>
              </w:rPr>
              <w:t>MLP/CNN benchmarks + four-GPU test</w:t>
            </w:r>
          </w:p>
        </w:tc>
        <w:tc>
          <w:tcPr>
            <w:tcW w:w="1477" w:type="dxa"/>
            <w:tcMar>
              <w:top w:w="70" w:type="dxa"/>
              <w:left w:w="70" w:type="dxa"/>
              <w:bottom w:w="70" w:type="dxa"/>
              <w:right w:w="70" w:type="dxa"/>
            </w:tcMar>
            <w:vAlign w:val="center"/>
          </w:tcPr>
          <w:p w14:paraId="357F8581" w14:textId="77777777" w:rsidR="00003A2E" w:rsidRPr="003D6F2A" w:rsidRDefault="008F030F">
            <w:pPr>
              <w:spacing w:after="0" w:line="240" w:lineRule="auto"/>
            </w:pPr>
            <w:r w:rsidRPr="003D6F2A">
              <w:rPr>
                <w:sz w:val="16"/>
              </w:rPr>
              <w:t>Leave-family-out + held-out GPU</w:t>
            </w:r>
          </w:p>
        </w:tc>
        <w:tc>
          <w:tcPr>
            <w:tcW w:w="2069" w:type="dxa"/>
            <w:tcMar>
              <w:top w:w="70" w:type="dxa"/>
              <w:left w:w="70" w:type="dxa"/>
              <w:bottom w:w="70" w:type="dxa"/>
              <w:right w:w="70" w:type="dxa"/>
            </w:tcMar>
            <w:vAlign w:val="center"/>
          </w:tcPr>
          <w:p w14:paraId="78316566" w14:textId="77777777" w:rsidR="00003A2E" w:rsidRPr="003D6F2A" w:rsidRDefault="008F030F">
            <w:pPr>
              <w:spacing w:after="0" w:line="240" w:lineRule="auto"/>
            </w:pPr>
            <w:r w:rsidRPr="003D6F2A">
              <w:rPr>
                <w:sz w:val="16"/>
              </w:rPr>
              <w:t>Explicit measurement-scale and applicability analysis</w:t>
            </w:r>
          </w:p>
        </w:tc>
      </w:tr>
    </w:tbl>
    <w:p w14:paraId="58BA85A7" w14:textId="77777777" w:rsidR="00003A2E" w:rsidRPr="003D6F2A" w:rsidRDefault="008F030F">
      <w:pPr>
        <w:jc w:val="center"/>
      </w:pPr>
      <w:r w:rsidRPr="003D6F2A">
        <w:rPr>
          <w:noProof/>
        </w:rPr>
        <w:lastRenderedPageBreak/>
        <w:drawing>
          <wp:inline distT="0" distB="0" distL="0" distR="0" wp14:anchorId="211F96FF" wp14:editId="53F07B98">
            <wp:extent cx="6035040" cy="2764911"/>
            <wp:effectExtent l="0" t="0" r="0" b="0"/>
            <wp:docPr id="26" name="Picture" descr="Fig. 2. Capability matrix for representative methods. “Partial” denotes limited or non-primary evidence rather than a fully demonstrated leave-domain-out capability. The matrix is based on the published scope of EC-NAS [6], Gratia et al. [7], SDEnergy [13], Liao et al. [9], and He et al. [8]."/>
            <wp:cNvGraphicFramePr/>
            <a:graphic xmlns:a="http://schemas.openxmlformats.org/drawingml/2006/main">
              <a:graphicData uri="http://schemas.openxmlformats.org/drawingml/2006/picture">
                <pic:pic xmlns:pic="http://schemas.openxmlformats.org/drawingml/2006/picture">
                  <pic:nvPicPr>
                    <pic:cNvPr id="27" name="Picture" descr="/mnt/data/cal_energy_figures_revised/fig2_literature_matrix.png"/>
                    <pic:cNvPicPr>
                      <a:picLocks noChangeAspect="1" noChangeArrowheads="1"/>
                    </pic:cNvPicPr>
                  </pic:nvPicPr>
                  <pic:blipFill>
                    <a:blip r:embed="rId7"/>
                    <a:stretch>
                      <a:fillRect/>
                    </a:stretch>
                  </pic:blipFill>
                  <pic:spPr bwMode="auto">
                    <a:xfrm>
                      <a:off x="0" y="0"/>
                      <a:ext cx="6035040" cy="2764911"/>
                    </a:xfrm>
                    <a:prstGeom prst="rect">
                      <a:avLst/>
                    </a:prstGeom>
                    <a:noFill/>
                    <a:ln w="9525">
                      <a:noFill/>
                      <a:headEnd/>
                      <a:tailEnd/>
                    </a:ln>
                  </pic:spPr>
                </pic:pic>
              </a:graphicData>
            </a:graphic>
          </wp:inline>
        </w:drawing>
      </w:r>
    </w:p>
    <w:p w14:paraId="6F8B0C66" w14:textId="77777777" w:rsidR="00AE6F0E" w:rsidRPr="003D6F2A" w:rsidRDefault="008F030F" w:rsidP="00AE6F0E">
      <w:pPr>
        <w:ind w:firstLine="259"/>
        <w:jc w:val="both"/>
      </w:pPr>
      <w:r w:rsidRPr="003D6F2A">
        <w:t xml:space="preserve">Fig. 2. Capability matrix for representative methods. “Partial” denotes limited or non-primary evidence rather than </w:t>
      </w:r>
      <w:r w:rsidRPr="004E64F7">
        <w:rPr>
          <w:highlight w:val="cyan"/>
        </w:rPr>
        <w:t>a fully demonstrated leave-domain-out capability</w:t>
      </w:r>
      <w:r w:rsidRPr="003D6F2A">
        <w:t>. The matrix is based on the published scope of EC-NAS [6], Gratia et al. [7], SDEnergy [13], Liao et al. [9], and He et al. [8].</w:t>
      </w:r>
    </w:p>
    <w:p w14:paraId="335E1C06" w14:textId="0076C2E9" w:rsidR="00003A2E" w:rsidRPr="003D6F2A" w:rsidRDefault="008F030F" w:rsidP="00AE6F0E">
      <w:pPr>
        <w:ind w:firstLine="259"/>
        <w:jc w:val="both"/>
      </w:pPr>
      <w:r w:rsidRPr="003D6F2A">
        <w:t>Although Table 1 clarifies methodological scope, the numerical results reported across these studies are not directly commensurate because their prediction targets, datasets, hardware, and evaluation protocols differ. Table 2 therefore reports each published quantity in its original context, and Fig. 3 provides a contextual visualization rather than a head-to-head ranking. In particular, inference-energy MAPE, power-curve-component MRE, and total-training-energy MAPE should not be interpreted as equivalent measures of the same task.</w:t>
      </w:r>
    </w:p>
    <w:p w14:paraId="3C65F2B0" w14:textId="77777777" w:rsidR="00003A2E" w:rsidRPr="003D6F2A" w:rsidRDefault="008F030F">
      <w:pPr>
        <w:pStyle w:val="BodyText"/>
        <w:keepNext/>
        <w:spacing w:before="100" w:after="60"/>
      </w:pPr>
      <w:r w:rsidRPr="003D6F2A">
        <w:rPr>
          <w:i/>
          <w:sz w:val="18"/>
        </w:rPr>
        <w:t>Table 2. Quantitative evidence from recent comparators and this work; values are not directly comparable across rows.</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674"/>
        <w:gridCol w:w="2167"/>
        <w:gridCol w:w="1280"/>
        <w:gridCol w:w="2462"/>
        <w:gridCol w:w="2267"/>
      </w:tblGrid>
      <w:tr w:rsidR="00003A2E" w:rsidRPr="003D6F2A" w14:paraId="465AF27B" w14:textId="77777777">
        <w:trPr>
          <w:cantSplit/>
          <w:tblHeader/>
          <w:jc w:val="center"/>
        </w:trPr>
        <w:tc>
          <w:tcPr>
            <w:tcW w:w="1674" w:type="dxa"/>
            <w:tcMar>
              <w:top w:w="70" w:type="dxa"/>
              <w:left w:w="70" w:type="dxa"/>
              <w:bottom w:w="70" w:type="dxa"/>
              <w:right w:w="70" w:type="dxa"/>
            </w:tcMar>
            <w:vAlign w:val="center"/>
          </w:tcPr>
          <w:p w14:paraId="2E1C21FB" w14:textId="77777777" w:rsidR="00003A2E" w:rsidRPr="003D6F2A" w:rsidRDefault="008F030F">
            <w:pPr>
              <w:spacing w:after="0" w:line="240" w:lineRule="auto"/>
            </w:pPr>
            <w:r w:rsidRPr="003D6F2A">
              <w:rPr>
                <w:b/>
                <w:sz w:val="16"/>
              </w:rPr>
              <w:t>Study</w:t>
            </w:r>
          </w:p>
        </w:tc>
        <w:tc>
          <w:tcPr>
            <w:tcW w:w="2167" w:type="dxa"/>
            <w:tcMar>
              <w:top w:w="70" w:type="dxa"/>
              <w:left w:w="70" w:type="dxa"/>
              <w:bottom w:w="70" w:type="dxa"/>
              <w:right w:w="70" w:type="dxa"/>
            </w:tcMar>
            <w:vAlign w:val="center"/>
          </w:tcPr>
          <w:p w14:paraId="08505E13" w14:textId="77777777" w:rsidR="00003A2E" w:rsidRPr="003D6F2A" w:rsidRDefault="008F030F">
            <w:pPr>
              <w:spacing w:after="0" w:line="240" w:lineRule="auto"/>
            </w:pPr>
            <w:r w:rsidRPr="003D6F2A">
              <w:rPr>
                <w:b/>
                <w:sz w:val="16"/>
              </w:rPr>
              <w:t>Reported quantitative result</w:t>
            </w:r>
          </w:p>
        </w:tc>
        <w:tc>
          <w:tcPr>
            <w:tcW w:w="1280" w:type="dxa"/>
            <w:tcMar>
              <w:top w:w="70" w:type="dxa"/>
              <w:left w:w="70" w:type="dxa"/>
              <w:bottom w:w="70" w:type="dxa"/>
              <w:right w:w="70" w:type="dxa"/>
            </w:tcMar>
            <w:vAlign w:val="center"/>
          </w:tcPr>
          <w:p w14:paraId="0E35A1BF" w14:textId="77777777" w:rsidR="00003A2E" w:rsidRPr="003D6F2A" w:rsidRDefault="008F030F">
            <w:pPr>
              <w:spacing w:after="0" w:line="240" w:lineRule="auto"/>
            </w:pPr>
            <w:r w:rsidRPr="003D6F2A">
              <w:rPr>
                <w:b/>
                <w:sz w:val="16"/>
              </w:rPr>
              <w:t>Metric</w:t>
            </w:r>
          </w:p>
        </w:tc>
        <w:tc>
          <w:tcPr>
            <w:tcW w:w="2462" w:type="dxa"/>
            <w:tcMar>
              <w:top w:w="70" w:type="dxa"/>
              <w:left w:w="70" w:type="dxa"/>
              <w:bottom w:w="70" w:type="dxa"/>
              <w:right w:w="70" w:type="dxa"/>
            </w:tcMar>
            <w:vAlign w:val="center"/>
          </w:tcPr>
          <w:p w14:paraId="3A8AE19F" w14:textId="77777777" w:rsidR="00003A2E" w:rsidRPr="003D6F2A" w:rsidRDefault="008F030F">
            <w:pPr>
              <w:spacing w:after="0" w:line="240" w:lineRule="auto"/>
            </w:pPr>
            <w:r w:rsidRPr="003D6F2A">
              <w:rPr>
                <w:b/>
                <w:sz w:val="16"/>
              </w:rPr>
              <w:t>Prediction/optimization target</w:t>
            </w:r>
          </w:p>
        </w:tc>
        <w:tc>
          <w:tcPr>
            <w:tcW w:w="2267" w:type="dxa"/>
            <w:tcMar>
              <w:top w:w="70" w:type="dxa"/>
              <w:left w:w="70" w:type="dxa"/>
              <w:bottom w:w="70" w:type="dxa"/>
              <w:right w:w="70" w:type="dxa"/>
            </w:tcMar>
            <w:vAlign w:val="center"/>
          </w:tcPr>
          <w:p w14:paraId="7CFE644E" w14:textId="77777777" w:rsidR="00003A2E" w:rsidRPr="003D6F2A" w:rsidRDefault="008F030F">
            <w:pPr>
              <w:spacing w:after="0" w:line="240" w:lineRule="auto"/>
            </w:pPr>
            <w:r w:rsidRPr="003D6F2A">
              <w:rPr>
                <w:b/>
                <w:sz w:val="16"/>
              </w:rPr>
              <w:t>Direct head-to-head comparison?</w:t>
            </w:r>
          </w:p>
        </w:tc>
      </w:tr>
      <w:tr w:rsidR="00003A2E" w:rsidRPr="003D6F2A" w14:paraId="738FB47F" w14:textId="77777777">
        <w:trPr>
          <w:cantSplit/>
          <w:jc w:val="center"/>
        </w:trPr>
        <w:tc>
          <w:tcPr>
            <w:tcW w:w="1674" w:type="dxa"/>
            <w:tcMar>
              <w:top w:w="70" w:type="dxa"/>
              <w:left w:w="70" w:type="dxa"/>
              <w:bottom w:w="70" w:type="dxa"/>
              <w:right w:w="70" w:type="dxa"/>
            </w:tcMar>
            <w:vAlign w:val="center"/>
          </w:tcPr>
          <w:p w14:paraId="2A1532F9" w14:textId="77777777" w:rsidR="00003A2E" w:rsidRPr="003D6F2A" w:rsidRDefault="008F030F">
            <w:pPr>
              <w:spacing w:after="0" w:line="240" w:lineRule="auto"/>
            </w:pPr>
            <w:r w:rsidRPr="003D6F2A">
              <w:rPr>
                <w:sz w:val="16"/>
              </w:rPr>
              <w:t>SDEnergy [13]</w:t>
            </w:r>
          </w:p>
        </w:tc>
        <w:tc>
          <w:tcPr>
            <w:tcW w:w="2167" w:type="dxa"/>
            <w:tcMar>
              <w:top w:w="70" w:type="dxa"/>
              <w:left w:w="70" w:type="dxa"/>
              <w:bottom w:w="70" w:type="dxa"/>
              <w:right w:w="70" w:type="dxa"/>
            </w:tcMar>
            <w:vAlign w:val="center"/>
          </w:tcPr>
          <w:p w14:paraId="0A514F94" w14:textId="77777777" w:rsidR="00003A2E" w:rsidRPr="003D6F2A" w:rsidRDefault="008F030F">
            <w:pPr>
              <w:spacing w:after="0" w:line="240" w:lineRule="auto"/>
            </w:pPr>
            <w:r w:rsidRPr="003D6F2A">
              <w:rPr>
                <w:sz w:val="16"/>
              </w:rPr>
              <w:t>5.35%</w:t>
            </w:r>
          </w:p>
        </w:tc>
        <w:tc>
          <w:tcPr>
            <w:tcW w:w="1280" w:type="dxa"/>
            <w:tcMar>
              <w:top w:w="70" w:type="dxa"/>
              <w:left w:w="70" w:type="dxa"/>
              <w:bottom w:w="70" w:type="dxa"/>
              <w:right w:w="70" w:type="dxa"/>
            </w:tcMar>
            <w:vAlign w:val="center"/>
          </w:tcPr>
          <w:p w14:paraId="6C66A16D" w14:textId="77777777" w:rsidR="00003A2E" w:rsidRPr="003D6F2A" w:rsidRDefault="008F030F">
            <w:pPr>
              <w:spacing w:after="0" w:line="240" w:lineRule="auto"/>
            </w:pPr>
            <w:r w:rsidRPr="003D6F2A">
              <w:rPr>
                <w:sz w:val="16"/>
              </w:rPr>
              <w:t>MAPE</w:t>
            </w:r>
          </w:p>
        </w:tc>
        <w:tc>
          <w:tcPr>
            <w:tcW w:w="2462" w:type="dxa"/>
            <w:tcMar>
              <w:top w:w="70" w:type="dxa"/>
              <w:left w:w="70" w:type="dxa"/>
              <w:bottom w:w="70" w:type="dxa"/>
              <w:right w:w="70" w:type="dxa"/>
            </w:tcMar>
            <w:vAlign w:val="center"/>
          </w:tcPr>
          <w:p w14:paraId="384BC96F" w14:textId="77777777" w:rsidR="00003A2E" w:rsidRPr="003D6F2A" w:rsidRDefault="008F030F">
            <w:pPr>
              <w:spacing w:after="0" w:line="240" w:lineRule="auto"/>
            </w:pPr>
            <w:r w:rsidRPr="003D6F2A">
              <w:rPr>
                <w:sz w:val="16"/>
              </w:rPr>
              <w:t>Inference energy</w:t>
            </w:r>
          </w:p>
        </w:tc>
        <w:tc>
          <w:tcPr>
            <w:tcW w:w="2267" w:type="dxa"/>
            <w:tcMar>
              <w:top w:w="70" w:type="dxa"/>
              <w:left w:w="70" w:type="dxa"/>
              <w:bottom w:w="70" w:type="dxa"/>
              <w:right w:w="70" w:type="dxa"/>
            </w:tcMar>
            <w:vAlign w:val="center"/>
          </w:tcPr>
          <w:p w14:paraId="4E7B844F" w14:textId="77777777" w:rsidR="00003A2E" w:rsidRPr="003D6F2A" w:rsidRDefault="008F030F">
            <w:pPr>
              <w:spacing w:after="0" w:line="240" w:lineRule="auto"/>
            </w:pPr>
            <w:r w:rsidRPr="003D6F2A">
              <w:rPr>
                <w:sz w:val="16"/>
              </w:rPr>
              <w:t>No - different target and dataset</w:t>
            </w:r>
          </w:p>
        </w:tc>
      </w:tr>
      <w:tr w:rsidR="00003A2E" w:rsidRPr="003D6F2A" w14:paraId="106D4245" w14:textId="77777777">
        <w:trPr>
          <w:cantSplit/>
          <w:jc w:val="center"/>
        </w:trPr>
        <w:tc>
          <w:tcPr>
            <w:tcW w:w="1674" w:type="dxa"/>
            <w:tcMar>
              <w:top w:w="70" w:type="dxa"/>
              <w:left w:w="70" w:type="dxa"/>
              <w:bottom w:w="70" w:type="dxa"/>
              <w:right w:w="70" w:type="dxa"/>
            </w:tcMar>
            <w:vAlign w:val="center"/>
          </w:tcPr>
          <w:p w14:paraId="6B0C5842" w14:textId="77777777" w:rsidR="00003A2E" w:rsidRPr="003D6F2A" w:rsidRDefault="008F030F">
            <w:pPr>
              <w:spacing w:after="0" w:line="240" w:lineRule="auto"/>
            </w:pPr>
            <w:r w:rsidRPr="003D6F2A">
              <w:rPr>
                <w:sz w:val="16"/>
              </w:rPr>
              <w:t>Gratia et al. [7]</w:t>
            </w:r>
          </w:p>
        </w:tc>
        <w:tc>
          <w:tcPr>
            <w:tcW w:w="2167" w:type="dxa"/>
            <w:tcMar>
              <w:top w:w="70" w:type="dxa"/>
              <w:left w:w="70" w:type="dxa"/>
              <w:bottom w:w="70" w:type="dxa"/>
              <w:right w:w="70" w:type="dxa"/>
            </w:tcMar>
            <w:vAlign w:val="center"/>
          </w:tcPr>
          <w:p w14:paraId="53A2BA03" w14:textId="77777777" w:rsidR="00003A2E" w:rsidRPr="003D6F2A" w:rsidRDefault="008F030F">
            <w:pPr>
              <w:spacing w:after="0" w:line="240" w:lineRule="auto"/>
            </w:pPr>
            <w:r w:rsidRPr="003D6F2A">
              <w:rPr>
                <w:sz w:val="16"/>
              </w:rPr>
              <w:t>Predictor-assisted NSGA-II reported; no common total-energy error metric used here</w:t>
            </w:r>
          </w:p>
        </w:tc>
        <w:tc>
          <w:tcPr>
            <w:tcW w:w="1280" w:type="dxa"/>
            <w:tcMar>
              <w:top w:w="70" w:type="dxa"/>
              <w:left w:w="70" w:type="dxa"/>
              <w:bottom w:w="70" w:type="dxa"/>
              <w:right w:w="70" w:type="dxa"/>
            </w:tcMar>
            <w:vAlign w:val="center"/>
          </w:tcPr>
          <w:p w14:paraId="24C6DD6F" w14:textId="77777777" w:rsidR="00003A2E" w:rsidRPr="003D6F2A" w:rsidRDefault="008F030F">
            <w:pPr>
              <w:spacing w:after="0" w:line="240" w:lineRule="auto"/>
            </w:pPr>
            <w:r w:rsidRPr="003D6F2A">
              <w:rPr>
                <w:sz w:val="16"/>
              </w:rPr>
              <w:t>—</w:t>
            </w:r>
          </w:p>
        </w:tc>
        <w:tc>
          <w:tcPr>
            <w:tcW w:w="2462" w:type="dxa"/>
            <w:tcMar>
              <w:top w:w="70" w:type="dxa"/>
              <w:left w:w="70" w:type="dxa"/>
              <w:bottom w:w="70" w:type="dxa"/>
              <w:right w:w="70" w:type="dxa"/>
            </w:tcMar>
            <w:vAlign w:val="center"/>
          </w:tcPr>
          <w:p w14:paraId="7C29A4B7" w14:textId="77777777" w:rsidR="00003A2E" w:rsidRPr="003D6F2A" w:rsidRDefault="008F030F">
            <w:pPr>
              <w:spacing w:after="0" w:line="240" w:lineRule="auto"/>
            </w:pPr>
            <w:r w:rsidRPr="003D6F2A">
              <w:rPr>
                <w:sz w:val="16"/>
              </w:rPr>
              <w:t>Architecture-search objectives</w:t>
            </w:r>
          </w:p>
        </w:tc>
        <w:tc>
          <w:tcPr>
            <w:tcW w:w="2267" w:type="dxa"/>
            <w:tcMar>
              <w:top w:w="70" w:type="dxa"/>
              <w:left w:w="70" w:type="dxa"/>
              <w:bottom w:w="70" w:type="dxa"/>
              <w:right w:w="70" w:type="dxa"/>
            </w:tcMar>
            <w:vAlign w:val="center"/>
          </w:tcPr>
          <w:p w14:paraId="64A105ED" w14:textId="77777777" w:rsidR="00003A2E" w:rsidRPr="003D6F2A" w:rsidRDefault="008F030F">
            <w:pPr>
              <w:spacing w:after="0" w:line="240" w:lineRule="auto"/>
            </w:pPr>
            <w:r w:rsidRPr="003D6F2A">
              <w:rPr>
                <w:sz w:val="16"/>
              </w:rPr>
              <w:t>No - optimization study</w:t>
            </w:r>
          </w:p>
        </w:tc>
      </w:tr>
      <w:tr w:rsidR="00003A2E" w:rsidRPr="003D6F2A" w14:paraId="2A394589" w14:textId="77777777">
        <w:trPr>
          <w:cantSplit/>
          <w:jc w:val="center"/>
        </w:trPr>
        <w:tc>
          <w:tcPr>
            <w:tcW w:w="1674" w:type="dxa"/>
            <w:tcMar>
              <w:top w:w="70" w:type="dxa"/>
              <w:left w:w="70" w:type="dxa"/>
              <w:bottom w:w="70" w:type="dxa"/>
              <w:right w:w="70" w:type="dxa"/>
            </w:tcMar>
            <w:vAlign w:val="center"/>
          </w:tcPr>
          <w:p w14:paraId="4A941D7E" w14:textId="77777777" w:rsidR="00003A2E" w:rsidRPr="003D6F2A" w:rsidRDefault="008F030F">
            <w:pPr>
              <w:spacing w:after="0" w:line="240" w:lineRule="auto"/>
            </w:pPr>
            <w:r w:rsidRPr="003D6F2A">
              <w:rPr>
                <w:sz w:val="16"/>
              </w:rPr>
              <w:t>Liao et al. [9]</w:t>
            </w:r>
          </w:p>
        </w:tc>
        <w:tc>
          <w:tcPr>
            <w:tcW w:w="2167" w:type="dxa"/>
            <w:tcMar>
              <w:top w:w="70" w:type="dxa"/>
              <w:left w:w="70" w:type="dxa"/>
              <w:bottom w:w="70" w:type="dxa"/>
              <w:right w:w="70" w:type="dxa"/>
            </w:tcMar>
            <w:vAlign w:val="center"/>
          </w:tcPr>
          <w:p w14:paraId="2F3C4F1B" w14:textId="77777777" w:rsidR="00003A2E" w:rsidRPr="003D6F2A" w:rsidRDefault="008F030F">
            <w:pPr>
              <w:spacing w:after="0" w:line="240" w:lineRule="auto"/>
            </w:pPr>
            <w:r w:rsidRPr="003D6F2A">
              <w:rPr>
                <w:sz w:val="16"/>
              </w:rPr>
              <w:t>2.67%, 8.42%, 5.16%, 3.64%</w:t>
            </w:r>
          </w:p>
        </w:tc>
        <w:tc>
          <w:tcPr>
            <w:tcW w:w="1280" w:type="dxa"/>
            <w:tcMar>
              <w:top w:w="70" w:type="dxa"/>
              <w:left w:w="70" w:type="dxa"/>
              <w:bottom w:w="70" w:type="dxa"/>
              <w:right w:w="70" w:type="dxa"/>
            </w:tcMar>
            <w:vAlign w:val="center"/>
          </w:tcPr>
          <w:p w14:paraId="37B37A9A" w14:textId="77777777" w:rsidR="00003A2E" w:rsidRPr="003D6F2A" w:rsidRDefault="008F030F">
            <w:pPr>
              <w:spacing w:after="0" w:line="240" w:lineRule="auto"/>
            </w:pPr>
            <w:r w:rsidRPr="003D6F2A">
              <w:rPr>
                <w:sz w:val="16"/>
              </w:rPr>
              <w:t>MRE</w:t>
            </w:r>
          </w:p>
        </w:tc>
        <w:tc>
          <w:tcPr>
            <w:tcW w:w="2462" w:type="dxa"/>
            <w:tcMar>
              <w:top w:w="70" w:type="dxa"/>
              <w:left w:w="70" w:type="dxa"/>
              <w:bottom w:w="70" w:type="dxa"/>
              <w:right w:w="70" w:type="dxa"/>
            </w:tcMar>
            <w:vAlign w:val="center"/>
          </w:tcPr>
          <w:p w14:paraId="7B733DD5" w14:textId="77777777" w:rsidR="00003A2E" w:rsidRPr="003D6F2A" w:rsidRDefault="008F030F">
            <w:pPr>
              <w:spacing w:after="0" w:line="240" w:lineRule="auto"/>
            </w:pPr>
            <w:r w:rsidRPr="003D6F2A">
              <w:rPr>
                <w:sz w:val="16"/>
              </w:rPr>
              <w:t>Valley energy, valley duration, peak power, peak duration</w:t>
            </w:r>
          </w:p>
        </w:tc>
        <w:tc>
          <w:tcPr>
            <w:tcW w:w="2267" w:type="dxa"/>
            <w:tcMar>
              <w:top w:w="70" w:type="dxa"/>
              <w:left w:w="70" w:type="dxa"/>
              <w:bottom w:w="70" w:type="dxa"/>
              <w:right w:w="70" w:type="dxa"/>
            </w:tcMar>
            <w:vAlign w:val="center"/>
          </w:tcPr>
          <w:p w14:paraId="0F18170F" w14:textId="77777777" w:rsidR="00003A2E" w:rsidRPr="003D6F2A" w:rsidRDefault="008F030F">
            <w:pPr>
              <w:spacing w:after="0" w:line="240" w:lineRule="auto"/>
            </w:pPr>
            <w:r w:rsidRPr="003D6F2A">
              <w:rPr>
                <w:sz w:val="16"/>
              </w:rPr>
              <w:t>No - component targets on A800</w:t>
            </w:r>
          </w:p>
        </w:tc>
      </w:tr>
      <w:tr w:rsidR="00003A2E" w:rsidRPr="003D6F2A" w14:paraId="5D15734B" w14:textId="77777777">
        <w:trPr>
          <w:cantSplit/>
          <w:jc w:val="center"/>
        </w:trPr>
        <w:tc>
          <w:tcPr>
            <w:tcW w:w="1674" w:type="dxa"/>
            <w:tcMar>
              <w:top w:w="70" w:type="dxa"/>
              <w:left w:w="70" w:type="dxa"/>
              <w:bottom w:w="70" w:type="dxa"/>
              <w:right w:w="70" w:type="dxa"/>
            </w:tcMar>
            <w:vAlign w:val="center"/>
          </w:tcPr>
          <w:p w14:paraId="722D5D40" w14:textId="77777777" w:rsidR="00003A2E" w:rsidRPr="003D6F2A" w:rsidRDefault="008F030F">
            <w:pPr>
              <w:spacing w:after="0" w:line="240" w:lineRule="auto"/>
            </w:pPr>
            <w:r w:rsidRPr="003D6F2A">
              <w:rPr>
                <w:sz w:val="16"/>
              </w:rPr>
              <w:t>He et al. [8]</w:t>
            </w:r>
          </w:p>
        </w:tc>
        <w:tc>
          <w:tcPr>
            <w:tcW w:w="2167" w:type="dxa"/>
            <w:tcMar>
              <w:top w:w="70" w:type="dxa"/>
              <w:left w:w="70" w:type="dxa"/>
              <w:bottom w:w="70" w:type="dxa"/>
              <w:right w:w="70" w:type="dxa"/>
            </w:tcMar>
            <w:vAlign w:val="center"/>
          </w:tcPr>
          <w:p w14:paraId="515F6133" w14:textId="77777777" w:rsidR="00003A2E" w:rsidRPr="003D6F2A" w:rsidRDefault="008F030F">
            <w:pPr>
              <w:spacing w:after="0" w:line="240" w:lineRule="auto"/>
            </w:pPr>
            <w:r w:rsidRPr="003D6F2A">
              <w:rPr>
                <w:sz w:val="16"/>
              </w:rPr>
              <w:t>13.2% energy reduction; 14.1% runtime reduction; 13.8% EDS improvement</w:t>
            </w:r>
          </w:p>
        </w:tc>
        <w:tc>
          <w:tcPr>
            <w:tcW w:w="1280" w:type="dxa"/>
            <w:tcMar>
              <w:top w:w="70" w:type="dxa"/>
              <w:left w:w="70" w:type="dxa"/>
              <w:bottom w:w="70" w:type="dxa"/>
              <w:right w:w="70" w:type="dxa"/>
            </w:tcMar>
            <w:vAlign w:val="center"/>
          </w:tcPr>
          <w:p w14:paraId="5320D298" w14:textId="77777777" w:rsidR="00003A2E" w:rsidRPr="003D6F2A" w:rsidRDefault="008F030F">
            <w:pPr>
              <w:spacing w:after="0" w:line="240" w:lineRule="auto"/>
            </w:pPr>
            <w:r w:rsidRPr="003D6F2A">
              <w:rPr>
                <w:sz w:val="16"/>
              </w:rPr>
              <w:t>Relative change</w:t>
            </w:r>
          </w:p>
        </w:tc>
        <w:tc>
          <w:tcPr>
            <w:tcW w:w="2462" w:type="dxa"/>
            <w:tcMar>
              <w:top w:w="70" w:type="dxa"/>
              <w:left w:w="70" w:type="dxa"/>
              <w:bottom w:w="70" w:type="dxa"/>
              <w:right w:w="70" w:type="dxa"/>
            </w:tcMar>
            <w:vAlign w:val="center"/>
          </w:tcPr>
          <w:p w14:paraId="2D3BEEBB" w14:textId="77777777" w:rsidR="00003A2E" w:rsidRPr="003D6F2A" w:rsidRDefault="008F030F">
            <w:pPr>
              <w:spacing w:after="0" w:line="240" w:lineRule="auto"/>
            </w:pPr>
            <w:r w:rsidRPr="003D6F2A">
              <w:rPr>
                <w:sz w:val="16"/>
              </w:rPr>
              <w:t>Offline-online configuration optimization</w:t>
            </w:r>
          </w:p>
        </w:tc>
        <w:tc>
          <w:tcPr>
            <w:tcW w:w="2267" w:type="dxa"/>
            <w:tcMar>
              <w:top w:w="70" w:type="dxa"/>
              <w:left w:w="70" w:type="dxa"/>
              <w:bottom w:w="70" w:type="dxa"/>
              <w:right w:w="70" w:type="dxa"/>
            </w:tcMar>
            <w:vAlign w:val="center"/>
          </w:tcPr>
          <w:p w14:paraId="6F4249C8" w14:textId="77777777" w:rsidR="00003A2E" w:rsidRPr="003D6F2A" w:rsidRDefault="008F030F">
            <w:pPr>
              <w:spacing w:after="0" w:line="240" w:lineRule="auto"/>
            </w:pPr>
            <w:r w:rsidRPr="003D6F2A">
              <w:rPr>
                <w:sz w:val="16"/>
              </w:rPr>
              <w:t>No - optimization outcome</w:t>
            </w:r>
          </w:p>
        </w:tc>
      </w:tr>
      <w:tr w:rsidR="00003A2E" w:rsidRPr="003D6F2A" w14:paraId="220D3CF4" w14:textId="77777777">
        <w:trPr>
          <w:cantSplit/>
          <w:jc w:val="center"/>
        </w:trPr>
        <w:tc>
          <w:tcPr>
            <w:tcW w:w="1674" w:type="dxa"/>
            <w:tcMar>
              <w:top w:w="70" w:type="dxa"/>
              <w:left w:w="70" w:type="dxa"/>
              <w:bottom w:w="70" w:type="dxa"/>
              <w:right w:w="70" w:type="dxa"/>
            </w:tcMar>
            <w:vAlign w:val="center"/>
          </w:tcPr>
          <w:p w14:paraId="1AF4E4D5" w14:textId="77777777" w:rsidR="00003A2E" w:rsidRPr="003D6F2A" w:rsidRDefault="008F030F">
            <w:pPr>
              <w:spacing w:after="0" w:line="240" w:lineRule="auto"/>
            </w:pPr>
            <w:r w:rsidRPr="003D6F2A">
              <w:rPr>
                <w:sz w:val="16"/>
              </w:rPr>
              <w:t>CAL-ENERGY</w:t>
            </w:r>
          </w:p>
        </w:tc>
        <w:tc>
          <w:tcPr>
            <w:tcW w:w="2167" w:type="dxa"/>
            <w:tcMar>
              <w:top w:w="70" w:type="dxa"/>
              <w:left w:w="70" w:type="dxa"/>
              <w:bottom w:w="70" w:type="dxa"/>
              <w:right w:w="70" w:type="dxa"/>
            </w:tcMar>
            <w:vAlign w:val="center"/>
          </w:tcPr>
          <w:p w14:paraId="3FFB7806" w14:textId="77777777" w:rsidR="00003A2E" w:rsidRPr="003D6F2A" w:rsidRDefault="008F030F">
            <w:pPr>
              <w:spacing w:after="0" w:line="240" w:lineRule="auto"/>
            </w:pPr>
            <w:r w:rsidRPr="003D6F2A">
              <w:rPr>
                <w:sz w:val="16"/>
              </w:rPr>
              <w:t>11.5% (BUTTER-E); 5.8% (EC-NAS)</w:t>
            </w:r>
          </w:p>
        </w:tc>
        <w:tc>
          <w:tcPr>
            <w:tcW w:w="1280" w:type="dxa"/>
            <w:tcMar>
              <w:top w:w="70" w:type="dxa"/>
              <w:left w:w="70" w:type="dxa"/>
              <w:bottom w:w="70" w:type="dxa"/>
              <w:right w:w="70" w:type="dxa"/>
            </w:tcMar>
            <w:vAlign w:val="center"/>
          </w:tcPr>
          <w:p w14:paraId="2D38644F" w14:textId="77777777" w:rsidR="00003A2E" w:rsidRPr="003D6F2A" w:rsidRDefault="008F030F">
            <w:pPr>
              <w:spacing w:after="0" w:line="240" w:lineRule="auto"/>
            </w:pPr>
            <w:r w:rsidRPr="003D6F2A">
              <w:rPr>
                <w:sz w:val="16"/>
              </w:rPr>
              <w:t>MAPE</w:t>
            </w:r>
          </w:p>
        </w:tc>
        <w:tc>
          <w:tcPr>
            <w:tcW w:w="2462" w:type="dxa"/>
            <w:tcMar>
              <w:top w:w="70" w:type="dxa"/>
              <w:left w:w="70" w:type="dxa"/>
              <w:bottom w:w="70" w:type="dxa"/>
              <w:right w:w="70" w:type="dxa"/>
            </w:tcMar>
            <w:vAlign w:val="center"/>
          </w:tcPr>
          <w:p w14:paraId="676CF447" w14:textId="77777777" w:rsidR="00003A2E" w:rsidRPr="003D6F2A" w:rsidRDefault="008F030F">
            <w:pPr>
              <w:spacing w:after="0" w:line="240" w:lineRule="auto"/>
            </w:pPr>
            <w:r w:rsidRPr="003D6F2A">
              <w:rPr>
                <w:sz w:val="16"/>
              </w:rPr>
              <w:t>Total training energy</w:t>
            </w:r>
          </w:p>
        </w:tc>
        <w:tc>
          <w:tcPr>
            <w:tcW w:w="2267" w:type="dxa"/>
            <w:tcMar>
              <w:top w:w="70" w:type="dxa"/>
              <w:left w:w="70" w:type="dxa"/>
              <w:bottom w:w="70" w:type="dxa"/>
              <w:right w:w="70" w:type="dxa"/>
            </w:tcMar>
            <w:vAlign w:val="center"/>
          </w:tcPr>
          <w:p w14:paraId="59E42FDE" w14:textId="77777777" w:rsidR="00003A2E" w:rsidRPr="003D6F2A" w:rsidRDefault="008F030F">
            <w:pPr>
              <w:spacing w:after="0" w:line="240" w:lineRule="auto"/>
            </w:pPr>
            <w:r w:rsidRPr="003D6F2A">
              <w:rPr>
                <w:sz w:val="16"/>
              </w:rPr>
              <w:t>Within this study only</w:t>
            </w:r>
          </w:p>
        </w:tc>
      </w:tr>
    </w:tbl>
    <w:p w14:paraId="70E8264B" w14:textId="77777777" w:rsidR="00003A2E" w:rsidRPr="003D6F2A" w:rsidRDefault="008F030F">
      <w:pPr>
        <w:jc w:val="center"/>
      </w:pPr>
      <w:r w:rsidRPr="003D6F2A">
        <w:rPr>
          <w:noProof/>
        </w:rPr>
        <w:lastRenderedPageBreak/>
        <w:drawing>
          <wp:inline distT="0" distB="0" distL="0" distR="0" wp14:anchorId="4BC25095" wp14:editId="789A4036">
            <wp:extent cx="6035040" cy="3645892"/>
            <wp:effectExtent l="0" t="0" r="0" b="0"/>
            <wp:docPr id="29" name="Picture" descr="Fig. 3. Published prediction-error values from heterogeneous studies. The bars show reported MAPE/MRE for different prediction targets and are included for context, not as a leaderboard. SDEnergy reports inference-energy MAPE [13]; Liao et al. reports training power-curve component MREs [9]; CAL-ENERGY reports total training-energy MAPE."/>
            <wp:cNvGraphicFramePr/>
            <a:graphic xmlns:a="http://schemas.openxmlformats.org/drawingml/2006/main">
              <a:graphicData uri="http://schemas.openxmlformats.org/drawingml/2006/picture">
                <pic:pic xmlns:pic="http://schemas.openxmlformats.org/drawingml/2006/picture">
                  <pic:nvPicPr>
                    <pic:cNvPr id="30" name="Picture" descr="/mnt/data/cal_energy_figures_revised/fig3_reported_errors.png"/>
                    <pic:cNvPicPr>
                      <a:picLocks noChangeAspect="1" noChangeArrowheads="1"/>
                    </pic:cNvPicPr>
                  </pic:nvPicPr>
                  <pic:blipFill>
                    <a:blip r:embed="rId8"/>
                    <a:stretch>
                      <a:fillRect/>
                    </a:stretch>
                  </pic:blipFill>
                  <pic:spPr bwMode="auto">
                    <a:xfrm>
                      <a:off x="0" y="0"/>
                      <a:ext cx="6035040" cy="3645892"/>
                    </a:xfrm>
                    <a:prstGeom prst="rect">
                      <a:avLst/>
                    </a:prstGeom>
                    <a:noFill/>
                    <a:ln w="9525">
                      <a:noFill/>
                      <a:headEnd/>
                      <a:tailEnd/>
                    </a:ln>
                  </pic:spPr>
                </pic:pic>
              </a:graphicData>
            </a:graphic>
          </wp:inline>
        </w:drawing>
      </w:r>
    </w:p>
    <w:p w14:paraId="1511FA4B" w14:textId="2675DE95" w:rsidR="00003A2E" w:rsidRPr="003D6F2A" w:rsidRDefault="008F030F">
      <w:pPr>
        <w:ind w:firstLine="259"/>
        <w:jc w:val="both"/>
      </w:pPr>
      <w:r w:rsidRPr="003D6F2A">
        <w:t>Fig. 3. Contextual comparison of published prediction-error metrics across heterogeneous tasks. Bars reproduce the reported MAPE/MRE values for SDEnergy inference energy [13], Liao et al. training power-curve components [9], and CAL-ENERGY total training energy. Because the prediction targets, datasets, and hardware differ, the figure is descriptive and does not constitute a head-to-head ranking.</w:t>
      </w:r>
    </w:p>
    <w:p w14:paraId="6DBBCA10" w14:textId="77777777" w:rsidR="00003A2E" w:rsidRPr="003D6F2A" w:rsidRDefault="008F030F">
      <w:pPr>
        <w:pStyle w:val="Heading2"/>
        <w:spacing w:before="160" w:after="80"/>
        <w:rPr>
          <w:color w:val="auto"/>
        </w:rPr>
      </w:pPr>
      <w:bookmarkStart w:id="7" w:name="research-gap-and-paper-positioning"/>
      <w:bookmarkEnd w:id="6"/>
      <w:r w:rsidRPr="003D6F2A">
        <w:rPr>
          <w:color w:val="auto"/>
        </w:rPr>
        <w:t>2.3 Research gap and paper positioning</w:t>
      </w:r>
    </w:p>
    <w:p w14:paraId="5843B834" w14:textId="3427A2B9" w:rsidR="00003A2E" w:rsidRPr="003D6F2A" w:rsidRDefault="008F030F" w:rsidP="00AE6F0E">
      <w:pPr>
        <w:jc w:val="both"/>
      </w:pPr>
      <w:r w:rsidRPr="003D6F2A">
        <w:t>T</w:t>
      </w:r>
      <w:r w:rsidR="00AE6F0E" w:rsidRPr="003D6F2A">
        <w:t>he</w:t>
      </w:r>
      <w:r w:rsidRPr="003D6F2A">
        <w:t xml:space="preserve"> evidence reviewed in Sections 2.1–2.2 leaves four gaps that directly motivate this work: (i) predictive accuracy is commonly established within the calibration or search domain, with limited deployment-oriented assessment of whether a new request is supported by the calibration data; (ii) measurement provenance is seldom treated explicitly as a potential source of label-scale uncertainty; (iii) family-specific architectural encodings can impede transfer when operation vocabularies differ across model families; and (iv) recent cross-model evidence does not yet resolve transfer across independently collected benchmarks or unseen hardware when training budgets and measurement instruments also change [6–9,13].</w:t>
      </w:r>
    </w:p>
    <w:p w14:paraId="38FE8E6A" w14:textId="37B8DC8B" w:rsidR="00003A2E" w:rsidRPr="003D6F2A" w:rsidRDefault="008F030F" w:rsidP="00AE6F0E">
      <w:pPr>
        <w:pStyle w:val="BodyText"/>
        <w:jc w:val="both"/>
      </w:pPr>
      <w:r w:rsidRPr="003D6F2A">
        <w:t>CAL-ENERGY addresses these gaps by combining a shared feature core with masked family-specific descriptors, explicit measurement-scale sensitivity analysis, grouped interpolation tests, and leave-domain-out evaluation. CAL-GATE extends the framework from prediction to applicability assessment by testing empirical feature support before an estimate is interpreted as calibrated. The resulting predictor can serve as an energy-cost oracle for NAS or GPU-configuration optimisation, but it can also support scheduling and compute-budgeting decisions when no optimisation loop is present.</w:t>
      </w:r>
    </w:p>
    <w:p w14:paraId="18AA4516" w14:textId="77777777" w:rsidR="00003A2E" w:rsidRPr="003D6F2A" w:rsidRDefault="008F030F">
      <w:pPr>
        <w:pStyle w:val="Heading1"/>
        <w:spacing w:before="160" w:after="80"/>
        <w:rPr>
          <w:color w:val="auto"/>
        </w:rPr>
      </w:pPr>
      <w:bookmarkStart w:id="8" w:name="materials-and-methods"/>
      <w:bookmarkEnd w:id="4"/>
      <w:bookmarkEnd w:id="7"/>
      <w:r w:rsidRPr="003D6F2A">
        <w:rPr>
          <w:color w:val="auto"/>
        </w:rPr>
        <w:t>3. Materials and Methods</w:t>
      </w:r>
    </w:p>
    <w:p w14:paraId="572928E5" w14:textId="77777777" w:rsidR="00003A2E" w:rsidRPr="003D6F2A" w:rsidRDefault="008F030F">
      <w:pPr>
        <w:pStyle w:val="Heading2"/>
        <w:spacing w:before="160" w:after="80"/>
        <w:rPr>
          <w:color w:val="auto"/>
        </w:rPr>
      </w:pPr>
      <w:bookmarkStart w:id="9" w:name="problem-formulation"/>
      <w:r w:rsidRPr="003D6F2A">
        <w:rPr>
          <w:color w:val="auto"/>
        </w:rPr>
        <w:t>3.1 Problem formulation</w:t>
      </w:r>
    </w:p>
    <w:p w14:paraId="6112B31B" w14:textId="23318852" w:rsidR="00003A2E" w:rsidRPr="003D6F2A" w:rsidRDefault="008F030F">
      <w:pPr>
        <w:ind w:firstLine="259"/>
        <w:jc w:val="both"/>
      </w:pPr>
      <w:r w:rsidRPr="003D6F2A">
        <w:t>For each training run, indexed by i = 1, …, n, CAL-ENERGY represents the information available before execution using four descriptor blocks: architecture Aᵢ, dataset Dᵢ, hardware Hᵢ, and training configuration Cᵢ. These blocks are concatenated into the feature vector defined in Equation (1). Here, Aᵢ contains structural descriptors such as parameter count and depth; Dᵢ describes the training dataset; Hᵢ represents available hardware descriptors; and Cᵢ contains configuration variables such as epoch budget and batch size.</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1241879A" w14:textId="77777777">
        <w:trPr>
          <w:cantSplit/>
          <w:tblHeader/>
          <w:jc w:val="center"/>
        </w:trPr>
        <w:tc>
          <w:tcPr>
            <w:tcW w:w="792" w:type="dxa"/>
            <w:tcMar>
              <w:top w:w="0" w:type="dxa"/>
              <w:left w:w="0" w:type="dxa"/>
              <w:bottom w:w="0" w:type="dxa"/>
              <w:right w:w="0" w:type="dxa"/>
            </w:tcMar>
            <w:vAlign w:val="center"/>
          </w:tcPr>
          <w:p w14:paraId="256DEB73"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04EE700D" w14:textId="77777777" w:rsidR="00003A2E" w:rsidRPr="003D6F2A" w:rsidRDefault="008F030F">
            <w:pPr>
              <w:spacing w:before="20" w:after="0" w:line="240" w:lineRule="auto"/>
              <w:jc w:val="center"/>
            </w:pPr>
            <m:oMathPara>
              <m:oMathParaPr>
                <m:jc m:val="center"/>
              </m:oMathParaP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C</m:t>
                        </m:r>
                      </m:e>
                      <m:sub>
                        <m:r>
                          <w:rPr>
                            <w:rFonts w:ascii="Cambria Math" w:hAnsi="Cambria Math"/>
                          </w:rPr>
                          <m:t>i</m:t>
                        </m:r>
                      </m:sub>
                    </m:sSub>
                  </m:e>
                </m:d>
              </m:oMath>
            </m:oMathPara>
          </w:p>
        </w:tc>
        <w:tc>
          <w:tcPr>
            <w:tcW w:w="792" w:type="dxa"/>
            <w:tcMar>
              <w:top w:w="0" w:type="dxa"/>
              <w:left w:w="0" w:type="dxa"/>
              <w:bottom w:w="0" w:type="dxa"/>
              <w:right w:w="0" w:type="dxa"/>
            </w:tcMar>
            <w:vAlign w:val="center"/>
          </w:tcPr>
          <w:p w14:paraId="4A4D4AF5" w14:textId="77777777" w:rsidR="00003A2E" w:rsidRPr="003D6F2A" w:rsidRDefault="008F030F">
            <w:pPr>
              <w:spacing w:before="20" w:after="0" w:line="240" w:lineRule="auto"/>
              <w:jc w:val="right"/>
            </w:pPr>
            <w:r w:rsidRPr="003D6F2A">
              <w:rPr>
                <w:b/>
                <w:sz w:val="17"/>
              </w:rPr>
              <w:t>(1)</w:t>
            </w:r>
          </w:p>
        </w:tc>
      </w:tr>
    </w:tbl>
    <w:p w14:paraId="76FBD650" w14:textId="6D9D3EDA" w:rsidR="00003A2E" w:rsidRPr="003D6F2A" w:rsidRDefault="008F030F" w:rsidP="00AE6F0E">
      <w:pPr>
        <w:jc w:val="both"/>
      </w:pPr>
      <w:r w:rsidRPr="003D6F2A">
        <w:lastRenderedPageBreak/>
        <w:t>The supervised objective is to learn an estimator fθ that maps the pre-execution vector to total measured training energy, as expressed in Equation (2), where θ denotes the fitted model parameters, Eᵢ is the observed energy for run i, and Êᵢ is the corresponding prediction.</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11C04C10" w14:textId="77777777">
        <w:trPr>
          <w:cantSplit/>
          <w:tblHeader/>
          <w:jc w:val="center"/>
        </w:trPr>
        <w:tc>
          <w:tcPr>
            <w:tcW w:w="792" w:type="dxa"/>
            <w:tcMar>
              <w:top w:w="0" w:type="dxa"/>
              <w:left w:w="0" w:type="dxa"/>
              <w:bottom w:w="0" w:type="dxa"/>
              <w:right w:w="0" w:type="dxa"/>
            </w:tcMar>
            <w:vAlign w:val="center"/>
          </w:tcPr>
          <w:p w14:paraId="3659C42F"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2CC801FD" w14:textId="77777777" w:rsidR="00003A2E" w:rsidRPr="003D6F2A" w:rsidRDefault="008F030F">
            <w:pPr>
              <w:spacing w:before="20" w:after="0" w:line="240" w:lineRule="auto"/>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e>
                </m:d>
              </m:oMath>
            </m:oMathPara>
          </w:p>
        </w:tc>
        <w:tc>
          <w:tcPr>
            <w:tcW w:w="792" w:type="dxa"/>
            <w:tcMar>
              <w:top w:w="0" w:type="dxa"/>
              <w:left w:w="0" w:type="dxa"/>
              <w:bottom w:w="0" w:type="dxa"/>
              <w:right w:w="0" w:type="dxa"/>
            </w:tcMar>
            <w:vAlign w:val="center"/>
          </w:tcPr>
          <w:p w14:paraId="10010242" w14:textId="77777777" w:rsidR="00003A2E" w:rsidRPr="003D6F2A" w:rsidRDefault="008F030F">
            <w:pPr>
              <w:spacing w:before="20" w:after="0" w:line="240" w:lineRule="auto"/>
              <w:jc w:val="right"/>
            </w:pPr>
            <w:r w:rsidRPr="003D6F2A">
              <w:rPr>
                <w:b/>
                <w:sz w:val="17"/>
              </w:rPr>
              <w:t>(2)</w:t>
            </w:r>
          </w:p>
        </w:tc>
      </w:tr>
    </w:tbl>
    <w:p w14:paraId="1932AA20" w14:textId="1364D73B" w:rsidR="00003A2E" w:rsidRPr="003D6F2A" w:rsidRDefault="008F030F">
      <w:pPr>
        <w:ind w:firstLine="259"/>
        <w:jc w:val="both"/>
      </w:pPr>
      <w:r w:rsidRPr="003D6F2A">
        <w:t xml:space="preserve">To </w:t>
      </w:r>
      <w:r w:rsidRPr="00D91ACE">
        <w:rPr>
          <w:highlight w:val="cyan"/>
        </w:rPr>
        <w:t>preserve family-specific information without requiring a common layer vocabulary</w:t>
      </w:r>
      <w:r w:rsidRPr="003D6F2A">
        <w:t>, Equation (3) partitions the representation into a shared core and an auxiliary branch that is activated through the family mask m(Fᵢ). T</w:t>
      </w:r>
      <w:r w:rsidRPr="00D91ACE">
        <w:rPr>
          <w:highlight w:val="cyan"/>
        </w:rPr>
        <w:t>he Hadamard product ⊙ suppresses auxiliary variables that are undefined for the corresponding architecture family</w:t>
      </w:r>
      <w:r w:rsidRPr="003D6F2A">
        <w:t>.</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7C4DBC21" w14:textId="77777777">
        <w:trPr>
          <w:cantSplit/>
          <w:tblHeader/>
          <w:jc w:val="center"/>
        </w:trPr>
        <w:tc>
          <w:tcPr>
            <w:tcW w:w="792" w:type="dxa"/>
            <w:tcMar>
              <w:top w:w="0" w:type="dxa"/>
              <w:left w:w="0" w:type="dxa"/>
              <w:bottom w:w="0" w:type="dxa"/>
              <w:right w:w="0" w:type="dxa"/>
            </w:tcMar>
            <w:vAlign w:val="center"/>
          </w:tcPr>
          <w:p w14:paraId="47B55CD3"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13B6E445" w14:textId="77777777" w:rsidR="00003A2E" w:rsidRPr="003D6F2A" w:rsidRDefault="008F030F">
            <w:pPr>
              <w:spacing w:before="20" w:after="0" w:line="240" w:lineRule="auto"/>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x</m:t>
                        </m:r>
                      </m:e>
                    </m:acc>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m:rPr>
                            <m:sty m:val="b"/>
                          </m:rPr>
                          <w:rPr>
                            <w:rFonts w:ascii="Cambria Math" w:hAnsi="Cambria Math"/>
                          </w:rPr>
                          <m:t>x</m:t>
                        </m:r>
                      </m:e>
                      <m:sub>
                        <m:r>
                          <w:rPr>
                            <w:rFonts w:ascii="Cambria Math" w:hAnsi="Cambria Math"/>
                          </w:rPr>
                          <m:t>i</m:t>
                        </m:r>
                      </m:sub>
                      <m:sup>
                        <m:r>
                          <m:rPr>
                            <m:sty m:val="p"/>
                          </m:rPr>
                          <w:rPr>
                            <w:rFonts w:ascii="Cambria Math" w:hAnsi="Cambria Math"/>
                          </w:rPr>
                          <m:t>core</m:t>
                        </m:r>
                      </m:sup>
                    </m:sSubSup>
                    <m:r>
                      <m:rPr>
                        <m:sty m:val="p"/>
                      </m:rPr>
                      <w:rPr>
                        <w:rFonts w:ascii="Cambria Math" w:hAnsi="Cambria Math"/>
                      </w:rPr>
                      <m:t>,</m:t>
                    </m:r>
                    <m:r>
                      <w:rPr>
                        <w:rFonts w:ascii="Cambria Math" w:hAnsi="Cambria Math"/>
                      </w:rPr>
                      <m:t> </m:t>
                    </m:r>
                    <m:sSub>
                      <m:sSubPr>
                        <m:ctrlPr>
                          <w:rPr>
                            <w:rFonts w:ascii="Cambria Math" w:hAnsi="Cambria Math"/>
                          </w:rPr>
                        </m:ctrlPr>
                      </m:sSubPr>
                      <m:e>
                        <m:r>
                          <m:rPr>
                            <m:sty m:val="b"/>
                          </m:rPr>
                          <w:rPr>
                            <w:rFonts w:ascii="Cambria Math" w:hAnsi="Cambria Math"/>
                          </w:rPr>
                          <m:t>m</m:t>
                        </m:r>
                      </m:e>
                      <m:sub>
                        <m:sSub>
                          <m:sSubPr>
                            <m:ctrlPr>
                              <w:rPr>
                                <w:rFonts w:ascii="Cambria Math" w:hAnsi="Cambria Math"/>
                              </w:rPr>
                            </m:ctrlPr>
                          </m:sSubPr>
                          <m:e>
                            <m:r>
                              <w:rPr>
                                <w:rFonts w:ascii="Cambria Math" w:hAnsi="Cambria Math"/>
                              </w:rPr>
                              <m:t>F</m:t>
                            </m:r>
                          </m:e>
                          <m:sub>
                            <m:r>
                              <w:rPr>
                                <w:rFonts w:ascii="Cambria Math" w:hAnsi="Cambria Math"/>
                              </w:rPr>
                              <m:t>i</m:t>
                            </m:r>
                          </m:sub>
                        </m:sSub>
                      </m:sub>
                    </m:sSub>
                    <m:r>
                      <m:rPr>
                        <m:sty m:val="p"/>
                      </m:rPr>
                      <w:rPr>
                        <w:rFonts w:ascii="Cambria Math" w:hAnsi="Cambria Math"/>
                      </w:rPr>
                      <m:t>⊙</m:t>
                    </m:r>
                    <m:sSubSup>
                      <m:sSubSupPr>
                        <m:ctrlPr>
                          <w:rPr>
                            <w:rFonts w:ascii="Cambria Math" w:hAnsi="Cambria Math"/>
                          </w:rPr>
                        </m:ctrlPr>
                      </m:sSubSupPr>
                      <m:e>
                        <m:r>
                          <m:rPr>
                            <m:sty m:val="b"/>
                          </m:rPr>
                          <w:rPr>
                            <w:rFonts w:ascii="Cambria Math" w:hAnsi="Cambria Math"/>
                          </w:rPr>
                          <m:t>x</m:t>
                        </m:r>
                      </m:e>
                      <m:sub>
                        <m:r>
                          <w:rPr>
                            <w:rFonts w:ascii="Cambria Math" w:hAnsi="Cambria Math"/>
                          </w:rPr>
                          <m:t>i</m:t>
                        </m:r>
                      </m:sub>
                      <m:sup>
                        <m:r>
                          <m:rPr>
                            <m:sty m:val="p"/>
                          </m:rPr>
                          <w:rPr>
                            <w:rFonts w:ascii="Cambria Math" w:hAnsi="Cambria Math"/>
                          </w:rPr>
                          <m:t>aux</m:t>
                        </m:r>
                      </m:sup>
                    </m:sSubSup>
                  </m:e>
                </m:d>
              </m:oMath>
            </m:oMathPara>
          </w:p>
        </w:tc>
        <w:tc>
          <w:tcPr>
            <w:tcW w:w="792" w:type="dxa"/>
            <w:tcMar>
              <w:top w:w="0" w:type="dxa"/>
              <w:left w:w="0" w:type="dxa"/>
              <w:bottom w:w="0" w:type="dxa"/>
              <w:right w:w="0" w:type="dxa"/>
            </w:tcMar>
            <w:vAlign w:val="center"/>
          </w:tcPr>
          <w:p w14:paraId="6A5FE7D5" w14:textId="77777777" w:rsidR="00003A2E" w:rsidRPr="003D6F2A" w:rsidRDefault="008F030F">
            <w:pPr>
              <w:spacing w:before="20" w:after="0" w:line="240" w:lineRule="auto"/>
              <w:jc w:val="right"/>
            </w:pPr>
            <w:r w:rsidRPr="003D6F2A">
              <w:rPr>
                <w:b/>
                <w:sz w:val="17"/>
              </w:rPr>
              <w:t>(3)</w:t>
            </w:r>
          </w:p>
        </w:tc>
      </w:tr>
    </w:tbl>
    <w:p w14:paraId="4D373174" w14:textId="3EF760D0" w:rsidR="00003A2E" w:rsidRPr="003D6F2A" w:rsidRDefault="008F030F">
      <w:pPr>
        <w:ind w:firstLine="259"/>
        <w:jc w:val="both"/>
      </w:pPr>
      <w:r w:rsidRPr="003D6F2A">
        <w:t>Because the measured energy values span several orders of magnitude, the regression target is transformed with log1p before model fitting and mapped back to the original energy scale after prediction, as shown in Equation (4). The transformation reduces the disproportionate influence of high-energy observations while preserving positivity after inversion.</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7791172C" w14:textId="77777777">
        <w:trPr>
          <w:cantSplit/>
          <w:tblHeader/>
          <w:jc w:val="center"/>
        </w:trPr>
        <w:tc>
          <w:tcPr>
            <w:tcW w:w="792" w:type="dxa"/>
            <w:tcMar>
              <w:top w:w="0" w:type="dxa"/>
              <w:left w:w="0" w:type="dxa"/>
              <w:bottom w:w="0" w:type="dxa"/>
              <w:right w:w="0" w:type="dxa"/>
            </w:tcMar>
            <w:vAlign w:val="center"/>
          </w:tcPr>
          <w:p w14:paraId="59710588"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5FEE1CCE" w14:textId="77777777" w:rsidR="00003A2E" w:rsidRPr="003D6F2A" w:rsidRDefault="008F030F">
            <w:pPr>
              <w:spacing w:before="20" w:after="0" w:line="240" w:lineRule="auto"/>
              <w:jc w:val="center"/>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e>
                </m:d>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i</m:t>
                    </m:r>
                  </m:sub>
                </m:sSub>
                <m:r>
                  <m:rPr>
                    <m:sty m:val="p"/>
                  </m:rPr>
                  <w:rPr>
                    <w:rFonts w:ascii="Cambria Math" w:hAnsi="Cambria Math"/>
                  </w:rPr>
                  <m:t>=exp</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i</m:t>
                        </m:r>
                      </m:sub>
                    </m:sSub>
                  </m:e>
                </m:d>
                <m:r>
                  <m:rPr>
                    <m:sty m:val="p"/>
                  </m:rPr>
                  <w:rPr>
                    <w:rFonts w:ascii="Cambria Math" w:hAnsi="Cambria Math"/>
                  </w:rPr>
                  <m:t>-</m:t>
                </m:r>
                <m:r>
                  <w:rPr>
                    <w:rFonts w:ascii="Cambria Math" w:hAnsi="Cambria Math"/>
                  </w:rPr>
                  <m:t>1</m:t>
                </m:r>
              </m:oMath>
            </m:oMathPara>
          </w:p>
        </w:tc>
        <w:tc>
          <w:tcPr>
            <w:tcW w:w="792" w:type="dxa"/>
            <w:tcMar>
              <w:top w:w="0" w:type="dxa"/>
              <w:left w:w="0" w:type="dxa"/>
              <w:bottom w:w="0" w:type="dxa"/>
              <w:right w:w="0" w:type="dxa"/>
            </w:tcMar>
            <w:vAlign w:val="center"/>
          </w:tcPr>
          <w:p w14:paraId="4CD3E1FA" w14:textId="77777777" w:rsidR="00003A2E" w:rsidRPr="003D6F2A" w:rsidRDefault="008F030F">
            <w:pPr>
              <w:spacing w:before="20" w:after="0" w:line="240" w:lineRule="auto"/>
              <w:jc w:val="right"/>
            </w:pPr>
            <w:r w:rsidRPr="003D6F2A">
              <w:rPr>
                <w:b/>
                <w:sz w:val="17"/>
              </w:rPr>
              <w:t>(4)</w:t>
            </w:r>
          </w:p>
        </w:tc>
      </w:tr>
    </w:tbl>
    <w:p w14:paraId="1432EDA5" w14:textId="503EC21E" w:rsidR="00003A2E" w:rsidRPr="003D6F2A" w:rsidRDefault="008F030F">
      <w:pPr>
        <w:ind w:firstLine="259"/>
        <w:jc w:val="both"/>
      </w:pPr>
      <w:r w:rsidRPr="003D6F2A">
        <w:t>In addition to direct prediction of total energy, the study evaluates the physical factorization in Equation (5), where Pᵢ denotes average training power and Tᵢ denotes training duration. Separate regressors estimate Pᵢ and Tᵢ, and their product is compared with a direct-energy regressor under the same data split and feature representation.</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3493433F" w14:textId="77777777">
        <w:trPr>
          <w:cantSplit/>
          <w:tblHeader/>
          <w:jc w:val="center"/>
        </w:trPr>
        <w:tc>
          <w:tcPr>
            <w:tcW w:w="792" w:type="dxa"/>
            <w:tcMar>
              <w:top w:w="0" w:type="dxa"/>
              <w:left w:w="0" w:type="dxa"/>
              <w:bottom w:w="0" w:type="dxa"/>
              <w:right w:w="0" w:type="dxa"/>
            </w:tcMar>
            <w:vAlign w:val="center"/>
          </w:tcPr>
          <w:p w14:paraId="00D393C2"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4FD83186" w14:textId="77777777" w:rsidR="00003A2E" w:rsidRPr="003D6F2A" w:rsidRDefault="008F030F">
            <w:pPr>
              <w:spacing w:before="20" w:after="0" w:line="240" w:lineRule="auto"/>
              <w:jc w:val="cente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sSub>
                  <m:sSubPr>
                    <m:ctrlPr>
                      <w:rPr>
                        <w:rFonts w:ascii="Cambria Math" w:hAnsi="Cambria Math"/>
                      </w:rPr>
                    </m:ctrlPr>
                  </m:sSubPr>
                  <m:e>
                    <m:r>
                      <w:rPr>
                        <w:rFonts w:ascii="Cambria Math" w:hAnsi="Cambria Math"/>
                      </w:rPr>
                      <m:t>T</m:t>
                    </m:r>
                  </m:e>
                  <m:sub>
                    <m:r>
                      <w:rPr>
                        <w:rFonts w:ascii="Cambria Math" w:hAnsi="Cambria Math"/>
                      </w:rPr>
                      <m:t>i</m:t>
                    </m:r>
                  </m:sub>
                </m:sSub>
              </m:oMath>
            </m:oMathPara>
          </w:p>
        </w:tc>
        <w:tc>
          <w:tcPr>
            <w:tcW w:w="792" w:type="dxa"/>
            <w:tcMar>
              <w:top w:w="0" w:type="dxa"/>
              <w:left w:w="0" w:type="dxa"/>
              <w:bottom w:w="0" w:type="dxa"/>
              <w:right w:w="0" w:type="dxa"/>
            </w:tcMar>
            <w:vAlign w:val="center"/>
          </w:tcPr>
          <w:p w14:paraId="33F0B66D" w14:textId="77777777" w:rsidR="00003A2E" w:rsidRPr="003D6F2A" w:rsidRDefault="008F030F">
            <w:pPr>
              <w:spacing w:before="20" w:after="0" w:line="240" w:lineRule="auto"/>
              <w:jc w:val="right"/>
            </w:pPr>
            <w:r w:rsidRPr="003D6F2A">
              <w:rPr>
                <w:b/>
                <w:sz w:val="17"/>
              </w:rPr>
              <w:t>(5)</w:t>
            </w:r>
          </w:p>
        </w:tc>
      </w:tr>
    </w:tbl>
    <w:p w14:paraId="1087A4F3" w14:textId="006F52C8" w:rsidR="00003A2E" w:rsidRPr="003D6F2A" w:rsidRDefault="008F030F">
      <w:pPr>
        <w:ind w:firstLine="259"/>
        <w:jc w:val="both"/>
      </w:pPr>
      <w:r w:rsidRPr="003D6F2A">
        <w:t>Fig. 1 integrates Equations (1)</w:t>
      </w:r>
      <w:proofErr w:type="gramStart"/>
      <w:r w:rsidRPr="003D6F2A">
        <w:t>–(</w:t>
      </w:r>
      <w:proofErr w:type="gramEnd"/>
      <w:r w:rsidRPr="003D6F2A">
        <w:t>5) into the complete CAL-ENERGY workflow, linking feature construction, model fitting, measurement-scale analysis, and domain-shift evaluation.</w:t>
      </w:r>
    </w:p>
    <w:p w14:paraId="3ECFC8AE" w14:textId="7FEA4A32" w:rsidR="00003A2E" w:rsidRPr="003D6F2A" w:rsidRDefault="005A4DFA">
      <w:pPr>
        <w:jc w:val="center"/>
      </w:pPr>
      <w:r>
        <w:rPr>
          <w:noProof/>
        </w:rPr>
        <w:drawing>
          <wp:inline distT="0" distB="0" distL="0" distR="0" wp14:anchorId="5A2D4A30" wp14:editId="1C3D12D2">
            <wp:extent cx="6011307" cy="2966400"/>
            <wp:effectExtent l="0" t="0" r="0" b="5715"/>
            <wp:docPr id="1281673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673799" name="Picture 1281673799"/>
                    <pic:cNvPicPr/>
                  </pic:nvPicPr>
                  <pic:blipFill rotWithShape="1">
                    <a:blip r:embed="rId9"/>
                    <a:srcRect l="2511" t="12991" r="2187" b="3358"/>
                    <a:stretch>
                      <a:fillRect/>
                    </a:stretch>
                  </pic:blipFill>
                  <pic:spPr bwMode="auto">
                    <a:xfrm>
                      <a:off x="0" y="0"/>
                      <a:ext cx="6012953" cy="2967212"/>
                    </a:xfrm>
                    <a:prstGeom prst="rect">
                      <a:avLst/>
                    </a:prstGeom>
                    <a:ln>
                      <a:noFill/>
                    </a:ln>
                    <a:extLst>
                      <a:ext uri="{53640926-AAD7-44D8-BBD7-CCE9431645EC}">
                        <a14:shadowObscured xmlns:a14="http://schemas.microsoft.com/office/drawing/2010/main"/>
                      </a:ext>
                    </a:extLst>
                  </pic:spPr>
                </pic:pic>
              </a:graphicData>
            </a:graphic>
          </wp:inline>
        </w:drawing>
      </w:r>
    </w:p>
    <w:p w14:paraId="77B3BF56" w14:textId="77777777" w:rsidR="008C7A74" w:rsidRDefault="008F030F">
      <w:pPr>
        <w:ind w:firstLine="259"/>
        <w:jc w:val="both"/>
      </w:pPr>
      <w:r w:rsidRPr="003D6F2A">
        <w:t xml:space="preserve">Fig. 1. CAL-ENERGY workflow from pre-execution metadata to applicability-aware energy prediction. </w:t>
      </w:r>
    </w:p>
    <w:p w14:paraId="4452A336" w14:textId="569D9D98" w:rsidR="00003A2E" w:rsidRPr="003D6F2A" w:rsidRDefault="008F030F">
      <w:pPr>
        <w:ind w:firstLine="259"/>
        <w:jc w:val="both"/>
      </w:pPr>
      <w:r w:rsidRPr="003D6F2A">
        <w:t>Shared and family-specific descriptors are harmonized, modelled using either direct energy regression or the power–duration decomposition, assessed under measurement-scale sensitivity, and passed to CAL-GATE before deployment. Evaluation separates within-domain interpolation from architecture- and hardware-domain shift.</w:t>
      </w:r>
    </w:p>
    <w:p w14:paraId="314C2CF4" w14:textId="77777777" w:rsidR="00003A2E" w:rsidRPr="003D6F2A" w:rsidRDefault="008F030F">
      <w:pPr>
        <w:pStyle w:val="Heading2"/>
        <w:spacing w:before="160" w:after="80"/>
        <w:rPr>
          <w:color w:val="auto"/>
        </w:rPr>
      </w:pPr>
      <w:bookmarkStart w:id="10" w:name="datasets-and-measurement-provenance"/>
      <w:bookmarkEnd w:id="9"/>
      <w:r w:rsidRPr="003D6F2A">
        <w:rPr>
          <w:color w:val="auto"/>
        </w:rPr>
        <w:t>3.2 Datasets and measurement provenance</w:t>
      </w:r>
    </w:p>
    <w:p w14:paraId="52655A6A" w14:textId="4925F94C" w:rsidR="00003A2E" w:rsidRPr="003D6F2A" w:rsidRDefault="008F030F">
      <w:pPr>
        <w:ind w:firstLine="259"/>
        <w:jc w:val="both"/>
      </w:pPr>
      <w:r w:rsidRPr="003D6F2A">
        <w:t>To evaluate both within-domain accuracy and domain shift, CAL-ENERGY uses two public benchmarks that differ in architecture family and measurement provenance. BUTTER-E contributes 37,055 MLP training runs with matched node-level watt-meter measurements [14]. EC-NAS contributes 2,532 unique CNN architectures with direct training-energy measurements for the principal within-family experiments and a 4V benchmark containing 91 shared architectures per GPU for hardware-transfer analysis [6]. Surrogate-only entries from the wider EC-NAS search space are excluded from all ground-truth evaluations so that measured and model-generated targets are not mixed [6].</w:t>
      </w:r>
    </w:p>
    <w:p w14:paraId="154A832E" w14:textId="01DEE5B3" w:rsidR="00003A2E" w:rsidRPr="003D6F2A" w:rsidRDefault="008F030F">
      <w:pPr>
        <w:pStyle w:val="BodyText"/>
        <w:ind w:firstLine="259"/>
        <w:jc w:val="both"/>
      </w:pPr>
      <w:r w:rsidRPr="003D6F2A">
        <w:lastRenderedPageBreak/>
        <w:t>Table 3 summarizes these datasets. Their complementarity enables MLP–CNN and hardware-domain analyses, but it also creates an important confound: architecture family and measurement instrument vary together in the primary cross-family comparison.</w:t>
      </w:r>
    </w:p>
    <w:p w14:paraId="66973A0D" w14:textId="77777777" w:rsidR="00003A2E" w:rsidRPr="003D6F2A" w:rsidRDefault="008F030F">
      <w:pPr>
        <w:pStyle w:val="BodyText"/>
        <w:keepNext/>
        <w:spacing w:before="100" w:after="60"/>
      </w:pPr>
      <w:r w:rsidRPr="003D6F2A">
        <w:rPr>
          <w:i/>
          <w:sz w:val="18"/>
        </w:rPr>
        <w:t>Table 3. Dataset characteristics and measurement provenance.</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2758"/>
        <w:gridCol w:w="3546"/>
        <w:gridCol w:w="3546"/>
      </w:tblGrid>
      <w:tr w:rsidR="00003A2E" w:rsidRPr="003D6F2A" w14:paraId="74D82163" w14:textId="77777777">
        <w:trPr>
          <w:cantSplit/>
          <w:tblHeader/>
          <w:jc w:val="center"/>
        </w:trPr>
        <w:tc>
          <w:tcPr>
            <w:tcW w:w="2758" w:type="dxa"/>
            <w:tcMar>
              <w:top w:w="70" w:type="dxa"/>
              <w:left w:w="70" w:type="dxa"/>
              <w:bottom w:w="70" w:type="dxa"/>
              <w:right w:w="70" w:type="dxa"/>
            </w:tcMar>
            <w:vAlign w:val="center"/>
          </w:tcPr>
          <w:p w14:paraId="529AE35B" w14:textId="77777777" w:rsidR="00003A2E" w:rsidRPr="003D6F2A" w:rsidRDefault="008F030F">
            <w:pPr>
              <w:spacing w:after="0" w:line="240" w:lineRule="auto"/>
            </w:pPr>
            <w:r w:rsidRPr="003D6F2A">
              <w:rPr>
                <w:b/>
                <w:sz w:val="17"/>
              </w:rPr>
              <w:t>Property</w:t>
            </w:r>
          </w:p>
        </w:tc>
        <w:tc>
          <w:tcPr>
            <w:tcW w:w="3546" w:type="dxa"/>
            <w:tcMar>
              <w:top w:w="70" w:type="dxa"/>
              <w:left w:w="70" w:type="dxa"/>
              <w:bottom w:w="70" w:type="dxa"/>
              <w:right w:w="70" w:type="dxa"/>
            </w:tcMar>
            <w:vAlign w:val="center"/>
          </w:tcPr>
          <w:p w14:paraId="1B1103B6" w14:textId="77777777" w:rsidR="00003A2E" w:rsidRPr="003D6F2A" w:rsidRDefault="008F030F">
            <w:pPr>
              <w:spacing w:after="0" w:line="240" w:lineRule="auto"/>
            </w:pPr>
            <w:r w:rsidRPr="003D6F2A">
              <w:rPr>
                <w:b/>
                <w:sz w:val="17"/>
              </w:rPr>
              <w:t>BUTTER-E</w:t>
            </w:r>
          </w:p>
        </w:tc>
        <w:tc>
          <w:tcPr>
            <w:tcW w:w="3546" w:type="dxa"/>
            <w:tcMar>
              <w:top w:w="70" w:type="dxa"/>
              <w:left w:w="70" w:type="dxa"/>
              <w:bottom w:w="70" w:type="dxa"/>
              <w:right w:w="70" w:type="dxa"/>
            </w:tcMar>
            <w:vAlign w:val="center"/>
          </w:tcPr>
          <w:p w14:paraId="76C814F0" w14:textId="77777777" w:rsidR="00003A2E" w:rsidRPr="003D6F2A" w:rsidRDefault="008F030F">
            <w:pPr>
              <w:spacing w:after="0" w:line="240" w:lineRule="auto"/>
            </w:pPr>
            <w:r w:rsidRPr="003D6F2A">
              <w:rPr>
                <w:b/>
                <w:sz w:val="17"/>
              </w:rPr>
              <w:t>EC-NAS</w:t>
            </w:r>
          </w:p>
        </w:tc>
      </w:tr>
      <w:tr w:rsidR="00003A2E" w:rsidRPr="003D6F2A" w14:paraId="75848430" w14:textId="77777777">
        <w:trPr>
          <w:cantSplit/>
          <w:jc w:val="center"/>
        </w:trPr>
        <w:tc>
          <w:tcPr>
            <w:tcW w:w="2758" w:type="dxa"/>
            <w:tcMar>
              <w:top w:w="70" w:type="dxa"/>
              <w:left w:w="70" w:type="dxa"/>
              <w:bottom w:w="70" w:type="dxa"/>
              <w:right w:w="70" w:type="dxa"/>
            </w:tcMar>
            <w:vAlign w:val="center"/>
          </w:tcPr>
          <w:p w14:paraId="2285C9E1" w14:textId="77777777" w:rsidR="00003A2E" w:rsidRPr="003D6F2A" w:rsidRDefault="008F030F">
            <w:pPr>
              <w:spacing w:after="0" w:line="240" w:lineRule="auto"/>
            </w:pPr>
            <w:r w:rsidRPr="003D6F2A">
              <w:rPr>
                <w:sz w:val="17"/>
              </w:rPr>
              <w:t>Architecture family</w:t>
            </w:r>
          </w:p>
        </w:tc>
        <w:tc>
          <w:tcPr>
            <w:tcW w:w="3546" w:type="dxa"/>
            <w:tcMar>
              <w:top w:w="70" w:type="dxa"/>
              <w:left w:w="70" w:type="dxa"/>
              <w:bottom w:w="70" w:type="dxa"/>
              <w:right w:w="70" w:type="dxa"/>
            </w:tcMar>
            <w:vAlign w:val="center"/>
          </w:tcPr>
          <w:p w14:paraId="019E7A69" w14:textId="77777777" w:rsidR="00003A2E" w:rsidRPr="003D6F2A" w:rsidRDefault="008F030F">
            <w:pPr>
              <w:spacing w:after="0" w:line="240" w:lineRule="auto"/>
            </w:pPr>
            <w:r w:rsidRPr="003D6F2A">
              <w:rPr>
                <w:sz w:val="17"/>
              </w:rPr>
              <w:t>Fully connected MLPs</w:t>
            </w:r>
          </w:p>
        </w:tc>
        <w:tc>
          <w:tcPr>
            <w:tcW w:w="3546" w:type="dxa"/>
            <w:tcMar>
              <w:top w:w="70" w:type="dxa"/>
              <w:left w:w="70" w:type="dxa"/>
              <w:bottom w:w="70" w:type="dxa"/>
              <w:right w:w="70" w:type="dxa"/>
            </w:tcMar>
            <w:vAlign w:val="center"/>
          </w:tcPr>
          <w:p w14:paraId="37CAAE11" w14:textId="77777777" w:rsidR="00003A2E" w:rsidRPr="003D6F2A" w:rsidRDefault="008F030F">
            <w:pPr>
              <w:spacing w:after="0" w:line="240" w:lineRule="auto"/>
            </w:pPr>
            <w:r w:rsidRPr="003D6F2A">
              <w:rPr>
                <w:sz w:val="17"/>
              </w:rPr>
              <w:t>CNNs from NAS-Bench-101</w:t>
            </w:r>
          </w:p>
        </w:tc>
      </w:tr>
      <w:tr w:rsidR="00003A2E" w:rsidRPr="003D6F2A" w14:paraId="79F6FB67" w14:textId="77777777">
        <w:trPr>
          <w:cantSplit/>
          <w:jc w:val="center"/>
        </w:trPr>
        <w:tc>
          <w:tcPr>
            <w:tcW w:w="2758" w:type="dxa"/>
            <w:tcMar>
              <w:top w:w="70" w:type="dxa"/>
              <w:left w:w="70" w:type="dxa"/>
              <w:bottom w:w="70" w:type="dxa"/>
              <w:right w:w="70" w:type="dxa"/>
            </w:tcMar>
            <w:vAlign w:val="center"/>
          </w:tcPr>
          <w:p w14:paraId="77D00BB6" w14:textId="77777777" w:rsidR="00003A2E" w:rsidRPr="003D6F2A" w:rsidRDefault="008F030F">
            <w:pPr>
              <w:spacing w:after="0" w:line="240" w:lineRule="auto"/>
            </w:pPr>
            <w:r w:rsidRPr="003D6F2A">
              <w:rPr>
                <w:sz w:val="17"/>
              </w:rPr>
              <w:t>Primary measured sample</w:t>
            </w:r>
          </w:p>
        </w:tc>
        <w:tc>
          <w:tcPr>
            <w:tcW w:w="3546" w:type="dxa"/>
            <w:tcMar>
              <w:top w:w="70" w:type="dxa"/>
              <w:left w:w="70" w:type="dxa"/>
              <w:bottom w:w="70" w:type="dxa"/>
              <w:right w:w="70" w:type="dxa"/>
            </w:tcMar>
            <w:vAlign w:val="center"/>
          </w:tcPr>
          <w:p w14:paraId="035E4313" w14:textId="77777777" w:rsidR="00003A2E" w:rsidRPr="003D6F2A" w:rsidRDefault="008F030F">
            <w:pPr>
              <w:spacing w:after="0" w:line="240" w:lineRule="auto"/>
            </w:pPr>
            <w:r w:rsidRPr="003D6F2A">
              <w:rPr>
                <w:sz w:val="17"/>
              </w:rPr>
              <w:t>37,055 runs</w:t>
            </w:r>
          </w:p>
        </w:tc>
        <w:tc>
          <w:tcPr>
            <w:tcW w:w="3546" w:type="dxa"/>
            <w:tcMar>
              <w:top w:w="70" w:type="dxa"/>
              <w:left w:w="70" w:type="dxa"/>
              <w:bottom w:w="70" w:type="dxa"/>
              <w:right w:w="70" w:type="dxa"/>
            </w:tcMar>
            <w:vAlign w:val="center"/>
          </w:tcPr>
          <w:p w14:paraId="523FF06A" w14:textId="77777777" w:rsidR="00003A2E" w:rsidRPr="003D6F2A" w:rsidRDefault="008F030F">
            <w:pPr>
              <w:spacing w:after="0" w:line="240" w:lineRule="auto"/>
            </w:pPr>
            <w:r w:rsidRPr="003D6F2A">
              <w:rPr>
                <w:sz w:val="17"/>
              </w:rPr>
              <w:t>2,532 unique directly measured architectures</w:t>
            </w:r>
          </w:p>
        </w:tc>
      </w:tr>
      <w:tr w:rsidR="00003A2E" w:rsidRPr="003D6F2A" w14:paraId="3E32956B" w14:textId="77777777">
        <w:trPr>
          <w:cantSplit/>
          <w:jc w:val="center"/>
        </w:trPr>
        <w:tc>
          <w:tcPr>
            <w:tcW w:w="2758" w:type="dxa"/>
            <w:tcMar>
              <w:top w:w="70" w:type="dxa"/>
              <w:left w:w="70" w:type="dxa"/>
              <w:bottom w:w="70" w:type="dxa"/>
              <w:right w:w="70" w:type="dxa"/>
            </w:tcMar>
            <w:vAlign w:val="center"/>
          </w:tcPr>
          <w:p w14:paraId="1317AA03" w14:textId="77777777" w:rsidR="00003A2E" w:rsidRPr="003D6F2A" w:rsidRDefault="008F030F">
            <w:pPr>
              <w:spacing w:after="0" w:line="240" w:lineRule="auto"/>
            </w:pPr>
            <w:r w:rsidRPr="003D6F2A">
              <w:rPr>
                <w:sz w:val="17"/>
              </w:rPr>
              <w:t>Energy measurement</w:t>
            </w:r>
          </w:p>
        </w:tc>
        <w:tc>
          <w:tcPr>
            <w:tcW w:w="3546" w:type="dxa"/>
            <w:tcMar>
              <w:top w:w="70" w:type="dxa"/>
              <w:left w:w="70" w:type="dxa"/>
              <w:bottom w:w="70" w:type="dxa"/>
              <w:right w:w="70" w:type="dxa"/>
            </w:tcMar>
            <w:vAlign w:val="center"/>
          </w:tcPr>
          <w:p w14:paraId="0DE1F7DB" w14:textId="77777777" w:rsidR="00003A2E" w:rsidRPr="003D6F2A" w:rsidRDefault="008F030F">
            <w:pPr>
              <w:spacing w:after="0" w:line="240" w:lineRule="auto"/>
            </w:pPr>
            <w:r w:rsidRPr="003D6F2A">
              <w:rPr>
                <w:sz w:val="17"/>
              </w:rPr>
              <w:t>Node-level watt meter</w:t>
            </w:r>
          </w:p>
        </w:tc>
        <w:tc>
          <w:tcPr>
            <w:tcW w:w="3546" w:type="dxa"/>
            <w:tcMar>
              <w:top w:w="70" w:type="dxa"/>
              <w:left w:w="70" w:type="dxa"/>
              <w:bottom w:w="70" w:type="dxa"/>
              <w:right w:w="70" w:type="dxa"/>
            </w:tcMar>
            <w:vAlign w:val="center"/>
          </w:tcPr>
          <w:p w14:paraId="30EE39F7" w14:textId="77777777" w:rsidR="00003A2E" w:rsidRPr="003D6F2A" w:rsidRDefault="008F030F">
            <w:pPr>
              <w:spacing w:after="0" w:line="240" w:lineRule="auto"/>
            </w:pPr>
            <w:r w:rsidRPr="003D6F2A">
              <w:rPr>
                <w:sz w:val="17"/>
              </w:rPr>
              <w:t>Carbontracker-based software measurement</w:t>
            </w:r>
          </w:p>
        </w:tc>
      </w:tr>
      <w:tr w:rsidR="00003A2E" w:rsidRPr="003D6F2A" w14:paraId="07B6ADEB" w14:textId="77777777">
        <w:trPr>
          <w:cantSplit/>
          <w:jc w:val="center"/>
        </w:trPr>
        <w:tc>
          <w:tcPr>
            <w:tcW w:w="2758" w:type="dxa"/>
            <w:tcMar>
              <w:top w:w="70" w:type="dxa"/>
              <w:left w:w="70" w:type="dxa"/>
              <w:bottom w:w="70" w:type="dxa"/>
              <w:right w:w="70" w:type="dxa"/>
            </w:tcMar>
            <w:vAlign w:val="center"/>
          </w:tcPr>
          <w:p w14:paraId="359AF7CC" w14:textId="77777777" w:rsidR="00003A2E" w:rsidRPr="003D6F2A" w:rsidRDefault="008F030F">
            <w:pPr>
              <w:spacing w:after="0" w:line="240" w:lineRule="auto"/>
            </w:pPr>
            <w:r w:rsidRPr="003D6F2A">
              <w:rPr>
                <w:sz w:val="17"/>
              </w:rPr>
              <w:t>Training budget</w:t>
            </w:r>
          </w:p>
        </w:tc>
        <w:tc>
          <w:tcPr>
            <w:tcW w:w="3546" w:type="dxa"/>
            <w:tcMar>
              <w:top w:w="70" w:type="dxa"/>
              <w:left w:w="70" w:type="dxa"/>
              <w:bottom w:w="70" w:type="dxa"/>
              <w:right w:w="70" w:type="dxa"/>
            </w:tcMar>
            <w:vAlign w:val="center"/>
          </w:tcPr>
          <w:p w14:paraId="1521235B" w14:textId="77777777" w:rsidR="00003A2E" w:rsidRPr="003D6F2A" w:rsidRDefault="008F030F">
            <w:pPr>
              <w:spacing w:after="0" w:line="240" w:lineRule="auto"/>
            </w:pPr>
            <w:r w:rsidRPr="003D6F2A">
              <w:rPr>
                <w:sz w:val="17"/>
              </w:rPr>
              <w:t>3,000 epochs in measured subset</w:t>
            </w:r>
          </w:p>
        </w:tc>
        <w:tc>
          <w:tcPr>
            <w:tcW w:w="3546" w:type="dxa"/>
            <w:tcMar>
              <w:top w:w="70" w:type="dxa"/>
              <w:left w:w="70" w:type="dxa"/>
              <w:bottom w:w="70" w:type="dxa"/>
              <w:right w:w="70" w:type="dxa"/>
            </w:tcMar>
            <w:vAlign w:val="center"/>
          </w:tcPr>
          <w:p w14:paraId="33561028" w14:textId="77777777" w:rsidR="00003A2E" w:rsidRPr="003D6F2A" w:rsidRDefault="008F030F">
            <w:pPr>
              <w:spacing w:after="0" w:line="240" w:lineRule="auto"/>
            </w:pPr>
            <w:r w:rsidRPr="003D6F2A">
              <w:rPr>
                <w:sz w:val="17"/>
              </w:rPr>
              <w:t>4 epochs in primary direct-measurement subset</w:t>
            </w:r>
          </w:p>
        </w:tc>
      </w:tr>
      <w:tr w:rsidR="00003A2E" w:rsidRPr="003D6F2A" w14:paraId="78103E8F" w14:textId="77777777">
        <w:trPr>
          <w:cantSplit/>
          <w:jc w:val="center"/>
        </w:trPr>
        <w:tc>
          <w:tcPr>
            <w:tcW w:w="2758" w:type="dxa"/>
            <w:tcMar>
              <w:top w:w="70" w:type="dxa"/>
              <w:left w:w="70" w:type="dxa"/>
              <w:bottom w:w="70" w:type="dxa"/>
              <w:right w:w="70" w:type="dxa"/>
            </w:tcMar>
            <w:vAlign w:val="center"/>
          </w:tcPr>
          <w:p w14:paraId="063ACC9E" w14:textId="77777777" w:rsidR="00003A2E" w:rsidRPr="003D6F2A" w:rsidRDefault="008F030F">
            <w:pPr>
              <w:spacing w:after="0" w:line="240" w:lineRule="auto"/>
            </w:pPr>
            <w:r w:rsidRPr="003D6F2A">
              <w:rPr>
                <w:sz w:val="17"/>
              </w:rPr>
              <w:t>Primary hardware</w:t>
            </w:r>
          </w:p>
        </w:tc>
        <w:tc>
          <w:tcPr>
            <w:tcW w:w="3546" w:type="dxa"/>
            <w:tcMar>
              <w:top w:w="70" w:type="dxa"/>
              <w:left w:w="70" w:type="dxa"/>
              <w:bottom w:w="70" w:type="dxa"/>
              <w:right w:w="70" w:type="dxa"/>
            </w:tcMar>
            <w:vAlign w:val="center"/>
          </w:tcPr>
          <w:p w14:paraId="18C87E60" w14:textId="77777777" w:rsidR="00003A2E" w:rsidRPr="003D6F2A" w:rsidRDefault="008F030F">
            <w:pPr>
              <w:spacing w:after="0" w:line="240" w:lineRule="auto"/>
            </w:pPr>
            <w:r w:rsidRPr="003D6F2A">
              <w:rPr>
                <w:sz w:val="17"/>
              </w:rPr>
              <w:t>HPC nodes; CPU/GPU metadata</w:t>
            </w:r>
          </w:p>
        </w:tc>
        <w:tc>
          <w:tcPr>
            <w:tcW w:w="3546" w:type="dxa"/>
            <w:tcMar>
              <w:top w:w="70" w:type="dxa"/>
              <w:left w:w="70" w:type="dxa"/>
              <w:bottom w:w="70" w:type="dxa"/>
              <w:right w:w="70" w:type="dxa"/>
            </w:tcMar>
            <w:vAlign w:val="center"/>
          </w:tcPr>
          <w:p w14:paraId="5EA4EC75" w14:textId="77777777" w:rsidR="00003A2E" w:rsidRPr="003D6F2A" w:rsidRDefault="008F030F">
            <w:pPr>
              <w:spacing w:after="0" w:line="240" w:lineRule="auto"/>
            </w:pPr>
            <w:r w:rsidRPr="003D6F2A">
              <w:rPr>
                <w:sz w:val="17"/>
              </w:rPr>
              <w:t>Quadro RTX 6000</w:t>
            </w:r>
          </w:p>
        </w:tc>
      </w:tr>
      <w:tr w:rsidR="00003A2E" w:rsidRPr="003D6F2A" w14:paraId="7ADC3D35" w14:textId="77777777">
        <w:trPr>
          <w:cantSplit/>
          <w:jc w:val="center"/>
        </w:trPr>
        <w:tc>
          <w:tcPr>
            <w:tcW w:w="2758" w:type="dxa"/>
            <w:tcMar>
              <w:top w:w="70" w:type="dxa"/>
              <w:left w:w="70" w:type="dxa"/>
              <w:bottom w:w="70" w:type="dxa"/>
              <w:right w:w="70" w:type="dxa"/>
            </w:tcMar>
            <w:vAlign w:val="center"/>
          </w:tcPr>
          <w:p w14:paraId="223CF008" w14:textId="77777777" w:rsidR="00003A2E" w:rsidRPr="003D6F2A" w:rsidRDefault="008F030F">
            <w:pPr>
              <w:spacing w:after="0" w:line="240" w:lineRule="auto"/>
            </w:pPr>
            <w:r w:rsidRPr="003D6F2A">
              <w:rPr>
                <w:sz w:val="17"/>
              </w:rPr>
              <w:t>Domain-shift resource</w:t>
            </w:r>
          </w:p>
        </w:tc>
        <w:tc>
          <w:tcPr>
            <w:tcW w:w="3546" w:type="dxa"/>
            <w:tcMar>
              <w:top w:w="70" w:type="dxa"/>
              <w:left w:w="70" w:type="dxa"/>
              <w:bottom w:w="70" w:type="dxa"/>
              <w:right w:w="70" w:type="dxa"/>
            </w:tcMar>
            <w:vAlign w:val="center"/>
          </w:tcPr>
          <w:p w14:paraId="16D134F5" w14:textId="77777777" w:rsidR="00003A2E" w:rsidRPr="003D6F2A" w:rsidRDefault="008F030F">
            <w:pPr>
              <w:spacing w:after="0" w:line="240" w:lineRule="auto"/>
            </w:pPr>
            <w:r w:rsidRPr="003D6F2A">
              <w:rPr>
                <w:sz w:val="17"/>
              </w:rPr>
              <w:t>12 task datasets</w:t>
            </w:r>
          </w:p>
        </w:tc>
        <w:tc>
          <w:tcPr>
            <w:tcW w:w="3546" w:type="dxa"/>
            <w:tcMar>
              <w:top w:w="70" w:type="dxa"/>
              <w:left w:w="70" w:type="dxa"/>
              <w:bottom w:w="70" w:type="dxa"/>
              <w:right w:w="70" w:type="dxa"/>
            </w:tcMar>
            <w:vAlign w:val="center"/>
          </w:tcPr>
          <w:p w14:paraId="72E94A81" w14:textId="77777777" w:rsidR="00003A2E" w:rsidRPr="003D6F2A" w:rsidRDefault="008F030F">
            <w:pPr>
              <w:spacing w:after="0" w:line="240" w:lineRule="auto"/>
            </w:pPr>
            <w:r w:rsidRPr="003D6F2A">
              <w:rPr>
                <w:sz w:val="17"/>
              </w:rPr>
              <w:t>91 shared architectures on RTX 6000, RTX 3060, RTX 3090 and Titan Xp</w:t>
            </w:r>
          </w:p>
        </w:tc>
      </w:tr>
      <w:tr w:rsidR="00003A2E" w:rsidRPr="003D6F2A" w14:paraId="1BFFB0CD" w14:textId="77777777">
        <w:trPr>
          <w:cantSplit/>
          <w:jc w:val="center"/>
        </w:trPr>
        <w:tc>
          <w:tcPr>
            <w:tcW w:w="2758" w:type="dxa"/>
            <w:tcMar>
              <w:top w:w="70" w:type="dxa"/>
              <w:left w:w="70" w:type="dxa"/>
              <w:bottom w:w="70" w:type="dxa"/>
              <w:right w:w="70" w:type="dxa"/>
            </w:tcMar>
            <w:vAlign w:val="center"/>
          </w:tcPr>
          <w:p w14:paraId="6E250E51" w14:textId="77777777" w:rsidR="00003A2E" w:rsidRPr="003D6F2A" w:rsidRDefault="008F030F">
            <w:pPr>
              <w:spacing w:after="0" w:line="240" w:lineRule="auto"/>
            </w:pPr>
            <w:r w:rsidRPr="003D6F2A">
              <w:rPr>
                <w:sz w:val="17"/>
              </w:rPr>
              <w:t>Role in study</w:t>
            </w:r>
          </w:p>
        </w:tc>
        <w:tc>
          <w:tcPr>
            <w:tcW w:w="3546" w:type="dxa"/>
            <w:tcMar>
              <w:top w:w="70" w:type="dxa"/>
              <w:left w:w="70" w:type="dxa"/>
              <w:bottom w:w="70" w:type="dxa"/>
              <w:right w:w="70" w:type="dxa"/>
            </w:tcMar>
            <w:vAlign w:val="center"/>
          </w:tcPr>
          <w:p w14:paraId="1EA32134" w14:textId="77777777" w:rsidR="00003A2E" w:rsidRPr="003D6F2A" w:rsidRDefault="008F030F">
            <w:pPr>
              <w:spacing w:after="0" w:line="240" w:lineRule="auto"/>
            </w:pPr>
            <w:r w:rsidRPr="003D6F2A">
              <w:rPr>
                <w:sz w:val="17"/>
              </w:rPr>
              <w:t>Within-family + leave-dataset-out</w:t>
            </w:r>
          </w:p>
        </w:tc>
        <w:tc>
          <w:tcPr>
            <w:tcW w:w="3546" w:type="dxa"/>
            <w:tcMar>
              <w:top w:w="70" w:type="dxa"/>
              <w:left w:w="70" w:type="dxa"/>
              <w:bottom w:w="70" w:type="dxa"/>
              <w:right w:w="70" w:type="dxa"/>
            </w:tcMar>
            <w:vAlign w:val="center"/>
          </w:tcPr>
          <w:p w14:paraId="733D9164" w14:textId="77777777" w:rsidR="00003A2E" w:rsidRPr="003D6F2A" w:rsidRDefault="008F030F">
            <w:pPr>
              <w:spacing w:after="0" w:line="240" w:lineRule="auto"/>
            </w:pPr>
            <w:r w:rsidRPr="003D6F2A">
              <w:rPr>
                <w:sz w:val="17"/>
              </w:rPr>
              <w:t>Within-family + held-out-GPU</w:t>
            </w:r>
          </w:p>
        </w:tc>
      </w:tr>
    </w:tbl>
    <w:p w14:paraId="3B2E6B89" w14:textId="77777777" w:rsidR="00003A2E" w:rsidRPr="003D6F2A" w:rsidRDefault="008F030F">
      <w:pPr>
        <w:pStyle w:val="Heading2"/>
        <w:spacing w:before="160" w:after="80"/>
        <w:rPr>
          <w:color w:val="auto"/>
        </w:rPr>
      </w:pPr>
      <w:bookmarkStart w:id="11" w:name="feature-representation"/>
      <w:bookmarkEnd w:id="10"/>
      <w:r w:rsidRPr="003D6F2A">
        <w:rPr>
          <w:color w:val="auto"/>
        </w:rPr>
        <w:t>3.3 Feature representation</w:t>
      </w:r>
    </w:p>
    <w:p w14:paraId="38E9B458" w14:textId="77777777" w:rsidR="00AE6F0E" w:rsidRPr="003D6F2A" w:rsidRDefault="008F030F" w:rsidP="00AE6F0E">
      <w:pPr>
        <w:ind w:firstLine="259"/>
        <w:jc w:val="both"/>
      </w:pPr>
      <w:r w:rsidRPr="003D6F2A">
        <w:t>To separate descriptors that can transfer across model families from those that are intrinsically family-specific, the input representation is partitioned into a shared core and masked auxiliary branches. The shared core contains parameter count, network depth, epoch budget, and batch size, each of which has the same interpretation for the MLP and CNN benchmarks. The auxiliary branches retain additional workload or structural information only where the corresponding semantics are well defined.</w:t>
      </w:r>
    </w:p>
    <w:p w14:paraId="79A02EEC" w14:textId="67656BE9" w:rsidR="00003A2E" w:rsidRPr="003D6F2A" w:rsidRDefault="008F030F" w:rsidP="00AE6F0E">
      <w:pPr>
        <w:ind w:firstLine="259"/>
        <w:jc w:val="both"/>
      </w:pPr>
      <w:r w:rsidRPr="003D6F2A">
        <w:t xml:space="preserve">Table 4 details the final feature groups. For BUTTER-E, dataset descriptors are included because the measured runs share a fixed 3,000-epoch budget; consequently, </w:t>
      </w:r>
      <w:r w:rsidRPr="005739AB">
        <w:rPr>
          <w:highlight w:val="cyan"/>
        </w:rPr>
        <w:t>the number of training observations directly affects the amount of data processed across the run.</w:t>
      </w:r>
      <w:r w:rsidRPr="003D6F2A">
        <w:t xml:space="preserve"> For EC-NAS, operation counts describe cell composition beyond what parameter count alone captures.</w:t>
      </w:r>
    </w:p>
    <w:p w14:paraId="1135099A" w14:textId="77777777" w:rsidR="00003A2E" w:rsidRPr="003D6F2A" w:rsidRDefault="008F030F">
      <w:pPr>
        <w:pStyle w:val="BodyText"/>
        <w:keepNext/>
        <w:spacing w:before="100" w:after="60"/>
      </w:pPr>
      <w:r w:rsidRPr="003D6F2A">
        <w:rPr>
          <w:i/>
          <w:sz w:val="18"/>
        </w:rPr>
        <w:t>Table 4. CAL-ENERGY feature groups.</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2758"/>
        <w:gridCol w:w="3546"/>
        <w:gridCol w:w="3546"/>
      </w:tblGrid>
      <w:tr w:rsidR="00003A2E" w:rsidRPr="003D6F2A" w14:paraId="6E475CEA" w14:textId="77777777">
        <w:trPr>
          <w:cantSplit/>
          <w:tblHeader/>
          <w:jc w:val="center"/>
        </w:trPr>
        <w:tc>
          <w:tcPr>
            <w:tcW w:w="2758" w:type="dxa"/>
            <w:tcMar>
              <w:top w:w="70" w:type="dxa"/>
              <w:left w:w="70" w:type="dxa"/>
              <w:bottom w:w="70" w:type="dxa"/>
              <w:right w:w="70" w:type="dxa"/>
            </w:tcMar>
            <w:vAlign w:val="center"/>
          </w:tcPr>
          <w:p w14:paraId="3ABE01C8" w14:textId="77777777" w:rsidR="00003A2E" w:rsidRPr="003D6F2A" w:rsidRDefault="008F030F">
            <w:pPr>
              <w:spacing w:after="0" w:line="240" w:lineRule="auto"/>
            </w:pPr>
            <w:r w:rsidRPr="003D6F2A">
              <w:rPr>
                <w:b/>
                <w:sz w:val="17"/>
              </w:rPr>
              <w:t>Feature group</w:t>
            </w:r>
          </w:p>
        </w:tc>
        <w:tc>
          <w:tcPr>
            <w:tcW w:w="3546" w:type="dxa"/>
            <w:tcMar>
              <w:top w:w="70" w:type="dxa"/>
              <w:left w:w="70" w:type="dxa"/>
              <w:bottom w:w="70" w:type="dxa"/>
              <w:right w:w="70" w:type="dxa"/>
            </w:tcMar>
            <w:vAlign w:val="center"/>
          </w:tcPr>
          <w:p w14:paraId="26572F46" w14:textId="77777777" w:rsidR="00003A2E" w:rsidRPr="003D6F2A" w:rsidRDefault="008F030F">
            <w:pPr>
              <w:spacing w:after="0" w:line="240" w:lineRule="auto"/>
            </w:pPr>
            <w:r w:rsidRPr="003D6F2A">
              <w:rPr>
                <w:b/>
                <w:sz w:val="17"/>
              </w:rPr>
              <w:t>Variables</w:t>
            </w:r>
          </w:p>
        </w:tc>
        <w:tc>
          <w:tcPr>
            <w:tcW w:w="3546" w:type="dxa"/>
            <w:tcMar>
              <w:top w:w="70" w:type="dxa"/>
              <w:left w:w="70" w:type="dxa"/>
              <w:bottom w:w="70" w:type="dxa"/>
              <w:right w:w="70" w:type="dxa"/>
            </w:tcMar>
            <w:vAlign w:val="center"/>
          </w:tcPr>
          <w:p w14:paraId="79BD4D31" w14:textId="77777777" w:rsidR="00003A2E" w:rsidRPr="003D6F2A" w:rsidRDefault="008F030F">
            <w:pPr>
              <w:spacing w:after="0" w:line="240" w:lineRule="auto"/>
            </w:pPr>
            <w:r w:rsidRPr="003D6F2A">
              <w:rPr>
                <w:b/>
                <w:sz w:val="17"/>
              </w:rPr>
              <w:t>Use</w:t>
            </w:r>
          </w:p>
        </w:tc>
      </w:tr>
      <w:tr w:rsidR="00003A2E" w:rsidRPr="003D6F2A" w14:paraId="1EF10514" w14:textId="77777777">
        <w:trPr>
          <w:cantSplit/>
          <w:jc w:val="center"/>
        </w:trPr>
        <w:tc>
          <w:tcPr>
            <w:tcW w:w="2758" w:type="dxa"/>
            <w:tcMar>
              <w:top w:w="70" w:type="dxa"/>
              <w:left w:w="70" w:type="dxa"/>
              <w:bottom w:w="70" w:type="dxa"/>
              <w:right w:w="70" w:type="dxa"/>
            </w:tcMar>
            <w:vAlign w:val="center"/>
          </w:tcPr>
          <w:p w14:paraId="42C47079" w14:textId="77777777" w:rsidR="00003A2E" w:rsidRPr="003D6F2A" w:rsidRDefault="008F030F">
            <w:pPr>
              <w:spacing w:after="0" w:line="240" w:lineRule="auto"/>
            </w:pPr>
            <w:r w:rsidRPr="003D6F2A">
              <w:rPr>
                <w:sz w:val="17"/>
              </w:rPr>
              <w:t>Shared core</w:t>
            </w:r>
          </w:p>
        </w:tc>
        <w:tc>
          <w:tcPr>
            <w:tcW w:w="3546" w:type="dxa"/>
            <w:tcMar>
              <w:top w:w="70" w:type="dxa"/>
              <w:left w:w="70" w:type="dxa"/>
              <w:bottom w:w="70" w:type="dxa"/>
              <w:right w:w="70" w:type="dxa"/>
            </w:tcMar>
            <w:vAlign w:val="center"/>
          </w:tcPr>
          <w:p w14:paraId="051BA85A" w14:textId="77777777" w:rsidR="00003A2E" w:rsidRPr="003D6F2A" w:rsidRDefault="008F030F">
            <w:pPr>
              <w:spacing w:after="0" w:line="240" w:lineRule="auto"/>
            </w:pPr>
            <w:r w:rsidRPr="003D6F2A">
              <w:rPr>
                <w:sz w:val="17"/>
              </w:rPr>
              <w:t>parameter count; depth; epochs; batch size</w:t>
            </w:r>
          </w:p>
        </w:tc>
        <w:tc>
          <w:tcPr>
            <w:tcW w:w="3546" w:type="dxa"/>
            <w:tcMar>
              <w:top w:w="70" w:type="dxa"/>
              <w:left w:w="70" w:type="dxa"/>
              <w:bottom w:w="70" w:type="dxa"/>
              <w:right w:w="70" w:type="dxa"/>
            </w:tcMar>
            <w:vAlign w:val="center"/>
          </w:tcPr>
          <w:p w14:paraId="111648BC" w14:textId="77777777" w:rsidR="00003A2E" w:rsidRPr="003D6F2A" w:rsidRDefault="008F030F">
            <w:pPr>
              <w:spacing w:after="0" w:line="240" w:lineRule="auto"/>
            </w:pPr>
            <w:r w:rsidRPr="003D6F2A">
              <w:rPr>
                <w:sz w:val="17"/>
              </w:rPr>
              <w:t>Defined consistently across MLP and CNN families</w:t>
            </w:r>
          </w:p>
        </w:tc>
      </w:tr>
      <w:tr w:rsidR="00003A2E" w:rsidRPr="003D6F2A" w14:paraId="5A5E0810" w14:textId="77777777">
        <w:trPr>
          <w:cantSplit/>
          <w:jc w:val="center"/>
        </w:trPr>
        <w:tc>
          <w:tcPr>
            <w:tcW w:w="2758" w:type="dxa"/>
            <w:tcMar>
              <w:top w:w="70" w:type="dxa"/>
              <w:left w:w="70" w:type="dxa"/>
              <w:bottom w:w="70" w:type="dxa"/>
              <w:right w:w="70" w:type="dxa"/>
            </w:tcMar>
            <w:vAlign w:val="center"/>
          </w:tcPr>
          <w:p w14:paraId="1F5C8D42" w14:textId="77777777" w:rsidR="00003A2E" w:rsidRPr="003D6F2A" w:rsidRDefault="008F030F">
            <w:pPr>
              <w:spacing w:after="0" w:line="240" w:lineRule="auto"/>
            </w:pPr>
            <w:r w:rsidRPr="003D6F2A">
              <w:rPr>
                <w:sz w:val="17"/>
              </w:rPr>
              <w:t>BUTTER-E auxiliary</w:t>
            </w:r>
          </w:p>
        </w:tc>
        <w:tc>
          <w:tcPr>
            <w:tcW w:w="3546" w:type="dxa"/>
            <w:tcMar>
              <w:top w:w="70" w:type="dxa"/>
              <w:left w:w="70" w:type="dxa"/>
              <w:bottom w:w="70" w:type="dxa"/>
              <w:right w:w="70" w:type="dxa"/>
            </w:tcMar>
            <w:vAlign w:val="center"/>
          </w:tcPr>
          <w:p w14:paraId="3CA3F145" w14:textId="77777777" w:rsidR="00003A2E" w:rsidRPr="003D6F2A" w:rsidRDefault="008F030F">
            <w:pPr>
              <w:spacing w:after="0" w:line="240" w:lineRule="auto"/>
            </w:pPr>
            <w:r w:rsidRPr="003D6F2A">
              <w:rPr>
                <w:sz w:val="17"/>
              </w:rPr>
              <w:t>CPU/GPU flag; network shape; observations; input features; classes; task type; class imbalance</w:t>
            </w:r>
          </w:p>
        </w:tc>
        <w:tc>
          <w:tcPr>
            <w:tcW w:w="3546" w:type="dxa"/>
            <w:tcMar>
              <w:top w:w="70" w:type="dxa"/>
              <w:left w:w="70" w:type="dxa"/>
              <w:bottom w:w="70" w:type="dxa"/>
              <w:right w:w="70" w:type="dxa"/>
            </w:tcMar>
            <w:vAlign w:val="center"/>
          </w:tcPr>
          <w:p w14:paraId="786BCB2A" w14:textId="77777777" w:rsidR="00003A2E" w:rsidRPr="003D6F2A" w:rsidRDefault="008F030F">
            <w:pPr>
              <w:spacing w:after="0" w:line="240" w:lineRule="auto"/>
            </w:pPr>
            <w:r w:rsidRPr="003D6F2A">
              <w:rPr>
                <w:sz w:val="17"/>
              </w:rPr>
              <w:t>Captures workload scale and MLP-specific structure</w:t>
            </w:r>
          </w:p>
        </w:tc>
      </w:tr>
      <w:tr w:rsidR="00003A2E" w:rsidRPr="003D6F2A" w14:paraId="0641B76F" w14:textId="77777777">
        <w:trPr>
          <w:cantSplit/>
          <w:jc w:val="center"/>
        </w:trPr>
        <w:tc>
          <w:tcPr>
            <w:tcW w:w="2758" w:type="dxa"/>
            <w:tcMar>
              <w:top w:w="70" w:type="dxa"/>
              <w:left w:w="70" w:type="dxa"/>
              <w:bottom w:w="70" w:type="dxa"/>
              <w:right w:w="70" w:type="dxa"/>
            </w:tcMar>
            <w:vAlign w:val="center"/>
          </w:tcPr>
          <w:p w14:paraId="646826C0" w14:textId="77777777" w:rsidR="00003A2E" w:rsidRPr="003D6F2A" w:rsidRDefault="008F030F">
            <w:pPr>
              <w:spacing w:after="0" w:line="240" w:lineRule="auto"/>
            </w:pPr>
            <w:r w:rsidRPr="003D6F2A">
              <w:rPr>
                <w:sz w:val="17"/>
              </w:rPr>
              <w:t>EC-NAS auxiliary</w:t>
            </w:r>
          </w:p>
        </w:tc>
        <w:tc>
          <w:tcPr>
            <w:tcW w:w="3546" w:type="dxa"/>
            <w:tcMar>
              <w:top w:w="70" w:type="dxa"/>
              <w:left w:w="70" w:type="dxa"/>
              <w:bottom w:w="70" w:type="dxa"/>
              <w:right w:w="70" w:type="dxa"/>
            </w:tcMar>
            <w:vAlign w:val="center"/>
          </w:tcPr>
          <w:p w14:paraId="0AA384E5" w14:textId="77777777" w:rsidR="00003A2E" w:rsidRPr="003D6F2A" w:rsidRDefault="008F030F">
            <w:pPr>
              <w:spacing w:after="0" w:line="240" w:lineRule="auto"/>
            </w:pPr>
            <w:r w:rsidRPr="003D6F2A">
              <w:rPr>
                <w:sz w:val="17"/>
              </w:rPr>
              <w:t>3×3 convolution count; 1×1 convolution count; pooling count; DAG edge count</w:t>
            </w:r>
          </w:p>
        </w:tc>
        <w:tc>
          <w:tcPr>
            <w:tcW w:w="3546" w:type="dxa"/>
            <w:tcMar>
              <w:top w:w="70" w:type="dxa"/>
              <w:left w:w="70" w:type="dxa"/>
              <w:bottom w:w="70" w:type="dxa"/>
              <w:right w:w="70" w:type="dxa"/>
            </w:tcMar>
            <w:vAlign w:val="center"/>
          </w:tcPr>
          <w:p w14:paraId="3E2E034F" w14:textId="77777777" w:rsidR="00003A2E" w:rsidRPr="003D6F2A" w:rsidRDefault="008F030F">
            <w:pPr>
              <w:spacing w:after="0" w:line="240" w:lineRule="auto"/>
            </w:pPr>
            <w:r w:rsidRPr="003D6F2A">
              <w:rPr>
                <w:sz w:val="17"/>
              </w:rPr>
              <w:t>Captures operation composition beyond parameter count</w:t>
            </w:r>
          </w:p>
        </w:tc>
      </w:tr>
      <w:tr w:rsidR="00003A2E" w:rsidRPr="003D6F2A" w14:paraId="487BDC07" w14:textId="77777777">
        <w:trPr>
          <w:cantSplit/>
          <w:jc w:val="center"/>
        </w:trPr>
        <w:tc>
          <w:tcPr>
            <w:tcW w:w="2758" w:type="dxa"/>
            <w:tcMar>
              <w:top w:w="70" w:type="dxa"/>
              <w:left w:w="70" w:type="dxa"/>
              <w:bottom w:w="70" w:type="dxa"/>
              <w:right w:w="70" w:type="dxa"/>
            </w:tcMar>
            <w:vAlign w:val="center"/>
          </w:tcPr>
          <w:p w14:paraId="2226C69D" w14:textId="77777777" w:rsidR="00003A2E" w:rsidRPr="003D6F2A" w:rsidRDefault="008F030F">
            <w:pPr>
              <w:spacing w:after="0" w:line="240" w:lineRule="auto"/>
            </w:pPr>
            <w:r w:rsidRPr="003D6F2A">
              <w:rPr>
                <w:sz w:val="17"/>
              </w:rPr>
              <w:t>Hardware-transfer auxiliary</w:t>
            </w:r>
          </w:p>
        </w:tc>
        <w:tc>
          <w:tcPr>
            <w:tcW w:w="3546" w:type="dxa"/>
            <w:tcMar>
              <w:top w:w="70" w:type="dxa"/>
              <w:left w:w="70" w:type="dxa"/>
              <w:bottom w:w="70" w:type="dxa"/>
              <w:right w:w="70" w:type="dxa"/>
            </w:tcMar>
            <w:vAlign w:val="center"/>
          </w:tcPr>
          <w:p w14:paraId="449E2BBC" w14:textId="77777777" w:rsidR="00003A2E" w:rsidRPr="003D6F2A" w:rsidRDefault="008F030F">
            <w:pPr>
              <w:spacing w:after="0" w:line="240" w:lineRule="auto"/>
            </w:pPr>
            <w:r w:rsidRPr="003D6F2A">
              <w:rPr>
                <w:sz w:val="17"/>
              </w:rPr>
              <w:t>peak FP32 throughput; memory bandwidth; arithmetic-intensity proxy</w:t>
            </w:r>
          </w:p>
        </w:tc>
        <w:tc>
          <w:tcPr>
            <w:tcW w:w="3546" w:type="dxa"/>
            <w:tcMar>
              <w:top w:w="70" w:type="dxa"/>
              <w:left w:w="70" w:type="dxa"/>
              <w:bottom w:w="70" w:type="dxa"/>
              <w:right w:w="70" w:type="dxa"/>
            </w:tcMar>
            <w:vAlign w:val="center"/>
          </w:tcPr>
          <w:p w14:paraId="030095B4" w14:textId="77777777" w:rsidR="00003A2E" w:rsidRPr="003D6F2A" w:rsidRDefault="008F030F">
            <w:pPr>
              <w:spacing w:after="0" w:line="240" w:lineRule="auto"/>
            </w:pPr>
            <w:r w:rsidRPr="003D6F2A">
              <w:rPr>
                <w:sz w:val="17"/>
              </w:rPr>
              <w:t>Tests whether static device descriptors alone enable transfer</w:t>
            </w:r>
          </w:p>
        </w:tc>
      </w:tr>
    </w:tbl>
    <w:p w14:paraId="4BC6F7D0" w14:textId="77777777" w:rsidR="00AE6F0E" w:rsidRPr="003D6F2A" w:rsidRDefault="00AE6F0E">
      <w:pPr>
        <w:pStyle w:val="BodyText"/>
        <w:ind w:firstLine="259"/>
        <w:jc w:val="both"/>
        <w:rPr>
          <w:strike/>
        </w:rPr>
      </w:pPr>
    </w:p>
    <w:p w14:paraId="52B4D6E1" w14:textId="7F64741A" w:rsidR="00003A2E" w:rsidRPr="003D6F2A" w:rsidRDefault="008F030F">
      <w:pPr>
        <w:pStyle w:val="BodyText"/>
        <w:ind w:firstLine="259"/>
        <w:jc w:val="both"/>
      </w:pPr>
      <w:r w:rsidRPr="003D6F2A">
        <w:t>During pooled training, family-specific auxiliary variables are set to zero outside the family in which they are defined, consistent with Equation (3). For leave-family-out experiments, only the shared core is retained so that the source model is evaluated solely on information it could have learned without access to target-family descriptors.</w:t>
      </w:r>
    </w:p>
    <w:p w14:paraId="7EA45A83" w14:textId="77777777" w:rsidR="00003A2E" w:rsidRPr="003D6F2A" w:rsidRDefault="008F030F">
      <w:pPr>
        <w:pStyle w:val="Heading2"/>
        <w:spacing w:before="160" w:after="80"/>
        <w:rPr>
          <w:color w:val="auto"/>
        </w:rPr>
      </w:pPr>
      <w:bookmarkStart w:id="12" w:name="measurement-scale-stress-test"/>
      <w:bookmarkEnd w:id="11"/>
      <w:r w:rsidRPr="003D6F2A">
        <w:rPr>
          <w:color w:val="auto"/>
        </w:rPr>
        <w:t>3.4 Measurement-scale stress test</w:t>
      </w:r>
    </w:p>
    <w:p w14:paraId="02315F8F" w14:textId="7E7B0CCD" w:rsidR="00003A2E" w:rsidRPr="003D6F2A" w:rsidRDefault="008F030F">
      <w:pPr>
        <w:ind w:firstLine="259"/>
        <w:jc w:val="both"/>
      </w:pPr>
      <w:r w:rsidRPr="003D6F2A">
        <w:t xml:space="preserve">Because BUTTER-E and EC-NAS differ not only in architecture family but also in measurement instrumentation, pooled modelling can confound architectural effects with instrument-specific scale differences. External validation studies show that software energy estimators can exhibit systematic bias relative to physical power measurements, with the magnitude depending on workload and platform conditions [5]. Rather than assuming a universal conversion between the two datasets, CAL-ENERGY therefore performs the controlled scale-sensitivity experiment defined in Equation (6), </w:t>
      </w:r>
      <w:r w:rsidRPr="005739AB">
        <w:rPr>
          <w:highlight w:val="cyan"/>
        </w:rPr>
        <w:t>in which the software-derived power term is multiplied by a factor c.</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3E46F1A8" w14:textId="77777777">
        <w:trPr>
          <w:cantSplit/>
          <w:tblHeader/>
          <w:jc w:val="center"/>
        </w:trPr>
        <w:tc>
          <w:tcPr>
            <w:tcW w:w="792" w:type="dxa"/>
            <w:tcMar>
              <w:top w:w="0" w:type="dxa"/>
              <w:left w:w="0" w:type="dxa"/>
              <w:bottom w:w="0" w:type="dxa"/>
              <w:right w:w="0" w:type="dxa"/>
            </w:tcMar>
            <w:vAlign w:val="center"/>
          </w:tcPr>
          <w:p w14:paraId="3B2BB01D"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1610271A" w14:textId="77777777" w:rsidR="00003A2E" w:rsidRPr="003D6F2A" w:rsidRDefault="008F030F">
            <w:pPr>
              <w:spacing w:before="20" w:after="0" w:line="240" w:lineRule="auto"/>
              <w:jc w:val="center"/>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cal</m:t>
                    </m:r>
                  </m:sup>
                </m:sSubSup>
                <m:r>
                  <m:rPr>
                    <m:sty m:val="p"/>
                  </m:rPr>
                  <w:rPr>
                    <w:rFonts w:ascii="Cambria Math" w:hAnsi="Cambria Math"/>
                  </w:rPr>
                  <m:t>=</m:t>
                </m:r>
                <m:r>
                  <w:rPr>
                    <w:rFonts w:ascii="Cambria Math" w:hAnsi="Cambria Math"/>
                  </w:rPr>
                  <m:t>c</m:t>
                </m:r>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sw</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E</m:t>
                    </m:r>
                  </m:e>
                  <m:sub>
                    <m:r>
                      <w:rPr>
                        <w:rFonts w:ascii="Cambria Math" w:hAnsi="Cambria Math"/>
                      </w:rPr>
                      <m:t>i</m:t>
                    </m:r>
                  </m:sub>
                  <m:sup>
                    <m:r>
                      <m:rPr>
                        <m:sty m:val="p"/>
                      </m:rPr>
                      <w:rPr>
                        <w:rFonts w:ascii="Cambria Math" w:hAnsi="Cambria Math"/>
                      </w:rPr>
                      <m:t>cal</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cal</m:t>
                    </m:r>
                  </m:sup>
                </m:sSubSup>
                <m:sSub>
                  <m:sSubPr>
                    <m:ctrlPr>
                      <w:rPr>
                        <w:rFonts w:ascii="Cambria Math" w:hAnsi="Cambria Math"/>
                      </w:rPr>
                    </m:ctrlPr>
                  </m:sSubPr>
                  <m:e>
                    <m:r>
                      <w:rPr>
                        <w:rFonts w:ascii="Cambria Math" w:hAnsi="Cambria Math"/>
                      </w:rPr>
                      <m:t>T</m:t>
                    </m:r>
                  </m:e>
                  <m:sub>
                    <m:r>
                      <w:rPr>
                        <w:rFonts w:ascii="Cambria Math" w:hAnsi="Cambria Math"/>
                      </w:rPr>
                      <m:t>i</m:t>
                    </m:r>
                  </m:sub>
                </m:sSub>
              </m:oMath>
            </m:oMathPara>
          </w:p>
        </w:tc>
        <w:tc>
          <w:tcPr>
            <w:tcW w:w="792" w:type="dxa"/>
            <w:tcMar>
              <w:top w:w="0" w:type="dxa"/>
              <w:left w:w="0" w:type="dxa"/>
              <w:bottom w:w="0" w:type="dxa"/>
              <w:right w:w="0" w:type="dxa"/>
            </w:tcMar>
            <w:vAlign w:val="center"/>
          </w:tcPr>
          <w:p w14:paraId="04B8BD68" w14:textId="77777777" w:rsidR="00003A2E" w:rsidRPr="003D6F2A" w:rsidRDefault="008F030F">
            <w:pPr>
              <w:spacing w:before="20" w:after="0" w:line="240" w:lineRule="auto"/>
              <w:jc w:val="right"/>
            </w:pPr>
            <w:r w:rsidRPr="003D6F2A">
              <w:rPr>
                <w:b/>
                <w:sz w:val="17"/>
              </w:rPr>
              <w:t>(6)</w:t>
            </w:r>
          </w:p>
        </w:tc>
      </w:tr>
    </w:tbl>
    <w:p w14:paraId="42B1A0AF" w14:textId="43FC1AF9" w:rsidR="00003A2E" w:rsidRPr="003D6F2A" w:rsidRDefault="008F030F">
      <w:pPr>
        <w:ind w:firstLine="259"/>
        <w:jc w:val="both"/>
      </w:pPr>
      <w:r w:rsidRPr="003D6F2A">
        <w:lastRenderedPageBreak/>
        <w:t>In the reported stress test, c = 1.25 is used as a representative perturbation within the approximate 20–30% underestimation range reported by Fischer et al. [5]. The experiment is intended to test the sensitivity of pooled fit and absolute calibration to plausible measurement-scale variation; Equation (6) is not interpreted as a universal correction law.</w:t>
      </w:r>
    </w:p>
    <w:p w14:paraId="336E2D92" w14:textId="77777777" w:rsidR="00003A2E" w:rsidRPr="003D6F2A" w:rsidRDefault="008F030F">
      <w:pPr>
        <w:pStyle w:val="Heading2"/>
        <w:spacing w:before="160" w:after="80"/>
        <w:rPr>
          <w:color w:val="auto"/>
        </w:rPr>
      </w:pPr>
      <w:bookmarkStart w:id="13" w:name="Xadd2d108d26628ef549dfab932f84bf50f0632c"/>
      <w:bookmarkEnd w:id="12"/>
      <w:r w:rsidRPr="003D6F2A">
        <w:rPr>
          <w:color w:val="auto"/>
        </w:rPr>
        <w:t>3.5 CAL-ENERGY training and evaluation algorithm</w:t>
      </w:r>
    </w:p>
    <w:p w14:paraId="24D70545" w14:textId="3B02A919" w:rsidR="00003A2E" w:rsidRPr="003D6F2A" w:rsidRDefault="008F030F">
      <w:pPr>
        <w:ind w:firstLine="259"/>
        <w:jc w:val="both"/>
      </w:pPr>
      <w:r w:rsidRPr="003D6F2A">
        <w:t xml:space="preserve">Model selection is performed before the main experiments by comparing Random Forest, XGBoost, and a feed-forward neural network under the shared-core representation. Random Forest is retained because it provides comparable predictive performance with simpler training and inference for the tabular setting. The implementation uses scikit-learn’s RandomForestRegressor with the untuned default hyperparameters </w:t>
      </w:r>
      <w:r w:rsidRPr="005739AB">
        <w:rPr>
          <w:highlight w:val="cyan"/>
        </w:rPr>
        <w:t>used in the reported experiments [16,19].</w:t>
      </w:r>
      <w:r w:rsidRPr="003D6F2A">
        <w:t xml:space="preserve"> Algorithm 1 then specifies the complete CAL-ENERGY workflow, including feature harmonization, grouped splitting, optional measurement-scale perturbation, model fitting, inverse transformation, and evaluation under within-domain and leave-domain-out regimes; the mathematical steps refer to Equations (1)–(9).</w:t>
      </w:r>
    </w:p>
    <w:p w14:paraId="67F1E9A0" w14:textId="77777777" w:rsidR="00003A2E" w:rsidRPr="003D6F2A" w:rsidRDefault="008F030F">
      <w:pPr>
        <w:pStyle w:val="BodyText"/>
        <w:ind w:firstLine="259"/>
        <w:jc w:val="both"/>
      </w:pPr>
      <w:r w:rsidRPr="003D6F2A">
        <w:rPr>
          <w:b/>
          <w:bCs/>
        </w:rPr>
        <w:t>Algorithm 1. CAL-ENERGY training, calibration stress testing, and evaluation.</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642"/>
        <w:gridCol w:w="9208"/>
      </w:tblGrid>
      <w:tr w:rsidR="00003A2E" w:rsidRPr="003D6F2A" w14:paraId="35070370" w14:textId="77777777">
        <w:trPr>
          <w:cantSplit/>
          <w:tblHeader/>
          <w:jc w:val="center"/>
        </w:trPr>
        <w:tc>
          <w:tcPr>
            <w:tcW w:w="600" w:type="dxa"/>
            <w:tcMar>
              <w:top w:w="70" w:type="dxa"/>
              <w:left w:w="70" w:type="dxa"/>
              <w:bottom w:w="70" w:type="dxa"/>
              <w:right w:w="70" w:type="dxa"/>
            </w:tcMar>
            <w:vAlign w:val="center"/>
          </w:tcPr>
          <w:p w14:paraId="469C9CDB" w14:textId="77777777" w:rsidR="00003A2E" w:rsidRPr="003D6F2A" w:rsidRDefault="008F030F">
            <w:pPr>
              <w:spacing w:after="0" w:line="240" w:lineRule="auto"/>
            </w:pPr>
            <w:r w:rsidRPr="003D6F2A">
              <w:rPr>
                <w:b/>
                <w:sz w:val="17"/>
              </w:rPr>
              <w:t>Line</w:t>
            </w:r>
          </w:p>
        </w:tc>
        <w:tc>
          <w:tcPr>
            <w:tcW w:w="8600" w:type="dxa"/>
            <w:tcMar>
              <w:top w:w="70" w:type="dxa"/>
              <w:left w:w="70" w:type="dxa"/>
              <w:bottom w:w="70" w:type="dxa"/>
              <w:right w:w="70" w:type="dxa"/>
            </w:tcMar>
            <w:vAlign w:val="center"/>
          </w:tcPr>
          <w:p w14:paraId="013A4F76" w14:textId="77777777" w:rsidR="00003A2E" w:rsidRPr="003D6F2A" w:rsidRDefault="008F030F">
            <w:pPr>
              <w:spacing w:after="0" w:line="240" w:lineRule="auto"/>
            </w:pPr>
            <w:r w:rsidRPr="003D6F2A">
              <w:rPr>
                <w:b/>
                <w:sz w:val="17"/>
              </w:rPr>
              <w:t>Procedure</w:t>
            </w:r>
          </w:p>
        </w:tc>
      </w:tr>
      <w:tr w:rsidR="00003A2E" w:rsidRPr="003D6F2A" w14:paraId="0CFFC20C" w14:textId="77777777">
        <w:trPr>
          <w:cantSplit/>
          <w:jc w:val="center"/>
        </w:trPr>
        <w:tc>
          <w:tcPr>
            <w:tcW w:w="600" w:type="dxa"/>
            <w:tcMar>
              <w:top w:w="70" w:type="dxa"/>
              <w:left w:w="70" w:type="dxa"/>
              <w:bottom w:w="70" w:type="dxa"/>
              <w:right w:w="70" w:type="dxa"/>
            </w:tcMar>
            <w:vAlign w:val="center"/>
          </w:tcPr>
          <w:p w14:paraId="691BA18C" w14:textId="77777777" w:rsidR="00003A2E" w:rsidRPr="003D6F2A" w:rsidRDefault="008F030F">
            <w:pPr>
              <w:spacing w:after="0" w:line="240" w:lineRule="auto"/>
            </w:pPr>
            <w:r w:rsidRPr="003D6F2A">
              <w:rPr>
                <w:sz w:val="17"/>
              </w:rPr>
              <w:t>1</w:t>
            </w:r>
          </w:p>
        </w:tc>
        <w:tc>
          <w:tcPr>
            <w:tcW w:w="8600" w:type="dxa"/>
            <w:tcMar>
              <w:top w:w="70" w:type="dxa"/>
              <w:left w:w="70" w:type="dxa"/>
              <w:bottom w:w="70" w:type="dxa"/>
              <w:right w:w="70" w:type="dxa"/>
            </w:tcMar>
            <w:vAlign w:val="center"/>
          </w:tcPr>
          <w:p w14:paraId="64117699" w14:textId="31614326" w:rsidR="00003A2E" w:rsidRPr="003D6F2A" w:rsidRDefault="008F030F">
            <w:pPr>
              <w:spacing w:after="0" w:line="240" w:lineRule="auto"/>
            </w:pPr>
            <w:r w:rsidRPr="003D6F2A">
              <w:t>Input: measured training runs R = {(xᵢ, Eᵢ, Fᵢ, Gᵢ)} for i = 1, …, n, where Fᵢ is the architecture-family label, Gᵢ is the grouping key used to prevent split leakage, and c is an optional measurement-scale factor.</w:t>
            </w:r>
          </w:p>
        </w:tc>
      </w:tr>
      <w:tr w:rsidR="00003A2E" w:rsidRPr="003D6F2A" w14:paraId="244B842B" w14:textId="77777777">
        <w:trPr>
          <w:cantSplit/>
          <w:jc w:val="center"/>
        </w:trPr>
        <w:tc>
          <w:tcPr>
            <w:tcW w:w="600" w:type="dxa"/>
            <w:tcMar>
              <w:top w:w="70" w:type="dxa"/>
              <w:left w:w="70" w:type="dxa"/>
              <w:bottom w:w="70" w:type="dxa"/>
              <w:right w:w="70" w:type="dxa"/>
            </w:tcMar>
            <w:vAlign w:val="center"/>
          </w:tcPr>
          <w:p w14:paraId="4AC40081" w14:textId="77777777" w:rsidR="00003A2E" w:rsidRPr="003D6F2A" w:rsidRDefault="008F030F">
            <w:pPr>
              <w:spacing w:after="0" w:line="240" w:lineRule="auto"/>
            </w:pPr>
            <w:r w:rsidRPr="003D6F2A">
              <w:rPr>
                <w:sz w:val="17"/>
              </w:rPr>
              <w:t>2</w:t>
            </w:r>
          </w:p>
        </w:tc>
        <w:tc>
          <w:tcPr>
            <w:tcW w:w="8600" w:type="dxa"/>
            <w:tcMar>
              <w:top w:w="70" w:type="dxa"/>
              <w:left w:w="70" w:type="dxa"/>
              <w:bottom w:w="70" w:type="dxa"/>
              <w:right w:w="70" w:type="dxa"/>
            </w:tcMar>
            <w:vAlign w:val="center"/>
          </w:tcPr>
          <w:p w14:paraId="5C542CE7" w14:textId="760CC312" w:rsidR="00003A2E" w:rsidRPr="003D6F2A" w:rsidRDefault="008F030F">
            <w:pPr>
              <w:spacing w:after="0" w:line="240" w:lineRule="auto"/>
            </w:pPr>
            <w:r w:rsidRPr="003D6F2A">
              <w:t>Construct the pre-execution feature vector xᵢ according to Eq. (1).</w:t>
            </w:r>
          </w:p>
        </w:tc>
      </w:tr>
      <w:tr w:rsidR="00003A2E" w:rsidRPr="003D6F2A" w14:paraId="5144AACC" w14:textId="77777777">
        <w:trPr>
          <w:cantSplit/>
          <w:jc w:val="center"/>
        </w:trPr>
        <w:tc>
          <w:tcPr>
            <w:tcW w:w="600" w:type="dxa"/>
            <w:tcMar>
              <w:top w:w="70" w:type="dxa"/>
              <w:left w:w="70" w:type="dxa"/>
              <w:bottom w:w="70" w:type="dxa"/>
              <w:right w:w="70" w:type="dxa"/>
            </w:tcMar>
            <w:vAlign w:val="center"/>
          </w:tcPr>
          <w:p w14:paraId="001A2ED5" w14:textId="77777777" w:rsidR="00003A2E" w:rsidRPr="003D6F2A" w:rsidRDefault="008F030F">
            <w:pPr>
              <w:spacing w:after="0" w:line="240" w:lineRule="auto"/>
            </w:pPr>
            <w:r w:rsidRPr="003D6F2A">
              <w:rPr>
                <w:sz w:val="17"/>
              </w:rPr>
              <w:t>3</w:t>
            </w:r>
          </w:p>
        </w:tc>
        <w:tc>
          <w:tcPr>
            <w:tcW w:w="8600" w:type="dxa"/>
            <w:tcMar>
              <w:top w:w="70" w:type="dxa"/>
              <w:left w:w="70" w:type="dxa"/>
              <w:bottom w:w="70" w:type="dxa"/>
              <w:right w:w="70" w:type="dxa"/>
            </w:tcMar>
            <w:vAlign w:val="center"/>
          </w:tcPr>
          <w:p w14:paraId="07834041" w14:textId="18CDC2F5" w:rsidR="00003A2E" w:rsidRPr="003D6F2A" w:rsidRDefault="008F030F">
            <w:pPr>
              <w:spacing w:after="0" w:line="240" w:lineRule="auto"/>
            </w:pPr>
            <w:r w:rsidRPr="003D6F2A">
              <w:t>Form the fixed-dimensional masked representation x̃ᵢ according to Eq. (3).</w:t>
            </w:r>
          </w:p>
        </w:tc>
      </w:tr>
      <w:tr w:rsidR="00003A2E" w:rsidRPr="003D6F2A" w14:paraId="32CEE1D6" w14:textId="77777777">
        <w:trPr>
          <w:cantSplit/>
          <w:jc w:val="center"/>
        </w:trPr>
        <w:tc>
          <w:tcPr>
            <w:tcW w:w="600" w:type="dxa"/>
            <w:tcMar>
              <w:top w:w="70" w:type="dxa"/>
              <w:left w:w="70" w:type="dxa"/>
              <w:bottom w:w="70" w:type="dxa"/>
              <w:right w:w="70" w:type="dxa"/>
            </w:tcMar>
            <w:vAlign w:val="center"/>
          </w:tcPr>
          <w:p w14:paraId="52592A44" w14:textId="77777777" w:rsidR="00003A2E" w:rsidRPr="003D6F2A" w:rsidRDefault="008F030F">
            <w:pPr>
              <w:spacing w:after="0" w:line="240" w:lineRule="auto"/>
            </w:pPr>
            <w:r w:rsidRPr="003D6F2A">
              <w:rPr>
                <w:sz w:val="17"/>
              </w:rPr>
              <w:t>4</w:t>
            </w:r>
          </w:p>
        </w:tc>
        <w:tc>
          <w:tcPr>
            <w:tcW w:w="8600" w:type="dxa"/>
            <w:tcMar>
              <w:top w:w="70" w:type="dxa"/>
              <w:left w:w="70" w:type="dxa"/>
              <w:bottom w:w="70" w:type="dxa"/>
              <w:right w:w="70" w:type="dxa"/>
            </w:tcMar>
            <w:vAlign w:val="center"/>
          </w:tcPr>
          <w:p w14:paraId="41B75F46" w14:textId="1674F6E1" w:rsidR="00003A2E" w:rsidRPr="003D6F2A" w:rsidRDefault="008F030F">
            <w:pPr>
              <w:spacing w:after="0" w:line="240" w:lineRule="auto"/>
            </w:pPr>
            <w:r w:rsidRPr="003D6F2A">
              <w:t>If measurement-scale stress testing is active, modify the affected software-derived target according to Eq. (6).</w:t>
            </w:r>
          </w:p>
        </w:tc>
      </w:tr>
      <w:tr w:rsidR="00003A2E" w:rsidRPr="003D6F2A" w14:paraId="5EB80B6D" w14:textId="77777777">
        <w:trPr>
          <w:cantSplit/>
          <w:jc w:val="center"/>
        </w:trPr>
        <w:tc>
          <w:tcPr>
            <w:tcW w:w="600" w:type="dxa"/>
            <w:tcMar>
              <w:top w:w="70" w:type="dxa"/>
              <w:left w:w="70" w:type="dxa"/>
              <w:bottom w:w="70" w:type="dxa"/>
              <w:right w:w="70" w:type="dxa"/>
            </w:tcMar>
            <w:vAlign w:val="center"/>
          </w:tcPr>
          <w:p w14:paraId="45BAADAD" w14:textId="77777777" w:rsidR="00003A2E" w:rsidRPr="003D6F2A" w:rsidRDefault="008F030F">
            <w:pPr>
              <w:spacing w:after="0" w:line="240" w:lineRule="auto"/>
            </w:pPr>
            <w:r w:rsidRPr="003D6F2A">
              <w:rPr>
                <w:sz w:val="17"/>
              </w:rPr>
              <w:t>5</w:t>
            </w:r>
          </w:p>
        </w:tc>
        <w:tc>
          <w:tcPr>
            <w:tcW w:w="8600" w:type="dxa"/>
            <w:tcMar>
              <w:top w:w="70" w:type="dxa"/>
              <w:left w:w="70" w:type="dxa"/>
              <w:bottom w:w="70" w:type="dxa"/>
              <w:right w:w="70" w:type="dxa"/>
            </w:tcMar>
            <w:vAlign w:val="center"/>
          </w:tcPr>
          <w:p w14:paraId="25A5A502" w14:textId="42AE48C9" w:rsidR="00003A2E" w:rsidRPr="003D6F2A" w:rsidRDefault="008F030F">
            <w:pPr>
              <w:spacing w:after="0" w:line="240" w:lineRule="auto"/>
            </w:pPr>
            <w:r w:rsidRPr="003D6F2A">
              <w:t>Transform Eᵢ to zᵢ using the forward mapping in Eq. (4).</w:t>
            </w:r>
          </w:p>
        </w:tc>
      </w:tr>
      <w:tr w:rsidR="00003A2E" w:rsidRPr="003D6F2A" w14:paraId="24673896" w14:textId="77777777">
        <w:trPr>
          <w:cantSplit/>
          <w:jc w:val="center"/>
        </w:trPr>
        <w:tc>
          <w:tcPr>
            <w:tcW w:w="600" w:type="dxa"/>
            <w:tcMar>
              <w:top w:w="70" w:type="dxa"/>
              <w:left w:w="70" w:type="dxa"/>
              <w:bottom w:w="70" w:type="dxa"/>
              <w:right w:w="70" w:type="dxa"/>
            </w:tcMar>
            <w:vAlign w:val="center"/>
          </w:tcPr>
          <w:p w14:paraId="559B3C4C" w14:textId="77777777" w:rsidR="00003A2E" w:rsidRPr="003D6F2A" w:rsidRDefault="008F030F">
            <w:pPr>
              <w:spacing w:after="0" w:line="240" w:lineRule="auto"/>
            </w:pPr>
            <w:r w:rsidRPr="003D6F2A">
              <w:rPr>
                <w:sz w:val="17"/>
              </w:rPr>
              <w:t>6</w:t>
            </w:r>
          </w:p>
        </w:tc>
        <w:tc>
          <w:tcPr>
            <w:tcW w:w="8600" w:type="dxa"/>
            <w:tcMar>
              <w:top w:w="70" w:type="dxa"/>
              <w:left w:w="70" w:type="dxa"/>
              <w:bottom w:w="70" w:type="dxa"/>
              <w:right w:w="70" w:type="dxa"/>
            </w:tcMar>
            <w:vAlign w:val="center"/>
          </w:tcPr>
          <w:p w14:paraId="3F65186F" w14:textId="3F641114" w:rsidR="00003A2E" w:rsidRPr="003D6F2A" w:rsidRDefault="008F030F">
            <w:pPr>
              <w:spacing w:after="0" w:line="240" w:lineRule="auto"/>
            </w:pPr>
            <w:r w:rsidRPr="003D6F2A">
              <w:t>Partition the data by grouping key Gᵢ rather than by individual rows so that repeated or near-identical configurations cannot cross the training and test sets.</w:t>
            </w:r>
          </w:p>
        </w:tc>
      </w:tr>
      <w:tr w:rsidR="00003A2E" w:rsidRPr="003D6F2A" w14:paraId="66268C62" w14:textId="77777777">
        <w:trPr>
          <w:cantSplit/>
          <w:jc w:val="center"/>
        </w:trPr>
        <w:tc>
          <w:tcPr>
            <w:tcW w:w="600" w:type="dxa"/>
            <w:tcMar>
              <w:top w:w="70" w:type="dxa"/>
              <w:left w:w="70" w:type="dxa"/>
              <w:bottom w:w="70" w:type="dxa"/>
              <w:right w:w="70" w:type="dxa"/>
            </w:tcMar>
            <w:vAlign w:val="center"/>
          </w:tcPr>
          <w:p w14:paraId="26F2994D" w14:textId="77777777" w:rsidR="00003A2E" w:rsidRPr="003D6F2A" w:rsidRDefault="008F030F">
            <w:pPr>
              <w:spacing w:after="0" w:line="240" w:lineRule="auto"/>
            </w:pPr>
            <w:r w:rsidRPr="003D6F2A">
              <w:rPr>
                <w:sz w:val="17"/>
              </w:rPr>
              <w:t>7</w:t>
            </w:r>
          </w:p>
        </w:tc>
        <w:tc>
          <w:tcPr>
            <w:tcW w:w="8600" w:type="dxa"/>
            <w:tcMar>
              <w:top w:w="70" w:type="dxa"/>
              <w:left w:w="70" w:type="dxa"/>
              <w:bottom w:w="70" w:type="dxa"/>
              <w:right w:w="70" w:type="dxa"/>
            </w:tcMar>
            <w:vAlign w:val="center"/>
          </w:tcPr>
          <w:p w14:paraId="43EFEB66" w14:textId="5FADF65E" w:rsidR="00003A2E" w:rsidRPr="003D6F2A" w:rsidRDefault="008F030F">
            <w:pPr>
              <w:spacing w:after="0" w:line="240" w:lineRule="auto"/>
            </w:pPr>
            <w:r w:rsidRPr="003D6F2A">
              <w:t xml:space="preserve">Fit </w:t>
            </w:r>
            <w:proofErr w:type="spellStart"/>
            <w:r w:rsidRPr="003D6F2A">
              <w:t>fθ</w:t>
            </w:r>
            <w:proofErr w:type="spellEnd"/>
            <w:r w:rsidRPr="003D6F2A">
              <w:t xml:space="preserve"> using Random Forest regression on the training partition with the reported scikit-learn configuration [16,19].</w:t>
            </w:r>
          </w:p>
        </w:tc>
      </w:tr>
      <w:tr w:rsidR="00003A2E" w:rsidRPr="003D6F2A" w14:paraId="03E3898A" w14:textId="77777777">
        <w:trPr>
          <w:cantSplit/>
          <w:jc w:val="center"/>
        </w:trPr>
        <w:tc>
          <w:tcPr>
            <w:tcW w:w="600" w:type="dxa"/>
            <w:tcMar>
              <w:top w:w="70" w:type="dxa"/>
              <w:left w:w="70" w:type="dxa"/>
              <w:bottom w:w="70" w:type="dxa"/>
              <w:right w:w="70" w:type="dxa"/>
            </w:tcMar>
            <w:vAlign w:val="center"/>
          </w:tcPr>
          <w:p w14:paraId="6FE46DC1" w14:textId="77777777" w:rsidR="00003A2E" w:rsidRPr="003D6F2A" w:rsidRDefault="008F030F">
            <w:pPr>
              <w:spacing w:after="0" w:line="240" w:lineRule="auto"/>
            </w:pPr>
            <w:r w:rsidRPr="003D6F2A">
              <w:rPr>
                <w:sz w:val="17"/>
              </w:rPr>
              <w:t>8</w:t>
            </w:r>
          </w:p>
        </w:tc>
        <w:tc>
          <w:tcPr>
            <w:tcW w:w="8600" w:type="dxa"/>
            <w:tcMar>
              <w:top w:w="70" w:type="dxa"/>
              <w:left w:w="70" w:type="dxa"/>
              <w:bottom w:w="70" w:type="dxa"/>
              <w:right w:w="70" w:type="dxa"/>
            </w:tcMar>
            <w:vAlign w:val="center"/>
          </w:tcPr>
          <w:p w14:paraId="2953835F" w14:textId="6E85804A" w:rsidR="00003A2E" w:rsidRPr="003D6F2A" w:rsidRDefault="008F030F">
            <w:pPr>
              <w:spacing w:after="0" w:line="240" w:lineRule="auto"/>
            </w:pPr>
            <w:r w:rsidRPr="003D6F2A">
              <w:t>Predict ẑᵢ and recover Êᵢ using the inverse mapping in Eq. (4).</w:t>
            </w:r>
          </w:p>
        </w:tc>
      </w:tr>
      <w:tr w:rsidR="00003A2E" w:rsidRPr="003D6F2A" w14:paraId="39BE2D70" w14:textId="77777777">
        <w:trPr>
          <w:cantSplit/>
          <w:jc w:val="center"/>
        </w:trPr>
        <w:tc>
          <w:tcPr>
            <w:tcW w:w="600" w:type="dxa"/>
            <w:tcMar>
              <w:top w:w="70" w:type="dxa"/>
              <w:left w:w="70" w:type="dxa"/>
              <w:bottom w:w="70" w:type="dxa"/>
              <w:right w:w="70" w:type="dxa"/>
            </w:tcMar>
            <w:vAlign w:val="center"/>
          </w:tcPr>
          <w:p w14:paraId="4B20252F" w14:textId="77777777" w:rsidR="00003A2E" w:rsidRPr="003D6F2A" w:rsidRDefault="008F030F">
            <w:pPr>
              <w:spacing w:after="0" w:line="240" w:lineRule="auto"/>
            </w:pPr>
            <w:r w:rsidRPr="003D6F2A">
              <w:rPr>
                <w:sz w:val="17"/>
              </w:rPr>
              <w:t>9</w:t>
            </w:r>
          </w:p>
        </w:tc>
        <w:tc>
          <w:tcPr>
            <w:tcW w:w="8600" w:type="dxa"/>
            <w:tcMar>
              <w:top w:w="70" w:type="dxa"/>
              <w:left w:w="70" w:type="dxa"/>
              <w:bottom w:w="70" w:type="dxa"/>
              <w:right w:w="70" w:type="dxa"/>
            </w:tcMar>
            <w:vAlign w:val="center"/>
          </w:tcPr>
          <w:p w14:paraId="2B3F62CD" w14:textId="0CA61636" w:rsidR="00003A2E" w:rsidRPr="003D6F2A" w:rsidRDefault="008F030F">
            <w:pPr>
              <w:spacing w:after="0" w:line="240" w:lineRule="auto"/>
            </w:pPr>
            <w:r w:rsidRPr="003D6F2A">
              <w:t>Compute MAPE, R², and Kendall’s τ using Eqs. (7)–(9).</w:t>
            </w:r>
          </w:p>
        </w:tc>
      </w:tr>
      <w:tr w:rsidR="00003A2E" w:rsidRPr="003D6F2A" w14:paraId="00EB4C35" w14:textId="77777777">
        <w:trPr>
          <w:cantSplit/>
          <w:jc w:val="center"/>
        </w:trPr>
        <w:tc>
          <w:tcPr>
            <w:tcW w:w="600" w:type="dxa"/>
            <w:tcMar>
              <w:top w:w="70" w:type="dxa"/>
              <w:left w:w="70" w:type="dxa"/>
              <w:bottom w:w="70" w:type="dxa"/>
              <w:right w:w="70" w:type="dxa"/>
            </w:tcMar>
            <w:vAlign w:val="center"/>
          </w:tcPr>
          <w:p w14:paraId="4FE1E8CB" w14:textId="77777777" w:rsidR="00003A2E" w:rsidRPr="003D6F2A" w:rsidRDefault="008F030F">
            <w:pPr>
              <w:spacing w:after="0" w:line="240" w:lineRule="auto"/>
            </w:pPr>
            <w:r w:rsidRPr="003D6F2A">
              <w:rPr>
                <w:sz w:val="17"/>
              </w:rPr>
              <w:t>10</w:t>
            </w:r>
          </w:p>
        </w:tc>
        <w:tc>
          <w:tcPr>
            <w:tcW w:w="8600" w:type="dxa"/>
            <w:tcMar>
              <w:top w:w="70" w:type="dxa"/>
              <w:left w:w="70" w:type="dxa"/>
              <w:bottom w:w="70" w:type="dxa"/>
              <w:right w:w="70" w:type="dxa"/>
            </w:tcMar>
            <w:vAlign w:val="center"/>
          </w:tcPr>
          <w:p w14:paraId="28AC9C0C" w14:textId="58842E20" w:rsidR="00003A2E" w:rsidRPr="003D6F2A" w:rsidRDefault="008F030F">
            <w:pPr>
              <w:spacing w:after="0" w:line="240" w:lineRule="auto"/>
            </w:pPr>
            <w:r w:rsidRPr="003D6F2A">
              <w:t>Repeat the procedure for the within-family, pooled, leave-one-dataset-out, leave-one-family-out, and held-out-GPU regimes, as applicable.</w:t>
            </w:r>
          </w:p>
        </w:tc>
      </w:tr>
      <w:tr w:rsidR="00003A2E" w:rsidRPr="003D6F2A" w14:paraId="4F2DA9D7" w14:textId="77777777">
        <w:trPr>
          <w:cantSplit/>
          <w:jc w:val="center"/>
        </w:trPr>
        <w:tc>
          <w:tcPr>
            <w:tcW w:w="600" w:type="dxa"/>
            <w:tcMar>
              <w:top w:w="70" w:type="dxa"/>
              <w:left w:w="70" w:type="dxa"/>
              <w:bottom w:w="70" w:type="dxa"/>
              <w:right w:w="70" w:type="dxa"/>
            </w:tcMar>
            <w:vAlign w:val="center"/>
          </w:tcPr>
          <w:p w14:paraId="5DD74A8B" w14:textId="77777777" w:rsidR="00003A2E" w:rsidRPr="003D6F2A" w:rsidRDefault="008F030F">
            <w:pPr>
              <w:spacing w:after="0" w:line="240" w:lineRule="auto"/>
            </w:pPr>
            <w:r w:rsidRPr="003D6F2A">
              <w:rPr>
                <w:sz w:val="17"/>
              </w:rPr>
              <w:t>11</w:t>
            </w:r>
          </w:p>
        </w:tc>
        <w:tc>
          <w:tcPr>
            <w:tcW w:w="8600" w:type="dxa"/>
            <w:tcMar>
              <w:top w:w="70" w:type="dxa"/>
              <w:left w:w="70" w:type="dxa"/>
              <w:bottom w:w="70" w:type="dxa"/>
              <w:right w:w="70" w:type="dxa"/>
            </w:tcMar>
            <w:vAlign w:val="center"/>
          </w:tcPr>
          <w:p w14:paraId="2753A6AB" w14:textId="7D790D2F" w:rsidR="00003A2E" w:rsidRPr="003D6F2A" w:rsidRDefault="008F030F">
            <w:pPr>
              <w:spacing w:after="0" w:line="240" w:lineRule="auto"/>
            </w:pPr>
            <w:r w:rsidRPr="003D6F2A">
              <w:t>Output: energy predictions, calibration/ranking metrics, and domain-shift diagnostics.</w:t>
            </w:r>
          </w:p>
        </w:tc>
      </w:tr>
    </w:tbl>
    <w:p w14:paraId="3FDA8D7A" w14:textId="77777777" w:rsidR="00AE6F0E" w:rsidRPr="003D6F2A" w:rsidRDefault="00AE6F0E">
      <w:pPr>
        <w:pStyle w:val="BodyText"/>
        <w:ind w:firstLine="259"/>
        <w:jc w:val="both"/>
        <w:rPr>
          <w:strike/>
        </w:rPr>
      </w:pPr>
    </w:p>
    <w:p w14:paraId="25D96E08" w14:textId="63DD678E" w:rsidR="00003A2E" w:rsidRPr="003D6F2A" w:rsidRDefault="008F030F">
      <w:pPr>
        <w:pStyle w:val="BodyText"/>
        <w:ind w:firstLine="259"/>
        <w:jc w:val="both"/>
      </w:pPr>
      <w:r w:rsidRPr="003D6F2A">
        <w:t>Algorithm 1 provides the common experimental procedure used in Sections 4.1–4.6; only the training/test domain definition changes across the within-family, pooled, leave-dataset-out, leave-family-out, and held-out-GPU evaluations.</w:t>
      </w:r>
    </w:p>
    <w:p w14:paraId="215EE2FA" w14:textId="77777777" w:rsidR="00003A2E" w:rsidRPr="003D6F2A" w:rsidRDefault="008F030F">
      <w:pPr>
        <w:pStyle w:val="Heading2"/>
        <w:spacing w:before="160" w:after="80"/>
        <w:rPr>
          <w:color w:val="auto"/>
        </w:rPr>
      </w:pPr>
      <w:bookmarkStart w:id="14" w:name="X7971ae78529a8215a49c0397c644ae6a7d7ce48"/>
      <w:bookmarkEnd w:id="13"/>
      <w:r w:rsidRPr="003D6F2A">
        <w:rPr>
          <w:color w:val="auto"/>
        </w:rPr>
        <w:t>3.6 CAL-GATE: applicability-aware deployment procedure</w:t>
      </w:r>
    </w:p>
    <w:p w14:paraId="503661E4" w14:textId="49D301A4" w:rsidR="00003A2E" w:rsidRPr="003D6F2A" w:rsidRDefault="008F030F">
      <w:pPr>
        <w:ind w:firstLine="259"/>
        <w:jc w:val="both"/>
      </w:pPr>
      <w:r w:rsidRPr="003D6F2A">
        <w:t>The domain-shift experiments motivate a separate applicability layer because a predictor may preserve rank ordering while losing absolute calibration outside its training support. CAL-GATE operationalizes this distinction by classifying a requested prediction as within support, requiring recalibration, or pilot-calibrated. It does not replace the underlying regressor; rather, it governs how the regressor’s output should be interpreted under domain shift.</w:t>
      </w:r>
    </w:p>
    <w:p w14:paraId="51565632" w14:textId="117DBDF2" w:rsidR="00003A2E" w:rsidRPr="003D6F2A" w:rsidRDefault="008F030F">
      <w:pPr>
        <w:pStyle w:val="BodyText"/>
        <w:ind w:firstLine="259"/>
        <w:jc w:val="both"/>
      </w:pPr>
      <w:r w:rsidRPr="003D6F2A">
        <w:t>For a candidate feature vector x*, Equation (10) defines the standardized nearest-neighbor distance to the calibration set over the shared numeric features. The diagonal matrix S = diag(s₁, …, sₚ) contains feature-scale terms estimated from the training data, so no single variable dominates the support measure solely because of its numerical units.</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67351B47" w14:textId="77777777">
        <w:trPr>
          <w:cantSplit/>
          <w:tblHeader/>
          <w:jc w:val="center"/>
        </w:trPr>
        <w:tc>
          <w:tcPr>
            <w:tcW w:w="792" w:type="dxa"/>
            <w:tcMar>
              <w:top w:w="0" w:type="dxa"/>
              <w:left w:w="0" w:type="dxa"/>
              <w:bottom w:w="0" w:type="dxa"/>
              <w:right w:w="0" w:type="dxa"/>
            </w:tcMar>
            <w:vAlign w:val="center"/>
          </w:tcPr>
          <w:p w14:paraId="7835AB5B"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3DFBB12D" w14:textId="77777777" w:rsidR="00003A2E" w:rsidRPr="003D6F2A" w:rsidRDefault="008F030F">
            <w:pPr>
              <w:spacing w:before="20" w:after="0" w:line="240" w:lineRule="auto"/>
              <w:jc w:val="center"/>
            </w:pPr>
            <m:oMathPara>
              <m:oMathParaPr>
                <m:jc m:val="center"/>
              </m:oMathParaPr>
              <m:oMath>
                <m:r>
                  <w:rPr>
                    <w:rFonts w:ascii="Cambria Math" w:hAnsi="Cambria Math"/>
                  </w:rPr>
                  <m:t>d</m:t>
                </m:r>
                <m:d>
                  <m:dPr>
                    <m:ctrlPr>
                      <w:rPr>
                        <w:rFonts w:ascii="Cambria Math" w:hAnsi="Cambria Math"/>
                      </w:rPr>
                    </m:ctrlPr>
                  </m:dPr>
                  <m:e>
                    <m:sSup>
                      <m:sSupPr>
                        <m:ctrlPr>
                          <w:rPr>
                            <w:rFonts w:ascii="Cambria Math" w:hAnsi="Cambria Math"/>
                          </w:rPr>
                        </m:ctrlPr>
                      </m:sSupPr>
                      <m:e>
                        <m:r>
                          <m:rPr>
                            <m:sty m:val="b"/>
                          </m:rPr>
                          <w:rPr>
                            <w:rFonts w:ascii="Cambria Math" w:hAnsi="Cambria Math"/>
                          </w:rPr>
                          <m:t>x</m:t>
                        </m:r>
                      </m:e>
                      <m:sup>
                        <m:r>
                          <m:rPr>
                            <m:sty m:val="p"/>
                          </m:rPr>
                          <w:rPr>
                            <w:rFonts w:ascii="Cambria Math" w:hAnsi="Cambria Math"/>
                          </w:rPr>
                          <m:t>*</m:t>
                        </m:r>
                      </m:sup>
                    </m:sSup>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X</m:t>
                        </m:r>
                      </m:e>
                      <m:sub>
                        <m:r>
                          <m:rPr>
                            <m:sty m:val="p"/>
                          </m:rPr>
                          <w:rPr>
                            <w:rFonts w:ascii="Cambria Math" w:hAnsi="Cambria Math"/>
                          </w:rPr>
                          <m:t>train</m:t>
                        </m:r>
                      </m:sub>
                    </m:sSub>
                  </m:lim>
                </m:limLow>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r>
                              <m:rPr>
                                <m:sty m:val="b"/>
                              </m:rPr>
                              <w:rPr>
                                <w:rFonts w:ascii="Cambria Math" w:hAnsi="Cambria Math"/>
                              </w:rPr>
                              <m:t>S</m:t>
                            </m:r>
                          </m:e>
                          <m:sup>
                            <m:r>
                              <m:rPr>
                                <m:sty m:val="p"/>
                              </m:rPr>
                              <w:rPr>
                                <w:rFonts w:ascii="Cambria Math" w:hAnsi="Cambria Math"/>
                              </w:rPr>
                              <m:t>-</m:t>
                            </m:r>
                            <m:r>
                              <w:rPr>
                                <w:rFonts w:ascii="Cambria Math" w:hAnsi="Cambria Math"/>
                              </w:rPr>
                              <m:t>1</m:t>
                            </m:r>
                          </m:sup>
                        </m:sSup>
                        <m:d>
                          <m:dPr>
                            <m:ctrlPr>
                              <w:rPr>
                                <w:rFonts w:ascii="Cambria Math" w:hAnsi="Cambria Math"/>
                              </w:rPr>
                            </m:ctrlPr>
                          </m:dPr>
                          <m:e>
                            <m:sSup>
                              <m:sSupPr>
                                <m:ctrlPr>
                                  <w:rPr>
                                    <w:rFonts w:ascii="Cambria Math" w:hAnsi="Cambria Math"/>
                                  </w:rPr>
                                </m:ctrlPr>
                              </m:sSupPr>
                              <m:e>
                                <m:r>
                                  <m:rPr>
                                    <m:sty m:val="b"/>
                                  </m:rPr>
                                  <w:rPr>
                                    <w:rFonts w:ascii="Cambria Math" w:hAnsi="Cambria Math"/>
                                  </w:rPr>
                                  <m:t>x</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e>
                        </m:d>
                      </m:e>
                    </m:d>
                  </m:e>
                  <m:sub>
                    <m:r>
                      <w:rPr>
                        <w:rFonts w:ascii="Cambria Math" w:hAnsi="Cambria Math"/>
                      </w:rPr>
                      <m:t>2</m:t>
                    </m:r>
                  </m:sub>
                </m:sSub>
              </m:oMath>
            </m:oMathPara>
          </w:p>
        </w:tc>
        <w:tc>
          <w:tcPr>
            <w:tcW w:w="792" w:type="dxa"/>
            <w:tcMar>
              <w:top w:w="0" w:type="dxa"/>
              <w:left w:w="0" w:type="dxa"/>
              <w:bottom w:w="0" w:type="dxa"/>
              <w:right w:w="0" w:type="dxa"/>
            </w:tcMar>
            <w:vAlign w:val="center"/>
          </w:tcPr>
          <w:p w14:paraId="7BC8F392" w14:textId="77777777" w:rsidR="00003A2E" w:rsidRPr="003D6F2A" w:rsidRDefault="008F030F">
            <w:pPr>
              <w:spacing w:before="20" w:after="0" w:line="240" w:lineRule="auto"/>
              <w:jc w:val="right"/>
            </w:pPr>
            <w:r w:rsidRPr="003D6F2A">
              <w:rPr>
                <w:b/>
                <w:sz w:val="17"/>
              </w:rPr>
              <w:t>(10)</w:t>
            </w:r>
          </w:p>
        </w:tc>
      </w:tr>
    </w:tbl>
    <w:p w14:paraId="7B645A91" w14:textId="4FACF9F5" w:rsidR="00003A2E" w:rsidRPr="003D6F2A" w:rsidRDefault="008F030F">
      <w:pPr>
        <w:ind w:firstLine="259"/>
        <w:jc w:val="both"/>
      </w:pPr>
      <w:r w:rsidRPr="003D6F2A">
        <w:lastRenderedPageBreak/>
        <w:t>Equation (11) derives the applicability threshold δ from the leave-one-out nearest-neighbor distances of the calibration data, using the 95th percentile as a conservative default. This threshold is fixed from the training distribution and therefore does not require target labels for the initial support decision.</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1E288797" w14:textId="77777777">
        <w:trPr>
          <w:cantSplit/>
          <w:tblHeader/>
          <w:jc w:val="center"/>
        </w:trPr>
        <w:tc>
          <w:tcPr>
            <w:tcW w:w="792" w:type="dxa"/>
            <w:tcMar>
              <w:top w:w="0" w:type="dxa"/>
              <w:left w:w="0" w:type="dxa"/>
              <w:bottom w:w="0" w:type="dxa"/>
              <w:right w:w="0" w:type="dxa"/>
            </w:tcMar>
            <w:vAlign w:val="center"/>
          </w:tcPr>
          <w:p w14:paraId="53F35C78"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3A2F41BC" w14:textId="77777777" w:rsidR="00003A2E" w:rsidRPr="003D6F2A" w:rsidRDefault="008F030F">
            <w:pPr>
              <w:spacing w:before="20" w:after="0" w:line="240" w:lineRule="auto"/>
              <w:jc w:val="center"/>
            </w:pPr>
            <m:oMathPara>
              <m:oMathParaPr>
                <m:jc m:val="center"/>
              </m:oMathParaPr>
              <m:oMath>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0.95</m:t>
                    </m:r>
                  </m:sub>
                </m:sSub>
                <m:d>
                  <m:dPr>
                    <m:ctrlPr>
                      <w:rPr>
                        <w:rFonts w:ascii="Cambria Math" w:hAnsi="Cambria Math"/>
                      </w:rPr>
                    </m:ctrlPr>
                  </m:dPr>
                  <m:e>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m:rPr>
                                    <m:sty m:val="p"/>
                                  </m:rPr>
                                  <w:rPr>
                                    <w:rFonts w:ascii="Cambria Math" w:hAnsi="Cambria Math"/>
                                  </w:rPr>
                                  <m:t>-</m:t>
                                </m:r>
                                <m:r>
                                  <w:rPr>
                                    <w:rFonts w:ascii="Cambria Math" w:hAnsi="Cambria Math"/>
                                  </w:rPr>
                                  <m:t>i</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e>
                            </m:d>
                          </m:e>
                        </m:d>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e>
                </m:d>
              </m:oMath>
            </m:oMathPara>
          </w:p>
        </w:tc>
        <w:tc>
          <w:tcPr>
            <w:tcW w:w="792" w:type="dxa"/>
            <w:tcMar>
              <w:top w:w="0" w:type="dxa"/>
              <w:left w:w="0" w:type="dxa"/>
              <w:bottom w:w="0" w:type="dxa"/>
              <w:right w:w="0" w:type="dxa"/>
            </w:tcMar>
            <w:vAlign w:val="center"/>
          </w:tcPr>
          <w:p w14:paraId="41F9907B" w14:textId="77777777" w:rsidR="00003A2E" w:rsidRPr="003D6F2A" w:rsidRDefault="008F030F">
            <w:pPr>
              <w:spacing w:before="20" w:after="0" w:line="240" w:lineRule="auto"/>
              <w:jc w:val="right"/>
            </w:pPr>
            <w:r w:rsidRPr="003D6F2A">
              <w:rPr>
                <w:b/>
                <w:sz w:val="17"/>
              </w:rPr>
              <w:t>(11)</w:t>
            </w:r>
          </w:p>
        </w:tc>
      </w:tr>
    </w:tbl>
    <w:p w14:paraId="13E67B95" w14:textId="032677BC" w:rsidR="00003A2E" w:rsidRPr="003D6F2A" w:rsidRDefault="008F030F">
      <w:pPr>
        <w:ind w:firstLine="259"/>
        <w:jc w:val="both"/>
      </w:pPr>
      <w:r w:rsidRPr="003D6F2A">
        <w:t>When a candidate lies outside the support region, or when its architecture family or hardware domain is absent from training, CAL-GATE marks the raw estimate as requiring recalibration rather than interpreting it as physically calibrated. If a small labelled pilot set is available in the target domain, Equation (12) estimates a robust multiplicative factor α from the median ratio of measured to predicted energy and applies that factor to subsequent predictions.</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5FC08034" w14:textId="77777777">
        <w:trPr>
          <w:cantSplit/>
          <w:tblHeader/>
          <w:jc w:val="center"/>
        </w:trPr>
        <w:tc>
          <w:tcPr>
            <w:tcW w:w="792" w:type="dxa"/>
            <w:tcMar>
              <w:top w:w="0" w:type="dxa"/>
              <w:left w:w="0" w:type="dxa"/>
              <w:bottom w:w="0" w:type="dxa"/>
              <w:right w:w="0" w:type="dxa"/>
            </w:tcMar>
            <w:vAlign w:val="center"/>
          </w:tcPr>
          <w:p w14:paraId="0C1FC0CC"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39341865" w14:textId="77777777" w:rsidR="00003A2E" w:rsidRPr="003D6F2A" w:rsidRDefault="008F030F">
            <w:pPr>
              <w:spacing w:before="20" w:after="0" w:line="240" w:lineRule="auto"/>
              <w:jc w:val="center"/>
            </w:pPr>
            <m:oMathPara>
              <m:oMathParaPr>
                <m:jc m:val="center"/>
              </m:oMathParaPr>
              <m:oMath>
                <m:r>
                  <w:rPr>
                    <w:rFonts w:ascii="Cambria Math" w:hAnsi="Cambria Math"/>
                  </w:rPr>
                  <m:t>α</m:t>
                </m:r>
                <m:r>
                  <m:rPr>
                    <m:sty m:val="p"/>
                  </m:rPr>
                  <w:rPr>
                    <w:rFonts w:ascii="Cambria Math" w:hAnsi="Cambria Math"/>
                  </w:rPr>
                  <m:t>=</m:t>
                </m:r>
                <m:sSub>
                  <m:sSubPr>
                    <m:ctrlPr>
                      <w:rPr>
                        <w:rFonts w:ascii="Cambria Math" w:hAnsi="Cambria Math"/>
                      </w:rPr>
                    </m:ctrlPr>
                  </m:sSubPr>
                  <m:e>
                    <m:r>
                      <m:rPr>
                        <m:sty m:val="p"/>
                      </m:rPr>
                      <w:rPr>
                        <w:rFonts w:ascii="Cambria Math" w:hAnsi="Cambria Math"/>
                      </w:rPr>
                      <m:t>median</m:t>
                    </m:r>
                  </m:e>
                  <m:sub>
                    <m:r>
                      <w:rPr>
                        <w:rFonts w:ascii="Cambria Math" w:hAnsi="Cambria Math"/>
                      </w:rPr>
                      <m:t>k</m:t>
                    </m:r>
                    <m:r>
                      <m:rPr>
                        <m:scr m:val="script"/>
                        <m:sty m:val="p"/>
                      </m:rPr>
                      <w:rPr>
                        <w:rFonts w:ascii="Cambria Math" w:hAnsi="Cambria Math"/>
                      </w:rPr>
                      <m:t>∈P</m:t>
                    </m:r>
                  </m:sub>
                </m:sSub>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k</m:t>
                            </m:r>
                          </m:sub>
                        </m:sSub>
                      </m:num>
                      <m:den>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k</m:t>
                            </m:r>
                          </m:sub>
                        </m:sSub>
                      </m:den>
                    </m:f>
                  </m:e>
                </m:d>
                <m:r>
                  <m:rPr>
                    <m:sty m:val="p"/>
                  </m:rPr>
                  <w:rPr>
                    <w:rFonts w:ascii="Cambria Math" w:hAnsi="Cambria Math"/>
                  </w:rPr>
                  <m:t>,</m:t>
                </m:r>
                <m:r>
                  <w:rPr>
                    <w:rFonts w:ascii="Cambria Math" w:hAnsi="Cambria Math"/>
                  </w:rPr>
                  <m:t>  </m:t>
                </m:r>
                <m:sSup>
                  <m:sSupPr>
                    <m:ctrlPr>
                      <w:rPr>
                        <w:rFonts w:ascii="Cambria Math" w:hAnsi="Cambria Math"/>
                      </w:rPr>
                    </m:ctrlPr>
                  </m:sSupPr>
                  <m:e>
                    <m:acc>
                      <m:accPr>
                        <m:ctrlPr>
                          <w:rPr>
                            <w:rFonts w:ascii="Cambria Math" w:hAnsi="Cambria Math"/>
                          </w:rPr>
                        </m:ctrlPr>
                      </m:accPr>
                      <m:e>
                        <m:r>
                          <w:rPr>
                            <w:rFonts w:ascii="Cambria Math" w:hAnsi="Cambria Math"/>
                          </w:rPr>
                          <m:t>E</m:t>
                        </m:r>
                      </m:e>
                    </m:acc>
                  </m:e>
                  <m:sup>
                    <m:r>
                      <m:rPr>
                        <m:sty m:val="p"/>
                      </m:rPr>
                      <w:rPr>
                        <w:rFonts w:ascii="Cambria Math" w:hAnsi="Cambria Math"/>
                      </w:rPr>
                      <m:t>pilot</m:t>
                    </m:r>
                  </m:sup>
                </m:sSup>
                <m:r>
                  <m:rPr>
                    <m:sty m:val="p"/>
                  </m:rPr>
                  <w:rPr>
                    <w:rFonts w:ascii="Cambria Math" w:hAnsi="Cambria Math"/>
                  </w:rPr>
                  <m:t>=</m:t>
                </m:r>
                <m:r>
                  <w:rPr>
                    <w:rFonts w:ascii="Cambria Math" w:hAnsi="Cambria Math"/>
                  </w:rPr>
                  <m:t>α</m:t>
                </m:r>
                <m:acc>
                  <m:accPr>
                    <m:ctrlPr>
                      <w:rPr>
                        <w:rFonts w:ascii="Cambria Math" w:hAnsi="Cambria Math"/>
                      </w:rPr>
                    </m:ctrlPr>
                  </m:accPr>
                  <m:e>
                    <m:r>
                      <w:rPr>
                        <w:rFonts w:ascii="Cambria Math" w:hAnsi="Cambria Math"/>
                      </w:rPr>
                      <m:t>E</m:t>
                    </m:r>
                  </m:e>
                </m:acc>
              </m:oMath>
            </m:oMathPara>
          </w:p>
        </w:tc>
        <w:tc>
          <w:tcPr>
            <w:tcW w:w="792" w:type="dxa"/>
            <w:tcMar>
              <w:top w:w="0" w:type="dxa"/>
              <w:left w:w="0" w:type="dxa"/>
              <w:bottom w:w="0" w:type="dxa"/>
              <w:right w:w="0" w:type="dxa"/>
            </w:tcMar>
            <w:vAlign w:val="center"/>
          </w:tcPr>
          <w:p w14:paraId="1E989CB5" w14:textId="77777777" w:rsidR="00003A2E" w:rsidRPr="003D6F2A" w:rsidRDefault="008F030F">
            <w:pPr>
              <w:spacing w:before="20" w:after="0" w:line="240" w:lineRule="auto"/>
              <w:jc w:val="right"/>
            </w:pPr>
            <w:r w:rsidRPr="003D6F2A">
              <w:rPr>
                <w:b/>
                <w:sz w:val="17"/>
              </w:rPr>
              <w:t>(12)</w:t>
            </w:r>
          </w:p>
        </w:tc>
      </w:tr>
    </w:tbl>
    <w:p w14:paraId="53CA3867" w14:textId="77777777" w:rsidR="00AE6F0E" w:rsidRPr="003D6F2A" w:rsidRDefault="00AE6F0E">
      <w:pPr>
        <w:ind w:firstLine="259"/>
        <w:jc w:val="both"/>
        <w:rPr>
          <w:b/>
          <w:bCs/>
        </w:rPr>
      </w:pPr>
    </w:p>
    <w:p w14:paraId="77032A6C" w14:textId="5AAA56A1" w:rsidR="00003A2E" w:rsidRPr="003D6F2A" w:rsidRDefault="008F030F">
      <w:pPr>
        <w:ind w:firstLine="259"/>
        <w:jc w:val="both"/>
      </w:pPr>
      <w:r w:rsidRPr="003D6F2A">
        <w:rPr>
          <w:b/>
          <w:bCs/>
        </w:rPr>
        <w:t>Algorithm 2. CAL-GATE applicability check and optional pilot recalibration.</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642"/>
        <w:gridCol w:w="9208"/>
      </w:tblGrid>
      <w:tr w:rsidR="00003A2E" w:rsidRPr="003D6F2A" w14:paraId="22B7DAAA" w14:textId="77777777">
        <w:trPr>
          <w:cantSplit/>
          <w:tblHeader/>
          <w:jc w:val="center"/>
        </w:trPr>
        <w:tc>
          <w:tcPr>
            <w:tcW w:w="600" w:type="dxa"/>
            <w:tcMar>
              <w:top w:w="70" w:type="dxa"/>
              <w:left w:w="70" w:type="dxa"/>
              <w:bottom w:w="70" w:type="dxa"/>
              <w:right w:w="70" w:type="dxa"/>
            </w:tcMar>
            <w:vAlign w:val="center"/>
          </w:tcPr>
          <w:p w14:paraId="4F7F61C7" w14:textId="77777777" w:rsidR="00003A2E" w:rsidRPr="003D6F2A" w:rsidRDefault="008F030F">
            <w:pPr>
              <w:spacing w:after="0" w:line="240" w:lineRule="auto"/>
            </w:pPr>
            <w:r w:rsidRPr="003D6F2A">
              <w:rPr>
                <w:b/>
                <w:sz w:val="17"/>
              </w:rPr>
              <w:t>Line</w:t>
            </w:r>
          </w:p>
        </w:tc>
        <w:tc>
          <w:tcPr>
            <w:tcW w:w="8600" w:type="dxa"/>
            <w:tcMar>
              <w:top w:w="70" w:type="dxa"/>
              <w:left w:w="70" w:type="dxa"/>
              <w:bottom w:w="70" w:type="dxa"/>
              <w:right w:w="70" w:type="dxa"/>
            </w:tcMar>
            <w:vAlign w:val="center"/>
          </w:tcPr>
          <w:p w14:paraId="64D6E263" w14:textId="77777777" w:rsidR="00003A2E" w:rsidRPr="003D6F2A" w:rsidRDefault="008F030F">
            <w:pPr>
              <w:spacing w:after="0" w:line="240" w:lineRule="auto"/>
            </w:pPr>
            <w:r w:rsidRPr="003D6F2A">
              <w:rPr>
                <w:b/>
                <w:sz w:val="17"/>
              </w:rPr>
              <w:t>Procedure</w:t>
            </w:r>
          </w:p>
        </w:tc>
      </w:tr>
      <w:tr w:rsidR="00003A2E" w:rsidRPr="003D6F2A" w14:paraId="7C499A3F" w14:textId="77777777">
        <w:trPr>
          <w:cantSplit/>
          <w:jc w:val="center"/>
        </w:trPr>
        <w:tc>
          <w:tcPr>
            <w:tcW w:w="600" w:type="dxa"/>
            <w:tcMar>
              <w:top w:w="70" w:type="dxa"/>
              <w:left w:w="70" w:type="dxa"/>
              <w:bottom w:w="70" w:type="dxa"/>
              <w:right w:w="70" w:type="dxa"/>
            </w:tcMar>
            <w:vAlign w:val="center"/>
          </w:tcPr>
          <w:p w14:paraId="024C786A" w14:textId="77777777" w:rsidR="00003A2E" w:rsidRPr="003D6F2A" w:rsidRDefault="008F030F">
            <w:pPr>
              <w:spacing w:after="0" w:line="240" w:lineRule="auto"/>
            </w:pPr>
            <w:r w:rsidRPr="003D6F2A">
              <w:rPr>
                <w:sz w:val="17"/>
              </w:rPr>
              <w:t>1</w:t>
            </w:r>
          </w:p>
        </w:tc>
        <w:tc>
          <w:tcPr>
            <w:tcW w:w="8600" w:type="dxa"/>
            <w:tcMar>
              <w:top w:w="70" w:type="dxa"/>
              <w:left w:w="70" w:type="dxa"/>
              <w:bottom w:w="70" w:type="dxa"/>
              <w:right w:w="70" w:type="dxa"/>
            </w:tcMar>
            <w:vAlign w:val="center"/>
          </w:tcPr>
          <w:p w14:paraId="4AB42704" w14:textId="1ECEC389" w:rsidR="00003A2E" w:rsidRPr="003D6F2A" w:rsidRDefault="008F030F">
            <w:pPr>
              <w:spacing w:after="0" w:line="240" w:lineRule="auto"/>
            </w:pPr>
            <w:r w:rsidRPr="003D6F2A">
              <w:t xml:space="preserve">Input: trained predictor </w:t>
            </w:r>
            <w:proofErr w:type="spellStart"/>
            <w:r w:rsidRPr="003D6F2A">
              <w:t>fθ</w:t>
            </w:r>
            <w:proofErr w:type="spellEnd"/>
            <w:r w:rsidRPr="003D6F2A">
              <w:t>, candidate vector x*, calibration support Xₜᵣₐᵢₙ, applicability threshold δ, known family/hardware labels, and an optional labelled pilot set P.</w:t>
            </w:r>
          </w:p>
        </w:tc>
      </w:tr>
      <w:tr w:rsidR="00003A2E" w:rsidRPr="003D6F2A" w14:paraId="4F73DC6B" w14:textId="77777777">
        <w:trPr>
          <w:cantSplit/>
          <w:jc w:val="center"/>
        </w:trPr>
        <w:tc>
          <w:tcPr>
            <w:tcW w:w="600" w:type="dxa"/>
            <w:tcMar>
              <w:top w:w="70" w:type="dxa"/>
              <w:left w:w="70" w:type="dxa"/>
              <w:bottom w:w="70" w:type="dxa"/>
              <w:right w:w="70" w:type="dxa"/>
            </w:tcMar>
            <w:vAlign w:val="center"/>
          </w:tcPr>
          <w:p w14:paraId="2EAF52E8" w14:textId="77777777" w:rsidR="00003A2E" w:rsidRPr="003D6F2A" w:rsidRDefault="008F030F">
            <w:pPr>
              <w:spacing w:after="0" w:line="240" w:lineRule="auto"/>
            </w:pPr>
            <w:r w:rsidRPr="003D6F2A">
              <w:rPr>
                <w:sz w:val="17"/>
              </w:rPr>
              <w:t>2</w:t>
            </w:r>
          </w:p>
        </w:tc>
        <w:tc>
          <w:tcPr>
            <w:tcW w:w="8600" w:type="dxa"/>
            <w:tcMar>
              <w:top w:w="70" w:type="dxa"/>
              <w:left w:w="70" w:type="dxa"/>
              <w:bottom w:w="70" w:type="dxa"/>
              <w:right w:w="70" w:type="dxa"/>
            </w:tcMar>
            <w:vAlign w:val="center"/>
          </w:tcPr>
          <w:p w14:paraId="170C570A" w14:textId="5BE4F27F" w:rsidR="00003A2E" w:rsidRPr="003D6F2A" w:rsidRDefault="008F030F">
            <w:pPr>
              <w:spacing w:after="0" w:line="240" w:lineRule="auto"/>
            </w:pPr>
            <w:r w:rsidRPr="003D6F2A">
              <w:t>Construct the candidate representation x̃* using the feature-construction and masking rules of Algorithm 1.</w:t>
            </w:r>
          </w:p>
        </w:tc>
      </w:tr>
      <w:tr w:rsidR="00003A2E" w:rsidRPr="003D6F2A" w14:paraId="0379F8E1" w14:textId="77777777">
        <w:trPr>
          <w:cantSplit/>
          <w:jc w:val="center"/>
        </w:trPr>
        <w:tc>
          <w:tcPr>
            <w:tcW w:w="600" w:type="dxa"/>
            <w:tcMar>
              <w:top w:w="70" w:type="dxa"/>
              <w:left w:w="70" w:type="dxa"/>
              <w:bottom w:w="70" w:type="dxa"/>
              <w:right w:w="70" w:type="dxa"/>
            </w:tcMar>
            <w:vAlign w:val="center"/>
          </w:tcPr>
          <w:p w14:paraId="2ADBE125" w14:textId="77777777" w:rsidR="00003A2E" w:rsidRPr="003D6F2A" w:rsidRDefault="008F030F">
            <w:pPr>
              <w:spacing w:after="0" w:line="240" w:lineRule="auto"/>
            </w:pPr>
            <w:r w:rsidRPr="003D6F2A">
              <w:rPr>
                <w:sz w:val="17"/>
              </w:rPr>
              <w:t>3</w:t>
            </w:r>
          </w:p>
        </w:tc>
        <w:tc>
          <w:tcPr>
            <w:tcW w:w="8600" w:type="dxa"/>
            <w:tcMar>
              <w:top w:w="70" w:type="dxa"/>
              <w:left w:w="70" w:type="dxa"/>
              <w:bottom w:w="70" w:type="dxa"/>
              <w:right w:w="70" w:type="dxa"/>
            </w:tcMar>
            <w:vAlign w:val="center"/>
          </w:tcPr>
          <w:p w14:paraId="50590DF9" w14:textId="626391B4" w:rsidR="00003A2E" w:rsidRPr="003D6F2A" w:rsidRDefault="008F030F">
            <w:pPr>
              <w:spacing w:after="0" w:line="240" w:lineRule="auto"/>
            </w:pPr>
            <w:r w:rsidRPr="003D6F2A">
              <w:t>Compute the support distance d(x*) from Eq. (10) and compare it with the threshold δ from Eq. (11).</w:t>
            </w:r>
          </w:p>
        </w:tc>
      </w:tr>
      <w:tr w:rsidR="00003A2E" w:rsidRPr="003D6F2A" w14:paraId="3EA0468E" w14:textId="77777777">
        <w:trPr>
          <w:cantSplit/>
          <w:jc w:val="center"/>
        </w:trPr>
        <w:tc>
          <w:tcPr>
            <w:tcW w:w="600" w:type="dxa"/>
            <w:tcMar>
              <w:top w:w="70" w:type="dxa"/>
              <w:left w:w="70" w:type="dxa"/>
              <w:bottom w:w="70" w:type="dxa"/>
              <w:right w:w="70" w:type="dxa"/>
            </w:tcMar>
            <w:vAlign w:val="center"/>
          </w:tcPr>
          <w:p w14:paraId="794D8708" w14:textId="77777777" w:rsidR="00003A2E" w:rsidRPr="003D6F2A" w:rsidRDefault="008F030F">
            <w:pPr>
              <w:spacing w:after="0" w:line="240" w:lineRule="auto"/>
            </w:pPr>
            <w:r w:rsidRPr="003D6F2A">
              <w:rPr>
                <w:sz w:val="17"/>
              </w:rPr>
              <w:t>4</w:t>
            </w:r>
          </w:p>
        </w:tc>
        <w:tc>
          <w:tcPr>
            <w:tcW w:w="8600" w:type="dxa"/>
            <w:tcMar>
              <w:top w:w="70" w:type="dxa"/>
              <w:left w:w="70" w:type="dxa"/>
              <w:bottom w:w="70" w:type="dxa"/>
              <w:right w:w="70" w:type="dxa"/>
            </w:tcMar>
            <w:vAlign w:val="center"/>
          </w:tcPr>
          <w:p w14:paraId="2E42400F" w14:textId="3D9F7CD5" w:rsidR="00003A2E" w:rsidRPr="003D6F2A" w:rsidRDefault="008F030F">
            <w:pPr>
              <w:spacing w:after="0" w:line="240" w:lineRule="auto"/>
            </w:pPr>
            <w:r w:rsidRPr="003D6F2A">
              <w:t>If the architecture family and hardware domain are represented in the calibration data and d(x*) ≤ δ, return the raw prediction with status “within support”.</w:t>
            </w:r>
          </w:p>
        </w:tc>
      </w:tr>
      <w:tr w:rsidR="00003A2E" w:rsidRPr="003D6F2A" w14:paraId="2C88775B" w14:textId="77777777">
        <w:trPr>
          <w:cantSplit/>
          <w:jc w:val="center"/>
        </w:trPr>
        <w:tc>
          <w:tcPr>
            <w:tcW w:w="600" w:type="dxa"/>
            <w:tcMar>
              <w:top w:w="70" w:type="dxa"/>
              <w:left w:w="70" w:type="dxa"/>
              <w:bottom w:w="70" w:type="dxa"/>
              <w:right w:w="70" w:type="dxa"/>
            </w:tcMar>
            <w:vAlign w:val="center"/>
          </w:tcPr>
          <w:p w14:paraId="25BF9DE3" w14:textId="77777777" w:rsidR="00003A2E" w:rsidRPr="003D6F2A" w:rsidRDefault="008F030F">
            <w:pPr>
              <w:spacing w:after="0" w:line="240" w:lineRule="auto"/>
            </w:pPr>
            <w:r w:rsidRPr="003D6F2A">
              <w:rPr>
                <w:sz w:val="17"/>
              </w:rPr>
              <w:t>5</w:t>
            </w:r>
          </w:p>
        </w:tc>
        <w:tc>
          <w:tcPr>
            <w:tcW w:w="8600" w:type="dxa"/>
            <w:tcMar>
              <w:top w:w="70" w:type="dxa"/>
              <w:left w:w="70" w:type="dxa"/>
              <w:bottom w:w="70" w:type="dxa"/>
              <w:right w:w="70" w:type="dxa"/>
            </w:tcMar>
            <w:vAlign w:val="center"/>
          </w:tcPr>
          <w:p w14:paraId="4318E14F" w14:textId="354F20A8" w:rsidR="00003A2E" w:rsidRPr="003D6F2A" w:rsidRDefault="008F030F">
            <w:pPr>
              <w:spacing w:after="0" w:line="240" w:lineRule="auto"/>
            </w:pPr>
            <w:r w:rsidRPr="003D6F2A">
              <w:t>If the request is outside support and no pilot measurements are available, return the prediction for ranking only with status “recalibration required”.</w:t>
            </w:r>
          </w:p>
        </w:tc>
      </w:tr>
      <w:tr w:rsidR="00003A2E" w:rsidRPr="003D6F2A" w14:paraId="3B3639DC" w14:textId="77777777">
        <w:trPr>
          <w:cantSplit/>
          <w:jc w:val="center"/>
        </w:trPr>
        <w:tc>
          <w:tcPr>
            <w:tcW w:w="600" w:type="dxa"/>
            <w:tcMar>
              <w:top w:w="70" w:type="dxa"/>
              <w:left w:w="70" w:type="dxa"/>
              <w:bottom w:w="70" w:type="dxa"/>
              <w:right w:w="70" w:type="dxa"/>
            </w:tcMar>
            <w:vAlign w:val="center"/>
          </w:tcPr>
          <w:p w14:paraId="0A57A7DE" w14:textId="77777777" w:rsidR="00003A2E" w:rsidRPr="003D6F2A" w:rsidRDefault="008F030F">
            <w:pPr>
              <w:spacing w:after="0" w:line="240" w:lineRule="auto"/>
            </w:pPr>
            <w:r w:rsidRPr="003D6F2A">
              <w:rPr>
                <w:sz w:val="17"/>
              </w:rPr>
              <w:t>6</w:t>
            </w:r>
          </w:p>
        </w:tc>
        <w:tc>
          <w:tcPr>
            <w:tcW w:w="8600" w:type="dxa"/>
            <w:tcMar>
              <w:top w:w="70" w:type="dxa"/>
              <w:left w:w="70" w:type="dxa"/>
              <w:bottom w:w="70" w:type="dxa"/>
              <w:right w:w="70" w:type="dxa"/>
            </w:tcMar>
            <w:vAlign w:val="center"/>
          </w:tcPr>
          <w:p w14:paraId="5FCF9FE7" w14:textId="1B09655A" w:rsidR="00003A2E" w:rsidRPr="003D6F2A" w:rsidRDefault="008F030F">
            <w:pPr>
              <w:spacing w:after="0" w:line="240" w:lineRule="auto"/>
            </w:pPr>
            <w:r w:rsidRPr="003D6F2A">
              <w:t>If pilot measurements are available, compute α and the recalibrated estimate using Eq. (12).</w:t>
            </w:r>
          </w:p>
        </w:tc>
      </w:tr>
      <w:tr w:rsidR="00003A2E" w:rsidRPr="003D6F2A" w14:paraId="3A762EF5" w14:textId="77777777">
        <w:trPr>
          <w:cantSplit/>
          <w:jc w:val="center"/>
        </w:trPr>
        <w:tc>
          <w:tcPr>
            <w:tcW w:w="600" w:type="dxa"/>
            <w:tcMar>
              <w:top w:w="70" w:type="dxa"/>
              <w:left w:w="70" w:type="dxa"/>
              <w:bottom w:w="70" w:type="dxa"/>
              <w:right w:w="70" w:type="dxa"/>
            </w:tcMar>
            <w:vAlign w:val="center"/>
          </w:tcPr>
          <w:p w14:paraId="2A5677B4" w14:textId="77777777" w:rsidR="00003A2E" w:rsidRPr="003D6F2A" w:rsidRDefault="008F030F">
            <w:pPr>
              <w:spacing w:after="0" w:line="240" w:lineRule="auto"/>
            </w:pPr>
            <w:r w:rsidRPr="003D6F2A">
              <w:rPr>
                <w:sz w:val="17"/>
              </w:rPr>
              <w:t>7</w:t>
            </w:r>
          </w:p>
        </w:tc>
        <w:tc>
          <w:tcPr>
            <w:tcW w:w="8600" w:type="dxa"/>
            <w:tcMar>
              <w:top w:w="70" w:type="dxa"/>
              <w:left w:w="70" w:type="dxa"/>
              <w:bottom w:w="70" w:type="dxa"/>
              <w:right w:w="70" w:type="dxa"/>
            </w:tcMar>
            <w:vAlign w:val="center"/>
          </w:tcPr>
          <w:p w14:paraId="523AF281" w14:textId="726C913F" w:rsidR="00003A2E" w:rsidRPr="003D6F2A" w:rsidRDefault="008F030F">
            <w:pPr>
              <w:spacing w:after="0" w:line="240" w:lineRule="auto"/>
            </w:pPr>
            <w:r w:rsidRPr="003D6F2A">
              <w:t>Return the recalibrated estimate with status “pilot calibrated” while retaining the original domain-shift flag.</w:t>
            </w:r>
          </w:p>
        </w:tc>
      </w:tr>
    </w:tbl>
    <w:p w14:paraId="3636E22B" w14:textId="77777777" w:rsidR="00AE6F0E" w:rsidRPr="003D6F2A" w:rsidRDefault="00AE6F0E">
      <w:pPr>
        <w:pStyle w:val="BodyText"/>
        <w:ind w:firstLine="259"/>
        <w:jc w:val="both"/>
        <w:rPr>
          <w:strike/>
        </w:rPr>
      </w:pPr>
    </w:p>
    <w:p w14:paraId="62F43CA7" w14:textId="101950A1" w:rsidR="00003A2E" w:rsidRPr="003D6F2A" w:rsidRDefault="008F030F">
      <w:pPr>
        <w:pStyle w:val="BodyText"/>
        <w:ind w:firstLine="259"/>
        <w:jc w:val="both"/>
      </w:pPr>
      <w:r w:rsidRPr="003D6F2A">
        <w:t>CAL-GATE is not used to alter the retrospective accuracy results reported in Section 4. Instead, it is presented as a prospective deployment safeguard derived from the observed transfer failures. The current study therefore establishes the procedure and its rationale, whereas prospective optimisation of the support threshold and pilot-set size remains future work.</w:t>
      </w:r>
    </w:p>
    <w:p w14:paraId="4EC7AFBA" w14:textId="30AB5781" w:rsidR="00003A2E" w:rsidRPr="003D6F2A" w:rsidRDefault="008F030F">
      <w:pPr>
        <w:pStyle w:val="Heading2"/>
        <w:spacing w:before="160" w:after="80"/>
        <w:rPr>
          <w:color w:val="auto"/>
        </w:rPr>
      </w:pPr>
      <w:bookmarkStart w:id="15" w:name="baselines-and-model-selection-bake-off"/>
      <w:bookmarkEnd w:id="14"/>
      <w:r w:rsidRPr="003D6F2A">
        <w:rPr>
          <w:color w:val="auto"/>
        </w:rPr>
        <w:br/>
        <w:t>3.7 Baselines and model selection</w:t>
      </w:r>
    </w:p>
    <w:p w14:paraId="5DAD6356" w14:textId="6456A4F6" w:rsidR="00003A2E" w:rsidRPr="003D6F2A" w:rsidRDefault="008F030F">
      <w:pPr>
        <w:ind w:firstLine="259"/>
        <w:jc w:val="both"/>
      </w:pPr>
      <w:r w:rsidRPr="003D6F2A">
        <w:t xml:space="preserve">The evaluation uses two baseline levels. A parameter-count-only linear regression provides a parsimonious analytical baseline, while a four-layer MLP following the EC-NAS surrogate design provides a stronger learned baseline [6]. Random Forest, XGBoost, and a feed-forward neural network are first compared on the pooled shared-core representation; Table 5 and Fig. 4 report this model-selection experiment. </w:t>
      </w:r>
      <w:r w:rsidRPr="000501A6">
        <w:rPr>
          <w:highlight w:val="cyan"/>
        </w:rPr>
        <w:t>Log-target training reduces percentage error relative to raw-target training, whereas the three nonlinear candidates achieve almost identical rank correlation</w:t>
      </w:r>
      <w:r w:rsidRPr="003D6F2A">
        <w:t>. Random Forest is therefore selected for the remaining experiments because its tabular performance is competitive and its computational requirements are modest [16–19].</w:t>
      </w:r>
    </w:p>
    <w:p w14:paraId="5FC8C23E" w14:textId="77777777" w:rsidR="00003A2E" w:rsidRPr="003D6F2A" w:rsidRDefault="008F030F">
      <w:pPr>
        <w:pStyle w:val="BodyText"/>
        <w:keepNext/>
        <w:spacing w:before="100" w:after="60"/>
      </w:pPr>
      <w:r w:rsidRPr="003D6F2A">
        <w:rPr>
          <w:i/>
          <w:sz w:val="18"/>
        </w:rPr>
        <w:t>Table 5. Initial pooled-core model comparison.</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182"/>
        <w:gridCol w:w="1379"/>
        <w:gridCol w:w="1970"/>
        <w:gridCol w:w="1773"/>
        <w:gridCol w:w="1477"/>
        <w:gridCol w:w="2069"/>
      </w:tblGrid>
      <w:tr w:rsidR="00003A2E" w:rsidRPr="003D6F2A" w14:paraId="770EF876" w14:textId="77777777">
        <w:trPr>
          <w:cantSplit/>
          <w:tblHeader/>
          <w:jc w:val="center"/>
        </w:trPr>
        <w:tc>
          <w:tcPr>
            <w:tcW w:w="1182" w:type="dxa"/>
            <w:tcMar>
              <w:top w:w="70" w:type="dxa"/>
              <w:left w:w="70" w:type="dxa"/>
              <w:bottom w:w="70" w:type="dxa"/>
              <w:right w:w="70" w:type="dxa"/>
            </w:tcMar>
            <w:vAlign w:val="center"/>
          </w:tcPr>
          <w:p w14:paraId="33D0A2DC" w14:textId="77777777" w:rsidR="00003A2E" w:rsidRPr="003D6F2A" w:rsidRDefault="008F030F">
            <w:pPr>
              <w:spacing w:after="0" w:line="240" w:lineRule="auto"/>
            </w:pPr>
            <w:r w:rsidRPr="003D6F2A">
              <w:rPr>
                <w:b/>
                <w:sz w:val="16"/>
              </w:rPr>
              <w:t>Model</w:t>
            </w:r>
          </w:p>
        </w:tc>
        <w:tc>
          <w:tcPr>
            <w:tcW w:w="1379" w:type="dxa"/>
            <w:tcMar>
              <w:top w:w="70" w:type="dxa"/>
              <w:left w:w="70" w:type="dxa"/>
              <w:bottom w:w="70" w:type="dxa"/>
              <w:right w:w="70" w:type="dxa"/>
            </w:tcMar>
            <w:vAlign w:val="center"/>
          </w:tcPr>
          <w:p w14:paraId="66049FB2" w14:textId="77777777" w:rsidR="00003A2E" w:rsidRPr="003D6F2A" w:rsidRDefault="008F030F">
            <w:pPr>
              <w:spacing w:after="0" w:line="240" w:lineRule="auto"/>
            </w:pPr>
            <w:r w:rsidRPr="003D6F2A">
              <w:rPr>
                <w:b/>
                <w:sz w:val="16"/>
              </w:rPr>
              <w:t>MAPE raw-trained (%)</w:t>
            </w:r>
          </w:p>
        </w:tc>
        <w:tc>
          <w:tcPr>
            <w:tcW w:w="1970" w:type="dxa"/>
            <w:tcMar>
              <w:top w:w="70" w:type="dxa"/>
              <w:left w:w="70" w:type="dxa"/>
              <w:bottom w:w="70" w:type="dxa"/>
              <w:right w:w="70" w:type="dxa"/>
            </w:tcMar>
            <w:vAlign w:val="center"/>
          </w:tcPr>
          <w:p w14:paraId="5A6F5E55" w14:textId="77777777" w:rsidR="00003A2E" w:rsidRPr="003D6F2A" w:rsidRDefault="008F030F">
            <w:pPr>
              <w:spacing w:after="0" w:line="240" w:lineRule="auto"/>
            </w:pPr>
            <w:r w:rsidRPr="003D6F2A">
              <w:rPr>
                <w:b/>
                <w:sz w:val="16"/>
              </w:rPr>
              <w:t>R² raw-trained</w:t>
            </w:r>
          </w:p>
        </w:tc>
        <w:tc>
          <w:tcPr>
            <w:tcW w:w="1773" w:type="dxa"/>
            <w:tcMar>
              <w:top w:w="70" w:type="dxa"/>
              <w:left w:w="70" w:type="dxa"/>
              <w:bottom w:w="70" w:type="dxa"/>
              <w:right w:w="70" w:type="dxa"/>
            </w:tcMar>
            <w:vAlign w:val="center"/>
          </w:tcPr>
          <w:p w14:paraId="7D82C794" w14:textId="77777777" w:rsidR="00003A2E" w:rsidRPr="003D6F2A" w:rsidRDefault="008F030F">
            <w:pPr>
              <w:spacing w:after="0" w:line="240" w:lineRule="auto"/>
            </w:pPr>
            <w:r w:rsidRPr="003D6F2A">
              <w:rPr>
                <w:b/>
                <w:sz w:val="16"/>
              </w:rPr>
              <w:t>MAPE log-trained (%)</w:t>
            </w:r>
          </w:p>
        </w:tc>
        <w:tc>
          <w:tcPr>
            <w:tcW w:w="1477" w:type="dxa"/>
            <w:tcMar>
              <w:top w:w="70" w:type="dxa"/>
              <w:left w:w="70" w:type="dxa"/>
              <w:bottom w:w="70" w:type="dxa"/>
              <w:right w:w="70" w:type="dxa"/>
            </w:tcMar>
            <w:vAlign w:val="center"/>
          </w:tcPr>
          <w:p w14:paraId="1D2F7DC4" w14:textId="77777777" w:rsidR="00003A2E" w:rsidRPr="003D6F2A" w:rsidRDefault="008F030F">
            <w:pPr>
              <w:spacing w:after="0" w:line="240" w:lineRule="auto"/>
            </w:pPr>
            <w:r w:rsidRPr="003D6F2A">
              <w:rPr>
                <w:b/>
                <w:sz w:val="16"/>
              </w:rPr>
              <w:t>R² log-trained</w:t>
            </w:r>
          </w:p>
        </w:tc>
        <w:tc>
          <w:tcPr>
            <w:tcW w:w="2069" w:type="dxa"/>
            <w:tcMar>
              <w:top w:w="70" w:type="dxa"/>
              <w:left w:w="70" w:type="dxa"/>
              <w:bottom w:w="70" w:type="dxa"/>
              <w:right w:w="70" w:type="dxa"/>
            </w:tcMar>
            <w:vAlign w:val="center"/>
          </w:tcPr>
          <w:p w14:paraId="41F88B90" w14:textId="77777777" w:rsidR="00003A2E" w:rsidRPr="003D6F2A" w:rsidRDefault="008F030F">
            <w:pPr>
              <w:spacing w:after="0" w:line="240" w:lineRule="auto"/>
            </w:pPr>
            <w:r w:rsidRPr="003D6F2A">
              <w:rPr>
                <w:b/>
                <w:sz w:val="16"/>
              </w:rPr>
              <w:t>Kendall τ</w:t>
            </w:r>
          </w:p>
        </w:tc>
      </w:tr>
      <w:tr w:rsidR="00003A2E" w:rsidRPr="003D6F2A" w14:paraId="1A7DECE7" w14:textId="77777777">
        <w:trPr>
          <w:cantSplit/>
          <w:jc w:val="center"/>
        </w:trPr>
        <w:tc>
          <w:tcPr>
            <w:tcW w:w="1182" w:type="dxa"/>
            <w:tcMar>
              <w:top w:w="70" w:type="dxa"/>
              <w:left w:w="70" w:type="dxa"/>
              <w:bottom w:w="70" w:type="dxa"/>
              <w:right w:w="70" w:type="dxa"/>
            </w:tcMar>
            <w:vAlign w:val="center"/>
          </w:tcPr>
          <w:p w14:paraId="145ECF51" w14:textId="77777777" w:rsidR="00003A2E" w:rsidRPr="003D6F2A" w:rsidRDefault="008F030F">
            <w:pPr>
              <w:spacing w:after="0" w:line="240" w:lineRule="auto"/>
            </w:pPr>
            <w:r w:rsidRPr="003D6F2A">
              <w:rPr>
                <w:sz w:val="16"/>
              </w:rPr>
              <w:t>Linear (parameters only)</w:t>
            </w:r>
          </w:p>
        </w:tc>
        <w:tc>
          <w:tcPr>
            <w:tcW w:w="1379" w:type="dxa"/>
            <w:tcMar>
              <w:top w:w="70" w:type="dxa"/>
              <w:left w:w="70" w:type="dxa"/>
              <w:bottom w:w="70" w:type="dxa"/>
              <w:right w:w="70" w:type="dxa"/>
            </w:tcMar>
            <w:vAlign w:val="center"/>
          </w:tcPr>
          <w:p w14:paraId="14440110" w14:textId="77777777" w:rsidR="00003A2E" w:rsidRPr="003D6F2A" w:rsidRDefault="008F030F">
            <w:pPr>
              <w:spacing w:after="0" w:line="240" w:lineRule="auto"/>
            </w:pPr>
            <w:r w:rsidRPr="003D6F2A">
              <w:rPr>
                <w:sz w:val="16"/>
              </w:rPr>
              <w:t>265.3</w:t>
            </w:r>
          </w:p>
        </w:tc>
        <w:tc>
          <w:tcPr>
            <w:tcW w:w="1970" w:type="dxa"/>
            <w:tcMar>
              <w:top w:w="70" w:type="dxa"/>
              <w:left w:w="70" w:type="dxa"/>
              <w:bottom w:w="70" w:type="dxa"/>
              <w:right w:w="70" w:type="dxa"/>
            </w:tcMar>
            <w:vAlign w:val="center"/>
          </w:tcPr>
          <w:p w14:paraId="0FE983DB" w14:textId="77777777" w:rsidR="00003A2E" w:rsidRPr="003D6F2A" w:rsidRDefault="008F030F">
            <w:pPr>
              <w:spacing w:after="0" w:line="240" w:lineRule="auto"/>
            </w:pPr>
            <w:r w:rsidRPr="003D6F2A">
              <w:rPr>
                <w:sz w:val="16"/>
              </w:rPr>
              <w:t>0.195</w:t>
            </w:r>
          </w:p>
        </w:tc>
        <w:tc>
          <w:tcPr>
            <w:tcW w:w="1773" w:type="dxa"/>
            <w:tcMar>
              <w:top w:w="70" w:type="dxa"/>
              <w:left w:w="70" w:type="dxa"/>
              <w:bottom w:w="70" w:type="dxa"/>
              <w:right w:w="70" w:type="dxa"/>
            </w:tcMar>
            <w:vAlign w:val="center"/>
          </w:tcPr>
          <w:p w14:paraId="0C740F26" w14:textId="77777777" w:rsidR="00003A2E" w:rsidRPr="003D6F2A" w:rsidRDefault="008F030F">
            <w:pPr>
              <w:spacing w:after="0" w:line="240" w:lineRule="auto"/>
            </w:pPr>
            <w:r w:rsidRPr="003D6F2A">
              <w:rPr>
                <w:sz w:val="16"/>
              </w:rPr>
              <w:t>128.3</w:t>
            </w:r>
          </w:p>
        </w:tc>
        <w:tc>
          <w:tcPr>
            <w:tcW w:w="1477" w:type="dxa"/>
            <w:tcMar>
              <w:top w:w="70" w:type="dxa"/>
              <w:left w:w="70" w:type="dxa"/>
              <w:bottom w:w="70" w:type="dxa"/>
              <w:right w:w="70" w:type="dxa"/>
            </w:tcMar>
            <w:vAlign w:val="center"/>
          </w:tcPr>
          <w:p w14:paraId="5B75ED2F" w14:textId="77777777" w:rsidR="00003A2E" w:rsidRPr="003D6F2A" w:rsidRDefault="008F030F">
            <w:pPr>
              <w:spacing w:after="0" w:line="240" w:lineRule="auto"/>
            </w:pPr>
            <w:r w:rsidRPr="003D6F2A">
              <w:rPr>
                <w:sz w:val="16"/>
              </w:rPr>
              <w:t>0.090</w:t>
            </w:r>
          </w:p>
        </w:tc>
        <w:tc>
          <w:tcPr>
            <w:tcW w:w="2069" w:type="dxa"/>
            <w:tcMar>
              <w:top w:w="70" w:type="dxa"/>
              <w:left w:w="70" w:type="dxa"/>
              <w:bottom w:w="70" w:type="dxa"/>
              <w:right w:w="70" w:type="dxa"/>
            </w:tcMar>
            <w:vAlign w:val="center"/>
          </w:tcPr>
          <w:p w14:paraId="56190FBF" w14:textId="77777777" w:rsidR="00003A2E" w:rsidRPr="003D6F2A" w:rsidRDefault="008F030F">
            <w:pPr>
              <w:spacing w:after="0" w:line="240" w:lineRule="auto"/>
            </w:pPr>
            <w:r w:rsidRPr="003D6F2A">
              <w:rPr>
                <w:sz w:val="16"/>
              </w:rPr>
              <w:t>0.282</w:t>
            </w:r>
          </w:p>
        </w:tc>
      </w:tr>
      <w:tr w:rsidR="00003A2E" w:rsidRPr="003D6F2A" w14:paraId="6CB78878" w14:textId="77777777">
        <w:trPr>
          <w:cantSplit/>
          <w:jc w:val="center"/>
        </w:trPr>
        <w:tc>
          <w:tcPr>
            <w:tcW w:w="1182" w:type="dxa"/>
            <w:tcMar>
              <w:top w:w="70" w:type="dxa"/>
              <w:left w:w="70" w:type="dxa"/>
              <w:bottom w:w="70" w:type="dxa"/>
              <w:right w:w="70" w:type="dxa"/>
            </w:tcMar>
            <w:vAlign w:val="center"/>
          </w:tcPr>
          <w:p w14:paraId="6BF61D93" w14:textId="77777777" w:rsidR="00003A2E" w:rsidRPr="003D6F2A" w:rsidRDefault="008F030F">
            <w:pPr>
              <w:spacing w:after="0" w:line="240" w:lineRule="auto"/>
            </w:pPr>
            <w:r w:rsidRPr="003D6F2A">
              <w:rPr>
                <w:sz w:val="16"/>
              </w:rPr>
              <w:t>Random Forest</w:t>
            </w:r>
          </w:p>
        </w:tc>
        <w:tc>
          <w:tcPr>
            <w:tcW w:w="1379" w:type="dxa"/>
            <w:tcMar>
              <w:top w:w="70" w:type="dxa"/>
              <w:left w:w="70" w:type="dxa"/>
              <w:bottom w:w="70" w:type="dxa"/>
              <w:right w:w="70" w:type="dxa"/>
            </w:tcMar>
            <w:vAlign w:val="center"/>
          </w:tcPr>
          <w:p w14:paraId="5BD9916D" w14:textId="77777777" w:rsidR="00003A2E" w:rsidRPr="003D6F2A" w:rsidRDefault="008F030F">
            <w:pPr>
              <w:spacing w:after="0" w:line="240" w:lineRule="auto"/>
            </w:pPr>
            <w:r w:rsidRPr="003D6F2A">
              <w:rPr>
                <w:sz w:val="16"/>
              </w:rPr>
              <w:t>220.5</w:t>
            </w:r>
          </w:p>
        </w:tc>
        <w:tc>
          <w:tcPr>
            <w:tcW w:w="1970" w:type="dxa"/>
            <w:tcMar>
              <w:top w:w="70" w:type="dxa"/>
              <w:left w:w="70" w:type="dxa"/>
              <w:bottom w:w="70" w:type="dxa"/>
              <w:right w:w="70" w:type="dxa"/>
            </w:tcMar>
            <w:vAlign w:val="center"/>
          </w:tcPr>
          <w:p w14:paraId="44ACFA8F" w14:textId="77777777" w:rsidR="00003A2E" w:rsidRPr="003D6F2A" w:rsidRDefault="008F030F">
            <w:pPr>
              <w:spacing w:after="0" w:line="240" w:lineRule="auto"/>
            </w:pPr>
            <w:r w:rsidRPr="003D6F2A">
              <w:rPr>
                <w:sz w:val="16"/>
              </w:rPr>
              <w:t>0.221</w:t>
            </w:r>
          </w:p>
        </w:tc>
        <w:tc>
          <w:tcPr>
            <w:tcW w:w="1773" w:type="dxa"/>
            <w:tcMar>
              <w:top w:w="70" w:type="dxa"/>
              <w:left w:w="70" w:type="dxa"/>
              <w:bottom w:w="70" w:type="dxa"/>
              <w:right w:w="70" w:type="dxa"/>
            </w:tcMar>
            <w:vAlign w:val="center"/>
          </w:tcPr>
          <w:p w14:paraId="3B15125F" w14:textId="77777777" w:rsidR="00003A2E" w:rsidRPr="003D6F2A" w:rsidRDefault="008F030F">
            <w:pPr>
              <w:spacing w:after="0" w:line="240" w:lineRule="auto"/>
            </w:pPr>
            <w:r w:rsidRPr="003D6F2A">
              <w:rPr>
                <w:sz w:val="16"/>
              </w:rPr>
              <w:t>119.0</w:t>
            </w:r>
          </w:p>
        </w:tc>
        <w:tc>
          <w:tcPr>
            <w:tcW w:w="1477" w:type="dxa"/>
            <w:tcMar>
              <w:top w:w="70" w:type="dxa"/>
              <w:left w:w="70" w:type="dxa"/>
              <w:bottom w:w="70" w:type="dxa"/>
              <w:right w:w="70" w:type="dxa"/>
            </w:tcMar>
            <w:vAlign w:val="center"/>
          </w:tcPr>
          <w:p w14:paraId="326E98DC" w14:textId="77777777" w:rsidR="00003A2E" w:rsidRPr="003D6F2A" w:rsidRDefault="008F030F">
            <w:pPr>
              <w:spacing w:after="0" w:line="240" w:lineRule="auto"/>
            </w:pPr>
            <w:r w:rsidRPr="003D6F2A">
              <w:rPr>
                <w:sz w:val="16"/>
              </w:rPr>
              <w:t>0.126</w:t>
            </w:r>
          </w:p>
        </w:tc>
        <w:tc>
          <w:tcPr>
            <w:tcW w:w="2069" w:type="dxa"/>
            <w:tcMar>
              <w:top w:w="70" w:type="dxa"/>
              <w:left w:w="70" w:type="dxa"/>
              <w:bottom w:w="70" w:type="dxa"/>
              <w:right w:w="70" w:type="dxa"/>
            </w:tcMar>
            <w:vAlign w:val="center"/>
          </w:tcPr>
          <w:p w14:paraId="57EAFB4C" w14:textId="77777777" w:rsidR="00003A2E" w:rsidRPr="003D6F2A" w:rsidRDefault="008F030F">
            <w:pPr>
              <w:spacing w:after="0" w:line="240" w:lineRule="auto"/>
            </w:pPr>
            <w:r w:rsidRPr="003D6F2A">
              <w:rPr>
                <w:sz w:val="16"/>
              </w:rPr>
              <w:t>0.336</w:t>
            </w:r>
          </w:p>
        </w:tc>
      </w:tr>
      <w:tr w:rsidR="00003A2E" w:rsidRPr="003D6F2A" w14:paraId="2CDA3115" w14:textId="77777777">
        <w:trPr>
          <w:cantSplit/>
          <w:jc w:val="center"/>
        </w:trPr>
        <w:tc>
          <w:tcPr>
            <w:tcW w:w="1182" w:type="dxa"/>
            <w:tcMar>
              <w:top w:w="70" w:type="dxa"/>
              <w:left w:w="70" w:type="dxa"/>
              <w:bottom w:w="70" w:type="dxa"/>
              <w:right w:w="70" w:type="dxa"/>
            </w:tcMar>
            <w:vAlign w:val="center"/>
          </w:tcPr>
          <w:p w14:paraId="57FB5915" w14:textId="77777777" w:rsidR="00003A2E" w:rsidRPr="003D6F2A" w:rsidRDefault="008F030F">
            <w:pPr>
              <w:spacing w:after="0" w:line="240" w:lineRule="auto"/>
            </w:pPr>
            <w:r w:rsidRPr="003D6F2A">
              <w:rPr>
                <w:sz w:val="16"/>
              </w:rPr>
              <w:t>XGBoost</w:t>
            </w:r>
          </w:p>
        </w:tc>
        <w:tc>
          <w:tcPr>
            <w:tcW w:w="1379" w:type="dxa"/>
            <w:tcMar>
              <w:top w:w="70" w:type="dxa"/>
              <w:left w:w="70" w:type="dxa"/>
              <w:bottom w:w="70" w:type="dxa"/>
              <w:right w:w="70" w:type="dxa"/>
            </w:tcMar>
            <w:vAlign w:val="center"/>
          </w:tcPr>
          <w:p w14:paraId="60954D46" w14:textId="77777777" w:rsidR="00003A2E" w:rsidRPr="003D6F2A" w:rsidRDefault="008F030F">
            <w:pPr>
              <w:spacing w:after="0" w:line="240" w:lineRule="auto"/>
            </w:pPr>
            <w:r w:rsidRPr="003D6F2A">
              <w:rPr>
                <w:sz w:val="16"/>
              </w:rPr>
              <w:t>220.8</w:t>
            </w:r>
          </w:p>
        </w:tc>
        <w:tc>
          <w:tcPr>
            <w:tcW w:w="1970" w:type="dxa"/>
            <w:tcMar>
              <w:top w:w="70" w:type="dxa"/>
              <w:left w:w="70" w:type="dxa"/>
              <w:bottom w:w="70" w:type="dxa"/>
              <w:right w:w="70" w:type="dxa"/>
            </w:tcMar>
            <w:vAlign w:val="center"/>
          </w:tcPr>
          <w:p w14:paraId="5AC25DAE" w14:textId="77777777" w:rsidR="00003A2E" w:rsidRPr="003D6F2A" w:rsidRDefault="008F030F">
            <w:pPr>
              <w:spacing w:after="0" w:line="240" w:lineRule="auto"/>
            </w:pPr>
            <w:r w:rsidRPr="003D6F2A">
              <w:rPr>
                <w:sz w:val="16"/>
              </w:rPr>
              <w:t>0.221</w:t>
            </w:r>
          </w:p>
        </w:tc>
        <w:tc>
          <w:tcPr>
            <w:tcW w:w="1773" w:type="dxa"/>
            <w:tcMar>
              <w:top w:w="70" w:type="dxa"/>
              <w:left w:w="70" w:type="dxa"/>
              <w:bottom w:w="70" w:type="dxa"/>
              <w:right w:w="70" w:type="dxa"/>
            </w:tcMar>
            <w:vAlign w:val="center"/>
          </w:tcPr>
          <w:p w14:paraId="6D90C196" w14:textId="77777777" w:rsidR="00003A2E" w:rsidRPr="003D6F2A" w:rsidRDefault="008F030F">
            <w:pPr>
              <w:spacing w:after="0" w:line="240" w:lineRule="auto"/>
            </w:pPr>
            <w:r w:rsidRPr="003D6F2A">
              <w:rPr>
                <w:sz w:val="16"/>
              </w:rPr>
              <w:t>119.3</w:t>
            </w:r>
          </w:p>
        </w:tc>
        <w:tc>
          <w:tcPr>
            <w:tcW w:w="1477" w:type="dxa"/>
            <w:tcMar>
              <w:top w:w="70" w:type="dxa"/>
              <w:left w:w="70" w:type="dxa"/>
              <w:bottom w:w="70" w:type="dxa"/>
              <w:right w:w="70" w:type="dxa"/>
            </w:tcMar>
            <w:vAlign w:val="center"/>
          </w:tcPr>
          <w:p w14:paraId="655F8E7A" w14:textId="77777777" w:rsidR="00003A2E" w:rsidRPr="003D6F2A" w:rsidRDefault="008F030F">
            <w:pPr>
              <w:spacing w:after="0" w:line="240" w:lineRule="auto"/>
            </w:pPr>
            <w:r w:rsidRPr="003D6F2A">
              <w:rPr>
                <w:sz w:val="16"/>
              </w:rPr>
              <w:t>0.126</w:t>
            </w:r>
          </w:p>
        </w:tc>
        <w:tc>
          <w:tcPr>
            <w:tcW w:w="2069" w:type="dxa"/>
            <w:tcMar>
              <w:top w:w="70" w:type="dxa"/>
              <w:left w:w="70" w:type="dxa"/>
              <w:bottom w:w="70" w:type="dxa"/>
              <w:right w:w="70" w:type="dxa"/>
            </w:tcMar>
            <w:vAlign w:val="center"/>
          </w:tcPr>
          <w:p w14:paraId="1DE9C93F" w14:textId="77777777" w:rsidR="00003A2E" w:rsidRPr="003D6F2A" w:rsidRDefault="008F030F">
            <w:pPr>
              <w:spacing w:after="0" w:line="240" w:lineRule="auto"/>
            </w:pPr>
            <w:r w:rsidRPr="003D6F2A">
              <w:rPr>
                <w:sz w:val="16"/>
              </w:rPr>
              <w:t>0.336</w:t>
            </w:r>
          </w:p>
        </w:tc>
      </w:tr>
      <w:tr w:rsidR="00003A2E" w:rsidRPr="003D6F2A" w14:paraId="2167D81E" w14:textId="77777777">
        <w:trPr>
          <w:cantSplit/>
          <w:jc w:val="center"/>
        </w:trPr>
        <w:tc>
          <w:tcPr>
            <w:tcW w:w="1182" w:type="dxa"/>
            <w:tcMar>
              <w:top w:w="70" w:type="dxa"/>
              <w:left w:w="70" w:type="dxa"/>
              <w:bottom w:w="70" w:type="dxa"/>
              <w:right w:w="70" w:type="dxa"/>
            </w:tcMar>
            <w:vAlign w:val="center"/>
          </w:tcPr>
          <w:p w14:paraId="4999B923" w14:textId="77777777" w:rsidR="00003A2E" w:rsidRPr="003D6F2A" w:rsidRDefault="008F030F">
            <w:pPr>
              <w:spacing w:after="0" w:line="240" w:lineRule="auto"/>
            </w:pPr>
            <w:r w:rsidRPr="003D6F2A">
              <w:rPr>
                <w:sz w:val="16"/>
              </w:rPr>
              <w:lastRenderedPageBreak/>
              <w:t>Feed-forward neural network</w:t>
            </w:r>
          </w:p>
        </w:tc>
        <w:tc>
          <w:tcPr>
            <w:tcW w:w="1379" w:type="dxa"/>
            <w:tcMar>
              <w:top w:w="70" w:type="dxa"/>
              <w:left w:w="70" w:type="dxa"/>
              <w:bottom w:w="70" w:type="dxa"/>
              <w:right w:w="70" w:type="dxa"/>
            </w:tcMar>
            <w:vAlign w:val="center"/>
          </w:tcPr>
          <w:p w14:paraId="29604AA2" w14:textId="77777777" w:rsidR="00003A2E" w:rsidRPr="003D6F2A" w:rsidRDefault="008F030F">
            <w:pPr>
              <w:spacing w:after="0" w:line="240" w:lineRule="auto"/>
            </w:pPr>
            <w:r w:rsidRPr="003D6F2A">
              <w:rPr>
                <w:sz w:val="16"/>
              </w:rPr>
              <w:t>223.6</w:t>
            </w:r>
          </w:p>
        </w:tc>
        <w:tc>
          <w:tcPr>
            <w:tcW w:w="1970" w:type="dxa"/>
            <w:tcMar>
              <w:top w:w="70" w:type="dxa"/>
              <w:left w:w="70" w:type="dxa"/>
              <w:bottom w:w="70" w:type="dxa"/>
              <w:right w:w="70" w:type="dxa"/>
            </w:tcMar>
            <w:vAlign w:val="center"/>
          </w:tcPr>
          <w:p w14:paraId="6E1BF74D" w14:textId="77777777" w:rsidR="00003A2E" w:rsidRPr="003D6F2A" w:rsidRDefault="008F030F">
            <w:pPr>
              <w:spacing w:after="0" w:line="240" w:lineRule="auto"/>
            </w:pPr>
            <w:r w:rsidRPr="003D6F2A">
              <w:rPr>
                <w:sz w:val="16"/>
              </w:rPr>
              <w:t>0.227</w:t>
            </w:r>
          </w:p>
        </w:tc>
        <w:tc>
          <w:tcPr>
            <w:tcW w:w="1773" w:type="dxa"/>
            <w:tcMar>
              <w:top w:w="70" w:type="dxa"/>
              <w:left w:w="70" w:type="dxa"/>
              <w:bottom w:w="70" w:type="dxa"/>
              <w:right w:w="70" w:type="dxa"/>
            </w:tcMar>
            <w:vAlign w:val="center"/>
          </w:tcPr>
          <w:p w14:paraId="41EB25A1" w14:textId="77777777" w:rsidR="00003A2E" w:rsidRPr="003D6F2A" w:rsidRDefault="008F030F">
            <w:pPr>
              <w:spacing w:after="0" w:line="240" w:lineRule="auto"/>
            </w:pPr>
            <w:r w:rsidRPr="003D6F2A">
              <w:rPr>
                <w:sz w:val="16"/>
              </w:rPr>
              <w:t>118.2</w:t>
            </w:r>
          </w:p>
        </w:tc>
        <w:tc>
          <w:tcPr>
            <w:tcW w:w="1477" w:type="dxa"/>
            <w:tcMar>
              <w:top w:w="70" w:type="dxa"/>
              <w:left w:w="70" w:type="dxa"/>
              <w:bottom w:w="70" w:type="dxa"/>
              <w:right w:w="70" w:type="dxa"/>
            </w:tcMar>
            <w:vAlign w:val="center"/>
          </w:tcPr>
          <w:p w14:paraId="750F7776" w14:textId="77777777" w:rsidR="00003A2E" w:rsidRPr="003D6F2A" w:rsidRDefault="008F030F">
            <w:pPr>
              <w:spacing w:after="0" w:line="240" w:lineRule="auto"/>
            </w:pPr>
            <w:r w:rsidRPr="003D6F2A">
              <w:rPr>
                <w:sz w:val="16"/>
              </w:rPr>
              <w:t>0.110</w:t>
            </w:r>
          </w:p>
        </w:tc>
        <w:tc>
          <w:tcPr>
            <w:tcW w:w="2069" w:type="dxa"/>
            <w:tcMar>
              <w:top w:w="70" w:type="dxa"/>
              <w:left w:w="70" w:type="dxa"/>
              <w:bottom w:w="70" w:type="dxa"/>
              <w:right w:w="70" w:type="dxa"/>
            </w:tcMar>
            <w:vAlign w:val="center"/>
          </w:tcPr>
          <w:p w14:paraId="6D66F23C" w14:textId="77777777" w:rsidR="00003A2E" w:rsidRPr="003D6F2A" w:rsidRDefault="008F030F">
            <w:pPr>
              <w:spacing w:after="0" w:line="240" w:lineRule="auto"/>
            </w:pPr>
            <w:r w:rsidRPr="003D6F2A">
              <w:rPr>
                <w:sz w:val="16"/>
              </w:rPr>
              <w:t>0.335</w:t>
            </w:r>
          </w:p>
        </w:tc>
      </w:tr>
    </w:tbl>
    <w:p w14:paraId="27DAB52A" w14:textId="77777777" w:rsidR="00003A2E" w:rsidRPr="003D6F2A" w:rsidRDefault="008F030F">
      <w:pPr>
        <w:jc w:val="center"/>
      </w:pPr>
      <w:r w:rsidRPr="003D6F2A">
        <w:rPr>
          <w:noProof/>
        </w:rPr>
        <w:drawing>
          <wp:inline distT="0" distB="0" distL="0" distR="0" wp14:anchorId="47F39787" wp14:editId="6708EB3C">
            <wp:extent cx="5943600" cy="3017486"/>
            <wp:effectExtent l="0" t="0" r="0" b="0"/>
            <wp:docPr id="44" name="Picture" descr="Fig. 4. Initial model-selection bake-off on the pooled shared-core representation. R² and Kendall’s τ are shown on the primary axis and log-trained MAPE on the secondary axis. The nearly identical rank performance of the nonlinear candidates motivates selection of the simpler tree ensemble rather than a claim of model-class superiority."/>
            <wp:cNvGraphicFramePr/>
            <a:graphic xmlns:a="http://schemas.openxmlformats.org/drawingml/2006/main">
              <a:graphicData uri="http://schemas.openxmlformats.org/drawingml/2006/picture">
                <pic:pic xmlns:pic="http://schemas.openxmlformats.org/drawingml/2006/picture">
                  <pic:nvPicPr>
                    <pic:cNvPr id="45" name="Picture" descr="/mnt/data/cal_energy_figures_revised/fig4_model_selection.png"/>
                    <pic:cNvPicPr>
                      <a:picLocks noChangeAspect="1" noChangeArrowheads="1"/>
                    </pic:cNvPicPr>
                  </pic:nvPicPr>
                  <pic:blipFill>
                    <a:blip r:embed="rId10"/>
                    <a:stretch>
                      <a:fillRect/>
                    </a:stretch>
                  </pic:blipFill>
                  <pic:spPr bwMode="auto">
                    <a:xfrm>
                      <a:off x="0" y="0"/>
                      <a:ext cx="5943600" cy="3017486"/>
                    </a:xfrm>
                    <a:prstGeom prst="rect">
                      <a:avLst/>
                    </a:prstGeom>
                    <a:noFill/>
                    <a:ln w="9525">
                      <a:noFill/>
                      <a:headEnd/>
                      <a:tailEnd/>
                    </a:ln>
                  </pic:spPr>
                </pic:pic>
              </a:graphicData>
            </a:graphic>
          </wp:inline>
        </w:drawing>
      </w:r>
    </w:p>
    <w:p w14:paraId="0C64E3ED" w14:textId="1256E026" w:rsidR="00003A2E" w:rsidRPr="003D6F2A" w:rsidRDefault="008F030F">
      <w:pPr>
        <w:ind w:firstLine="259"/>
        <w:jc w:val="both"/>
      </w:pPr>
      <w:r w:rsidRPr="003D6F2A">
        <w:t>Fig. 4. Initial model-selection comparison on the pooled shared-core representation. R² and Kendall’s τ are reported together with log-trained MAPE. The three nonlinear candidates exhibit nearly identical rank correlation; therefore, Random Forest is retained on computational and tabular-modelling grounds rather than on a claim of statistical dominance.</w:t>
      </w:r>
    </w:p>
    <w:p w14:paraId="1588C282" w14:textId="77777777" w:rsidR="00003A2E" w:rsidRPr="003D6F2A" w:rsidRDefault="008F030F">
      <w:pPr>
        <w:pStyle w:val="Heading2"/>
        <w:spacing w:before="160" w:after="80"/>
        <w:rPr>
          <w:color w:val="auto"/>
        </w:rPr>
      </w:pPr>
      <w:bookmarkStart w:id="16" w:name="X36ab641093933d341226bbad43a857794fb6bf1"/>
      <w:bookmarkEnd w:id="15"/>
      <w:r w:rsidRPr="003D6F2A">
        <w:rPr>
          <w:color w:val="auto"/>
        </w:rPr>
        <w:t>3.8 Evaluation metrics and statistical validation</w:t>
      </w:r>
    </w:p>
    <w:p w14:paraId="3A9AACAD" w14:textId="5AEBAFAF" w:rsidR="00003A2E" w:rsidRPr="003D6F2A" w:rsidRDefault="008F030F">
      <w:pPr>
        <w:ind w:firstLine="259"/>
        <w:jc w:val="both"/>
      </w:pPr>
      <w:r w:rsidRPr="003D6F2A">
        <w:t>Performance is evaluated using three complementary metrics because no single statistic captures relative error, absolute-scale fit, and candidate ordering simultaneously. MAPE measures relative absolute error but can become unstable when observed values approach zero [15]; the percentage form used in this study is defined in Equation (7), where n is the number of test observations, Eᵢ is the measured energy, and Êᵢ is the prediction.</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62450C35" w14:textId="77777777">
        <w:trPr>
          <w:cantSplit/>
          <w:tblHeader/>
          <w:jc w:val="center"/>
        </w:trPr>
        <w:tc>
          <w:tcPr>
            <w:tcW w:w="792" w:type="dxa"/>
            <w:tcMar>
              <w:top w:w="0" w:type="dxa"/>
              <w:left w:w="0" w:type="dxa"/>
              <w:bottom w:w="0" w:type="dxa"/>
              <w:right w:w="0" w:type="dxa"/>
            </w:tcMar>
            <w:vAlign w:val="center"/>
          </w:tcPr>
          <w:p w14:paraId="5ADF2C35"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3EAFD268" w14:textId="77777777" w:rsidR="00003A2E" w:rsidRPr="003D6F2A" w:rsidRDefault="008F030F">
            <w:pPr>
              <w:spacing w:before="20" w:after="0" w:line="240" w:lineRule="auto"/>
              <w:jc w:val="center"/>
            </w:pPr>
            <m:oMathPara>
              <m:oMathParaPr>
                <m:jc m:val="center"/>
              </m:oMathParaPr>
              <m:oMath>
                <m:r>
                  <m:rPr>
                    <m:sty m:val="p"/>
                  </m:rPr>
                  <w:rPr>
                    <w:rFonts w:ascii="Cambria Math" w:hAnsi="Cambria Math"/>
                  </w:rPr>
                  <m:t>MAPE=</m:t>
                </m:r>
                <m:f>
                  <m:fPr>
                    <m:ctrlPr>
                      <w:rPr>
                        <w:rFonts w:ascii="Cambria Math" w:hAnsi="Cambria Math"/>
                      </w:rPr>
                    </m:ctrlPr>
                  </m:fPr>
                  <m:num>
                    <m:r>
                      <w:rPr>
                        <w:rFonts w:ascii="Cambria Math" w:hAnsi="Cambria Math"/>
                      </w:rPr>
                      <m:t>100</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i</m:t>
                                </m:r>
                              </m:sub>
                            </m:sSub>
                          </m:num>
                          <m:den>
                            <m:sSub>
                              <m:sSubPr>
                                <m:ctrlPr>
                                  <w:rPr>
                                    <w:rFonts w:ascii="Cambria Math" w:hAnsi="Cambria Math"/>
                                  </w:rPr>
                                </m:ctrlPr>
                              </m:sSubPr>
                              <m:e>
                                <m:r>
                                  <w:rPr>
                                    <w:rFonts w:ascii="Cambria Math" w:hAnsi="Cambria Math"/>
                                  </w:rPr>
                                  <m:t>E</m:t>
                                </m:r>
                              </m:e>
                              <m:sub>
                                <m:r>
                                  <w:rPr>
                                    <w:rFonts w:ascii="Cambria Math" w:hAnsi="Cambria Math"/>
                                  </w:rPr>
                                  <m:t>i</m:t>
                                </m:r>
                              </m:sub>
                            </m:sSub>
                          </m:den>
                        </m:f>
                      </m:e>
                    </m:d>
                  </m:e>
                </m:nary>
              </m:oMath>
            </m:oMathPara>
          </w:p>
        </w:tc>
        <w:tc>
          <w:tcPr>
            <w:tcW w:w="792" w:type="dxa"/>
            <w:tcMar>
              <w:top w:w="0" w:type="dxa"/>
              <w:left w:w="0" w:type="dxa"/>
              <w:bottom w:w="0" w:type="dxa"/>
              <w:right w:w="0" w:type="dxa"/>
            </w:tcMar>
            <w:vAlign w:val="center"/>
          </w:tcPr>
          <w:p w14:paraId="7A27C1DC" w14:textId="77777777" w:rsidR="00003A2E" w:rsidRPr="003D6F2A" w:rsidRDefault="008F030F">
            <w:pPr>
              <w:spacing w:before="20" w:after="0" w:line="240" w:lineRule="auto"/>
              <w:jc w:val="right"/>
            </w:pPr>
            <w:r w:rsidRPr="003D6F2A">
              <w:rPr>
                <w:b/>
                <w:sz w:val="17"/>
              </w:rPr>
              <w:t>(7)</w:t>
            </w:r>
          </w:p>
        </w:tc>
      </w:tr>
    </w:tbl>
    <w:p w14:paraId="0DF22DB1" w14:textId="0981B028" w:rsidR="00003A2E" w:rsidRPr="003D6F2A" w:rsidRDefault="008F030F">
      <w:pPr>
        <w:ind w:firstLine="259"/>
        <w:jc w:val="both"/>
      </w:pPr>
      <w:r w:rsidRPr="003D6F2A">
        <w:t>Equation (8) defines the coefficient of determination, R², where Ē is the mean measured energy in the test set. R² quantifies raw-scale variance explained and is particularly informative for detecting systematic calibration errors that preserve ranking but shift the prediction scale.</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670AE9C3" w14:textId="77777777">
        <w:trPr>
          <w:cantSplit/>
          <w:tblHeader/>
          <w:jc w:val="center"/>
        </w:trPr>
        <w:tc>
          <w:tcPr>
            <w:tcW w:w="792" w:type="dxa"/>
            <w:tcMar>
              <w:top w:w="0" w:type="dxa"/>
              <w:left w:w="0" w:type="dxa"/>
              <w:bottom w:w="0" w:type="dxa"/>
              <w:right w:w="0" w:type="dxa"/>
            </w:tcMar>
            <w:vAlign w:val="center"/>
          </w:tcPr>
          <w:p w14:paraId="1ECF8A03"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1AEE5D19" w14:textId="77777777" w:rsidR="00003A2E" w:rsidRPr="003D6F2A" w:rsidRDefault="008F030F">
            <w:pPr>
              <w:spacing w:before="20" w:after="0" w:line="240" w:lineRule="auto"/>
              <w:jc w:val="center"/>
            </w:pPr>
            <m:oMathPara>
              <m:oMathParaPr>
                <m:jc m:val="center"/>
              </m:oMathParaP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i</m:t>
                                    </m:r>
                                  </m:sub>
                                </m:sSub>
                              </m:e>
                            </m:d>
                          </m:e>
                          <m:sup>
                            <m:r>
                              <w:rPr>
                                <w:rFonts w:ascii="Cambria Math" w:hAnsi="Cambria Math"/>
                              </w:rPr>
                              <m:t>2</m:t>
                            </m:r>
                          </m:sup>
                        </m:sSup>
                      </m:e>
                    </m:nary>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bar>
                                  <m:barPr>
                                    <m:pos m:val="top"/>
                                    <m:ctrlPr>
                                      <w:rPr>
                                        <w:rFonts w:ascii="Cambria Math" w:hAnsi="Cambria Math"/>
                                      </w:rPr>
                                    </m:ctrlPr>
                                  </m:barPr>
                                  <m:e>
                                    <m:r>
                                      <w:rPr>
                                        <w:rFonts w:ascii="Cambria Math" w:hAnsi="Cambria Math"/>
                                      </w:rPr>
                                      <m:t>E</m:t>
                                    </m:r>
                                  </m:e>
                                </m:bar>
                              </m:e>
                            </m:d>
                          </m:e>
                          <m:sup>
                            <m:r>
                              <w:rPr>
                                <w:rFonts w:ascii="Cambria Math" w:hAnsi="Cambria Math"/>
                              </w:rPr>
                              <m:t>2</m:t>
                            </m:r>
                          </m:sup>
                        </m:sSup>
                      </m:e>
                    </m:nary>
                  </m:den>
                </m:f>
              </m:oMath>
            </m:oMathPara>
          </w:p>
        </w:tc>
        <w:tc>
          <w:tcPr>
            <w:tcW w:w="792" w:type="dxa"/>
            <w:tcMar>
              <w:top w:w="0" w:type="dxa"/>
              <w:left w:w="0" w:type="dxa"/>
              <w:bottom w:w="0" w:type="dxa"/>
              <w:right w:w="0" w:type="dxa"/>
            </w:tcMar>
            <w:vAlign w:val="center"/>
          </w:tcPr>
          <w:p w14:paraId="457650EA" w14:textId="77777777" w:rsidR="00003A2E" w:rsidRPr="003D6F2A" w:rsidRDefault="008F030F">
            <w:pPr>
              <w:spacing w:before="20" w:after="0" w:line="240" w:lineRule="auto"/>
              <w:jc w:val="right"/>
            </w:pPr>
            <w:r w:rsidRPr="003D6F2A">
              <w:rPr>
                <w:b/>
                <w:sz w:val="17"/>
              </w:rPr>
              <w:t>(8)</w:t>
            </w:r>
          </w:p>
        </w:tc>
      </w:tr>
    </w:tbl>
    <w:p w14:paraId="28B6C5FE" w14:textId="6AC7059B" w:rsidR="00003A2E" w:rsidRPr="003D6F2A" w:rsidRDefault="008F030F">
      <w:pPr>
        <w:ind w:firstLine="259"/>
        <w:jc w:val="both"/>
      </w:pPr>
      <w:r w:rsidRPr="003D6F2A">
        <w:t>For energy-aware screening, the relative ordering of candidate runs is also important. Equation (9) therefore reports the tie-corrected Kendall rank correlation τᵦ, where C and D are the numbers of concordant and discordant pairs and Tₓ and Tᵧ are tie counts for the two variables [35].</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7027F53A" w14:textId="77777777">
        <w:trPr>
          <w:cantSplit/>
          <w:tblHeader/>
          <w:jc w:val="center"/>
        </w:trPr>
        <w:tc>
          <w:tcPr>
            <w:tcW w:w="792" w:type="dxa"/>
            <w:tcMar>
              <w:top w:w="0" w:type="dxa"/>
              <w:left w:w="0" w:type="dxa"/>
              <w:bottom w:w="0" w:type="dxa"/>
              <w:right w:w="0" w:type="dxa"/>
            </w:tcMar>
            <w:vAlign w:val="center"/>
          </w:tcPr>
          <w:p w14:paraId="06D6672F"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6A413B9B" w14:textId="77777777" w:rsidR="00003A2E" w:rsidRPr="003D6F2A" w:rsidRDefault="008F030F">
            <w:pPr>
              <w:spacing w:before="20" w:after="0" w:line="240" w:lineRule="auto"/>
              <w:jc w:val="center"/>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b</m:t>
                    </m:r>
                  </m:sub>
                </m:sSub>
                <m:r>
                  <m:rPr>
                    <m:sty m:val="p"/>
                  </m:rPr>
                  <w:rPr>
                    <w:rFonts w:ascii="Cambria Math" w:hAnsi="Cambria Math"/>
                  </w:rPr>
                  <m:t>=</m:t>
                </m:r>
                <m:f>
                  <m:fPr>
                    <m:ctrlPr>
                      <w:rPr>
                        <w:rFonts w:ascii="Cambria Math" w:hAnsi="Cambria Math"/>
                      </w:rPr>
                    </m:ctrlPr>
                  </m:fPr>
                  <m:num>
                    <m:r>
                      <w:rPr>
                        <w:rFonts w:ascii="Cambria Math" w:hAnsi="Cambria Math"/>
                      </w:rPr>
                      <m:t>C</m:t>
                    </m:r>
                    <m:r>
                      <m:rPr>
                        <m:sty m:val="p"/>
                      </m:rPr>
                      <w:rPr>
                        <w:rFonts w:ascii="Cambria Math" w:hAnsi="Cambria Math"/>
                      </w:rPr>
                      <m:t>-</m:t>
                    </m:r>
                    <m:r>
                      <w:rPr>
                        <w:rFonts w:ascii="Cambria Math" w:hAnsi="Cambria Math"/>
                      </w:rPr>
                      <m:t>D</m:t>
                    </m:r>
                  </m:num>
                  <m:den>
                    <m:rad>
                      <m:radPr>
                        <m:degHide m:val="1"/>
                        <m:ctrlPr>
                          <w:rPr>
                            <w:rFonts w:ascii="Cambria Math" w:hAnsi="Cambria Math"/>
                          </w:rPr>
                        </m:ctrlPr>
                      </m:radPr>
                      <m:deg/>
                      <m:e>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x</m:t>
                                </m:r>
                              </m:sub>
                            </m:sSub>
                          </m:e>
                        </m:d>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y</m:t>
                                </m:r>
                              </m:sub>
                            </m:sSub>
                          </m:e>
                        </m:d>
                      </m:e>
                    </m:rad>
                  </m:den>
                </m:f>
              </m:oMath>
            </m:oMathPara>
          </w:p>
        </w:tc>
        <w:tc>
          <w:tcPr>
            <w:tcW w:w="792" w:type="dxa"/>
            <w:tcMar>
              <w:top w:w="0" w:type="dxa"/>
              <w:left w:w="0" w:type="dxa"/>
              <w:bottom w:w="0" w:type="dxa"/>
              <w:right w:w="0" w:type="dxa"/>
            </w:tcMar>
            <w:vAlign w:val="center"/>
          </w:tcPr>
          <w:p w14:paraId="639898BA" w14:textId="77777777" w:rsidR="00003A2E" w:rsidRPr="003D6F2A" w:rsidRDefault="008F030F">
            <w:pPr>
              <w:spacing w:before="20" w:after="0" w:line="240" w:lineRule="auto"/>
              <w:jc w:val="right"/>
            </w:pPr>
            <w:r w:rsidRPr="003D6F2A">
              <w:rPr>
                <w:b/>
                <w:sz w:val="17"/>
              </w:rPr>
              <w:t>(9)</w:t>
            </w:r>
          </w:p>
        </w:tc>
      </w:tr>
    </w:tbl>
    <w:p w14:paraId="7374D38A" w14:textId="77777777" w:rsidR="00AE6F0E" w:rsidRPr="003D6F2A" w:rsidRDefault="00AE6F0E">
      <w:pPr>
        <w:ind w:firstLine="259"/>
        <w:jc w:val="both"/>
      </w:pPr>
    </w:p>
    <w:p w14:paraId="47F7B438" w14:textId="3F8F31C3" w:rsidR="00003A2E" w:rsidRPr="003D6F2A" w:rsidRDefault="008F030F">
      <w:pPr>
        <w:ind w:firstLine="259"/>
        <w:jc w:val="both"/>
      </w:pPr>
      <w:r w:rsidRPr="003D6F2A">
        <w:t>Throughout the Results section, Kendall’s τ denotes τᵦ unless otherwise stated. Uncertainty is summarized using large-sample normal intervals, leave-one-dataset-out evaluation, and multi-seed hardware analysis. Because paired per-</w:t>
      </w:r>
      <w:r w:rsidRPr="003D6F2A">
        <w:lastRenderedPageBreak/>
        <w:t>example predictions were not retained for every baseline, small differences between high-performing models are interpreted descriptively rather than claimed as statistically significant.</w:t>
      </w:r>
    </w:p>
    <w:p w14:paraId="04C9B5D1" w14:textId="77777777" w:rsidR="00003A2E" w:rsidRPr="003D6F2A" w:rsidRDefault="008F030F">
      <w:pPr>
        <w:pStyle w:val="Heading2"/>
        <w:spacing w:before="160" w:after="80"/>
        <w:rPr>
          <w:color w:val="auto"/>
        </w:rPr>
      </w:pPr>
      <w:bookmarkStart w:id="17" w:name="computational-complexity"/>
      <w:bookmarkEnd w:id="16"/>
      <w:r w:rsidRPr="003D6F2A">
        <w:rPr>
          <w:color w:val="auto"/>
        </w:rPr>
        <w:t>3.9 Computational complexity</w:t>
      </w:r>
    </w:p>
    <w:p w14:paraId="4950D4DD" w14:textId="719B1EB4" w:rsidR="00003A2E" w:rsidRPr="003D6F2A" w:rsidRDefault="008F030F">
      <w:pPr>
        <w:ind w:firstLine="259"/>
        <w:jc w:val="both"/>
      </w:pPr>
      <w:r w:rsidRPr="003D6F2A">
        <w:t xml:space="preserve">Let n denote the number of training runs, p the number of recorded features, T the number of trees, m the number of candidate features considered at a split, d the average tree depth, and q the number of </w:t>
      </w:r>
      <w:proofErr w:type="gramStart"/>
      <w:r w:rsidRPr="003D6F2A">
        <w:t>candidate</w:t>
      </w:r>
      <w:proofErr w:type="gramEnd"/>
      <w:r w:rsidRPr="003D6F2A">
        <w:t xml:space="preserve"> runs to screen. Table 6 summarizes the resulting asymptotic costs. These costs show that the predictor is computationally lightweight relative to executing DNN training runs; consequently, the principal scalability constraint is coverage of architecture, workload, and hardware domains rather than prediction-time computation.</w:t>
      </w:r>
    </w:p>
    <w:p w14:paraId="3D02F621" w14:textId="77777777" w:rsidR="00003A2E" w:rsidRPr="003D6F2A" w:rsidRDefault="008F030F">
      <w:pPr>
        <w:pStyle w:val="BodyText"/>
        <w:keepNext/>
        <w:spacing w:before="100" w:after="60"/>
      </w:pPr>
      <w:r w:rsidRPr="003D6F2A">
        <w:rPr>
          <w:i/>
          <w:sz w:val="18"/>
        </w:rPr>
        <w:t>Table 6. Computational-complexity summary.</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2758"/>
        <w:gridCol w:w="3546"/>
        <w:gridCol w:w="3546"/>
      </w:tblGrid>
      <w:tr w:rsidR="00003A2E" w:rsidRPr="003D6F2A" w14:paraId="24F1B74E" w14:textId="77777777">
        <w:trPr>
          <w:cantSplit/>
          <w:tblHeader/>
          <w:jc w:val="center"/>
        </w:trPr>
        <w:tc>
          <w:tcPr>
            <w:tcW w:w="2758" w:type="dxa"/>
            <w:tcMar>
              <w:top w:w="70" w:type="dxa"/>
              <w:left w:w="70" w:type="dxa"/>
              <w:bottom w:w="70" w:type="dxa"/>
              <w:right w:w="70" w:type="dxa"/>
            </w:tcMar>
            <w:vAlign w:val="center"/>
          </w:tcPr>
          <w:p w14:paraId="35A933A5" w14:textId="77777777" w:rsidR="00003A2E" w:rsidRPr="003D6F2A" w:rsidRDefault="008F030F">
            <w:pPr>
              <w:spacing w:after="0" w:line="240" w:lineRule="auto"/>
            </w:pPr>
            <w:r w:rsidRPr="003D6F2A">
              <w:rPr>
                <w:b/>
                <w:sz w:val="17"/>
              </w:rPr>
              <w:t>Stage</w:t>
            </w:r>
          </w:p>
        </w:tc>
        <w:tc>
          <w:tcPr>
            <w:tcW w:w="3546" w:type="dxa"/>
            <w:tcMar>
              <w:top w:w="70" w:type="dxa"/>
              <w:left w:w="70" w:type="dxa"/>
              <w:bottom w:w="70" w:type="dxa"/>
              <w:right w:w="70" w:type="dxa"/>
            </w:tcMar>
            <w:vAlign w:val="center"/>
          </w:tcPr>
          <w:p w14:paraId="372F0ABF" w14:textId="77777777" w:rsidR="00003A2E" w:rsidRPr="003D6F2A" w:rsidRDefault="008F030F">
            <w:pPr>
              <w:spacing w:after="0" w:line="240" w:lineRule="auto"/>
            </w:pPr>
            <w:r w:rsidRPr="003D6F2A">
              <w:rPr>
                <w:b/>
                <w:sz w:val="17"/>
              </w:rPr>
              <w:t>Approximate complexity</w:t>
            </w:r>
          </w:p>
        </w:tc>
        <w:tc>
          <w:tcPr>
            <w:tcW w:w="3546" w:type="dxa"/>
            <w:tcMar>
              <w:top w:w="70" w:type="dxa"/>
              <w:left w:w="70" w:type="dxa"/>
              <w:bottom w:w="70" w:type="dxa"/>
              <w:right w:w="70" w:type="dxa"/>
            </w:tcMar>
            <w:vAlign w:val="center"/>
          </w:tcPr>
          <w:p w14:paraId="22BC1802" w14:textId="77777777" w:rsidR="00003A2E" w:rsidRPr="003D6F2A" w:rsidRDefault="008F030F">
            <w:pPr>
              <w:spacing w:after="0" w:line="240" w:lineRule="auto"/>
            </w:pPr>
            <w:r w:rsidRPr="003D6F2A">
              <w:rPr>
                <w:b/>
                <w:sz w:val="17"/>
              </w:rPr>
              <w:t>Practical implication</w:t>
            </w:r>
          </w:p>
        </w:tc>
      </w:tr>
      <w:tr w:rsidR="00003A2E" w:rsidRPr="003D6F2A" w14:paraId="3BBE84B9" w14:textId="77777777">
        <w:trPr>
          <w:cantSplit/>
          <w:jc w:val="center"/>
        </w:trPr>
        <w:tc>
          <w:tcPr>
            <w:tcW w:w="2758" w:type="dxa"/>
            <w:tcMar>
              <w:top w:w="70" w:type="dxa"/>
              <w:left w:w="70" w:type="dxa"/>
              <w:bottom w:w="70" w:type="dxa"/>
              <w:right w:w="70" w:type="dxa"/>
            </w:tcMar>
            <w:vAlign w:val="center"/>
          </w:tcPr>
          <w:p w14:paraId="6811F61D" w14:textId="77777777" w:rsidR="00003A2E" w:rsidRPr="003D6F2A" w:rsidRDefault="008F030F">
            <w:pPr>
              <w:spacing w:after="0" w:line="240" w:lineRule="auto"/>
            </w:pPr>
            <w:r w:rsidRPr="003D6F2A">
              <w:rPr>
                <w:sz w:val="17"/>
              </w:rPr>
              <w:t>Feature construction</w:t>
            </w:r>
          </w:p>
        </w:tc>
        <w:tc>
          <w:tcPr>
            <w:tcW w:w="3546" w:type="dxa"/>
            <w:tcMar>
              <w:top w:w="70" w:type="dxa"/>
              <w:left w:w="70" w:type="dxa"/>
              <w:bottom w:w="70" w:type="dxa"/>
              <w:right w:w="70" w:type="dxa"/>
            </w:tcMar>
            <w:vAlign w:val="center"/>
          </w:tcPr>
          <w:p w14:paraId="141B9B04" w14:textId="77777777" w:rsidR="00003A2E" w:rsidRPr="003D6F2A" w:rsidRDefault="008F030F">
            <w:pPr>
              <w:spacing w:after="0" w:line="240" w:lineRule="auto"/>
            </w:pPr>
            <w:r w:rsidRPr="003D6F2A">
              <w:rPr>
                <w:sz w:val="17"/>
              </w:rPr>
              <w:t>O(np)</w:t>
            </w:r>
          </w:p>
        </w:tc>
        <w:tc>
          <w:tcPr>
            <w:tcW w:w="3546" w:type="dxa"/>
            <w:tcMar>
              <w:top w:w="70" w:type="dxa"/>
              <w:left w:w="70" w:type="dxa"/>
              <w:bottom w:w="70" w:type="dxa"/>
              <w:right w:w="70" w:type="dxa"/>
            </w:tcMar>
            <w:vAlign w:val="center"/>
          </w:tcPr>
          <w:p w14:paraId="0216B230" w14:textId="77777777" w:rsidR="00003A2E" w:rsidRPr="003D6F2A" w:rsidRDefault="008F030F">
            <w:pPr>
              <w:spacing w:after="0" w:line="240" w:lineRule="auto"/>
            </w:pPr>
            <w:r w:rsidRPr="003D6F2A">
              <w:rPr>
                <w:sz w:val="17"/>
              </w:rPr>
              <w:t>Linear in recorded metadata</w:t>
            </w:r>
          </w:p>
        </w:tc>
      </w:tr>
      <w:tr w:rsidR="00003A2E" w:rsidRPr="003D6F2A" w14:paraId="0DA5B3FE" w14:textId="77777777">
        <w:trPr>
          <w:cantSplit/>
          <w:jc w:val="center"/>
        </w:trPr>
        <w:tc>
          <w:tcPr>
            <w:tcW w:w="2758" w:type="dxa"/>
            <w:tcMar>
              <w:top w:w="70" w:type="dxa"/>
              <w:left w:w="70" w:type="dxa"/>
              <w:bottom w:w="70" w:type="dxa"/>
              <w:right w:w="70" w:type="dxa"/>
            </w:tcMar>
            <w:vAlign w:val="center"/>
          </w:tcPr>
          <w:p w14:paraId="16F68A46" w14:textId="77777777" w:rsidR="00003A2E" w:rsidRPr="003D6F2A" w:rsidRDefault="008F030F">
            <w:pPr>
              <w:spacing w:after="0" w:line="240" w:lineRule="auto"/>
            </w:pPr>
            <w:r w:rsidRPr="003D6F2A">
              <w:rPr>
                <w:sz w:val="17"/>
              </w:rPr>
              <w:t>Random-Forest training</w:t>
            </w:r>
          </w:p>
        </w:tc>
        <w:tc>
          <w:tcPr>
            <w:tcW w:w="3546" w:type="dxa"/>
            <w:tcMar>
              <w:top w:w="70" w:type="dxa"/>
              <w:left w:w="70" w:type="dxa"/>
              <w:bottom w:w="70" w:type="dxa"/>
              <w:right w:w="70" w:type="dxa"/>
            </w:tcMar>
            <w:vAlign w:val="center"/>
          </w:tcPr>
          <w:p w14:paraId="0B235A7A" w14:textId="77777777" w:rsidR="00003A2E" w:rsidRPr="003D6F2A" w:rsidRDefault="008F030F">
            <w:pPr>
              <w:spacing w:after="0" w:line="240" w:lineRule="auto"/>
            </w:pPr>
            <w:r w:rsidRPr="003D6F2A">
              <w:rPr>
                <w:sz w:val="17"/>
              </w:rPr>
              <w:t>O(Tmn log n)</w:t>
            </w:r>
          </w:p>
        </w:tc>
        <w:tc>
          <w:tcPr>
            <w:tcW w:w="3546" w:type="dxa"/>
            <w:tcMar>
              <w:top w:w="70" w:type="dxa"/>
              <w:left w:w="70" w:type="dxa"/>
              <w:bottom w:w="70" w:type="dxa"/>
              <w:right w:w="70" w:type="dxa"/>
            </w:tcMar>
            <w:vAlign w:val="center"/>
          </w:tcPr>
          <w:p w14:paraId="6652B2E4" w14:textId="77777777" w:rsidR="00003A2E" w:rsidRPr="003D6F2A" w:rsidRDefault="008F030F">
            <w:pPr>
              <w:spacing w:after="0" w:line="240" w:lineRule="auto"/>
            </w:pPr>
            <w:r w:rsidRPr="003D6F2A">
              <w:rPr>
                <w:sz w:val="17"/>
              </w:rPr>
              <w:t>One-off training cost; trees can be parallelized</w:t>
            </w:r>
          </w:p>
        </w:tc>
      </w:tr>
      <w:tr w:rsidR="00003A2E" w:rsidRPr="003D6F2A" w14:paraId="775A7080" w14:textId="77777777">
        <w:trPr>
          <w:cantSplit/>
          <w:jc w:val="center"/>
        </w:trPr>
        <w:tc>
          <w:tcPr>
            <w:tcW w:w="2758" w:type="dxa"/>
            <w:tcMar>
              <w:top w:w="70" w:type="dxa"/>
              <w:left w:w="70" w:type="dxa"/>
              <w:bottom w:w="70" w:type="dxa"/>
              <w:right w:w="70" w:type="dxa"/>
            </w:tcMar>
            <w:vAlign w:val="center"/>
          </w:tcPr>
          <w:p w14:paraId="28F6BE9D" w14:textId="77777777" w:rsidR="00003A2E" w:rsidRPr="003D6F2A" w:rsidRDefault="008F030F">
            <w:pPr>
              <w:spacing w:after="0" w:line="240" w:lineRule="auto"/>
            </w:pPr>
            <w:r w:rsidRPr="003D6F2A">
              <w:rPr>
                <w:sz w:val="17"/>
              </w:rPr>
              <w:t>Prediction per run</w:t>
            </w:r>
          </w:p>
        </w:tc>
        <w:tc>
          <w:tcPr>
            <w:tcW w:w="3546" w:type="dxa"/>
            <w:tcMar>
              <w:top w:w="70" w:type="dxa"/>
              <w:left w:w="70" w:type="dxa"/>
              <w:bottom w:w="70" w:type="dxa"/>
              <w:right w:w="70" w:type="dxa"/>
            </w:tcMar>
            <w:vAlign w:val="center"/>
          </w:tcPr>
          <w:p w14:paraId="1CFB4E60" w14:textId="77777777" w:rsidR="00003A2E" w:rsidRPr="003D6F2A" w:rsidRDefault="008F030F">
            <w:pPr>
              <w:spacing w:after="0" w:line="240" w:lineRule="auto"/>
            </w:pPr>
            <w:r w:rsidRPr="003D6F2A">
              <w:rPr>
                <w:sz w:val="17"/>
              </w:rPr>
              <w:t>O(Td)</w:t>
            </w:r>
          </w:p>
        </w:tc>
        <w:tc>
          <w:tcPr>
            <w:tcW w:w="3546" w:type="dxa"/>
            <w:tcMar>
              <w:top w:w="70" w:type="dxa"/>
              <w:left w:w="70" w:type="dxa"/>
              <w:bottom w:w="70" w:type="dxa"/>
              <w:right w:w="70" w:type="dxa"/>
            </w:tcMar>
            <w:vAlign w:val="center"/>
          </w:tcPr>
          <w:p w14:paraId="6FFA7B55" w14:textId="77777777" w:rsidR="00003A2E" w:rsidRPr="003D6F2A" w:rsidRDefault="008F030F">
            <w:pPr>
              <w:spacing w:after="0" w:line="240" w:lineRule="auto"/>
            </w:pPr>
            <w:r w:rsidRPr="003D6F2A">
              <w:rPr>
                <w:sz w:val="17"/>
              </w:rPr>
              <w:t>Cheap tabular inference</w:t>
            </w:r>
          </w:p>
        </w:tc>
      </w:tr>
      <w:tr w:rsidR="00003A2E" w:rsidRPr="003D6F2A" w14:paraId="6D1B0B80" w14:textId="77777777">
        <w:trPr>
          <w:cantSplit/>
          <w:jc w:val="center"/>
        </w:trPr>
        <w:tc>
          <w:tcPr>
            <w:tcW w:w="2758" w:type="dxa"/>
            <w:tcMar>
              <w:top w:w="70" w:type="dxa"/>
              <w:left w:w="70" w:type="dxa"/>
              <w:bottom w:w="70" w:type="dxa"/>
              <w:right w:w="70" w:type="dxa"/>
            </w:tcMar>
            <w:vAlign w:val="center"/>
          </w:tcPr>
          <w:p w14:paraId="639ACBAB" w14:textId="77777777" w:rsidR="00003A2E" w:rsidRPr="003D6F2A" w:rsidRDefault="008F030F">
            <w:pPr>
              <w:spacing w:after="0" w:line="240" w:lineRule="auto"/>
            </w:pPr>
            <w:r w:rsidRPr="003D6F2A">
              <w:rPr>
                <w:sz w:val="17"/>
              </w:rPr>
              <w:t>Ranking q candidates</w:t>
            </w:r>
          </w:p>
        </w:tc>
        <w:tc>
          <w:tcPr>
            <w:tcW w:w="3546" w:type="dxa"/>
            <w:tcMar>
              <w:top w:w="70" w:type="dxa"/>
              <w:left w:w="70" w:type="dxa"/>
              <w:bottom w:w="70" w:type="dxa"/>
              <w:right w:w="70" w:type="dxa"/>
            </w:tcMar>
            <w:vAlign w:val="center"/>
          </w:tcPr>
          <w:p w14:paraId="448451FC" w14:textId="77777777" w:rsidR="00003A2E" w:rsidRPr="003D6F2A" w:rsidRDefault="008F030F">
            <w:pPr>
              <w:spacing w:after="0" w:line="240" w:lineRule="auto"/>
            </w:pPr>
            <w:r w:rsidRPr="003D6F2A">
              <w:rPr>
                <w:sz w:val="17"/>
              </w:rPr>
              <w:t>O(qTd + q log q)</w:t>
            </w:r>
          </w:p>
        </w:tc>
        <w:tc>
          <w:tcPr>
            <w:tcW w:w="3546" w:type="dxa"/>
            <w:tcMar>
              <w:top w:w="70" w:type="dxa"/>
              <w:left w:w="70" w:type="dxa"/>
              <w:bottom w:w="70" w:type="dxa"/>
              <w:right w:w="70" w:type="dxa"/>
            </w:tcMar>
            <w:vAlign w:val="center"/>
          </w:tcPr>
          <w:p w14:paraId="234A1BD9" w14:textId="77777777" w:rsidR="00003A2E" w:rsidRPr="003D6F2A" w:rsidRDefault="008F030F">
            <w:pPr>
              <w:spacing w:after="0" w:line="240" w:lineRule="auto"/>
            </w:pPr>
            <w:r w:rsidRPr="003D6F2A">
              <w:rPr>
                <w:sz w:val="17"/>
              </w:rPr>
              <w:t>Suitable for pre-screening large candidate lists</w:t>
            </w:r>
          </w:p>
        </w:tc>
      </w:tr>
      <w:tr w:rsidR="00003A2E" w:rsidRPr="003D6F2A" w14:paraId="7FE52BDB" w14:textId="77777777">
        <w:trPr>
          <w:cantSplit/>
          <w:jc w:val="center"/>
        </w:trPr>
        <w:tc>
          <w:tcPr>
            <w:tcW w:w="2758" w:type="dxa"/>
            <w:tcMar>
              <w:top w:w="70" w:type="dxa"/>
              <w:left w:w="70" w:type="dxa"/>
              <w:bottom w:w="70" w:type="dxa"/>
              <w:right w:w="70" w:type="dxa"/>
            </w:tcMar>
            <w:vAlign w:val="center"/>
          </w:tcPr>
          <w:p w14:paraId="41952C21" w14:textId="77777777" w:rsidR="00003A2E" w:rsidRPr="003D6F2A" w:rsidRDefault="008F030F">
            <w:pPr>
              <w:spacing w:after="0" w:line="240" w:lineRule="auto"/>
            </w:pPr>
            <w:r w:rsidRPr="003D6F2A">
              <w:rPr>
                <w:sz w:val="17"/>
              </w:rPr>
              <w:t>CAL-GATE naive support check</w:t>
            </w:r>
          </w:p>
        </w:tc>
        <w:tc>
          <w:tcPr>
            <w:tcW w:w="3546" w:type="dxa"/>
            <w:tcMar>
              <w:top w:w="70" w:type="dxa"/>
              <w:left w:w="70" w:type="dxa"/>
              <w:bottom w:w="70" w:type="dxa"/>
              <w:right w:w="70" w:type="dxa"/>
            </w:tcMar>
            <w:vAlign w:val="center"/>
          </w:tcPr>
          <w:p w14:paraId="12CAC6C8" w14:textId="77777777" w:rsidR="00003A2E" w:rsidRPr="003D6F2A" w:rsidRDefault="008F030F">
            <w:pPr>
              <w:spacing w:after="0" w:line="240" w:lineRule="auto"/>
            </w:pPr>
            <w:r w:rsidRPr="003D6F2A">
              <w:rPr>
                <w:sz w:val="17"/>
              </w:rPr>
              <w:t>O(np) per candidate</w:t>
            </w:r>
          </w:p>
        </w:tc>
        <w:tc>
          <w:tcPr>
            <w:tcW w:w="3546" w:type="dxa"/>
            <w:tcMar>
              <w:top w:w="70" w:type="dxa"/>
              <w:left w:w="70" w:type="dxa"/>
              <w:bottom w:w="70" w:type="dxa"/>
              <w:right w:w="70" w:type="dxa"/>
            </w:tcMar>
            <w:vAlign w:val="center"/>
          </w:tcPr>
          <w:p w14:paraId="0838A380" w14:textId="77777777" w:rsidR="00003A2E" w:rsidRPr="003D6F2A" w:rsidRDefault="008F030F">
            <w:pPr>
              <w:spacing w:after="0" w:line="240" w:lineRule="auto"/>
            </w:pPr>
            <w:r w:rsidRPr="003D6F2A">
              <w:rPr>
                <w:sz w:val="17"/>
              </w:rPr>
              <w:t>Can be accelerated with nearest-neighbor indexing</w:t>
            </w:r>
          </w:p>
        </w:tc>
      </w:tr>
      <w:tr w:rsidR="00003A2E" w:rsidRPr="003D6F2A" w14:paraId="49FE49C9" w14:textId="77777777">
        <w:trPr>
          <w:cantSplit/>
          <w:jc w:val="center"/>
        </w:trPr>
        <w:tc>
          <w:tcPr>
            <w:tcW w:w="2758" w:type="dxa"/>
            <w:tcMar>
              <w:top w:w="70" w:type="dxa"/>
              <w:left w:w="70" w:type="dxa"/>
              <w:bottom w:w="70" w:type="dxa"/>
              <w:right w:w="70" w:type="dxa"/>
            </w:tcMar>
            <w:vAlign w:val="center"/>
          </w:tcPr>
          <w:p w14:paraId="15D05FE8" w14:textId="77777777" w:rsidR="00003A2E" w:rsidRPr="003D6F2A" w:rsidRDefault="008F030F">
            <w:pPr>
              <w:spacing w:after="0" w:line="240" w:lineRule="auto"/>
            </w:pPr>
            <w:r w:rsidRPr="003D6F2A">
              <w:rPr>
                <w:sz w:val="17"/>
              </w:rPr>
              <w:t>Leave-domain-out evaluation</w:t>
            </w:r>
          </w:p>
        </w:tc>
        <w:tc>
          <w:tcPr>
            <w:tcW w:w="3546" w:type="dxa"/>
            <w:tcMar>
              <w:top w:w="70" w:type="dxa"/>
              <w:left w:w="70" w:type="dxa"/>
              <w:bottom w:w="70" w:type="dxa"/>
              <w:right w:w="70" w:type="dxa"/>
            </w:tcMar>
            <w:vAlign w:val="center"/>
          </w:tcPr>
          <w:p w14:paraId="75FBF79B" w14:textId="77777777" w:rsidR="00003A2E" w:rsidRPr="003D6F2A" w:rsidRDefault="008F030F">
            <w:pPr>
              <w:spacing w:after="0" w:line="240" w:lineRule="auto"/>
            </w:pPr>
            <w:r w:rsidRPr="003D6F2A">
              <w:rPr>
                <w:sz w:val="17"/>
              </w:rPr>
              <w:t>Same prediction complexity</w:t>
            </w:r>
          </w:p>
        </w:tc>
        <w:tc>
          <w:tcPr>
            <w:tcW w:w="3546" w:type="dxa"/>
            <w:tcMar>
              <w:top w:w="70" w:type="dxa"/>
              <w:left w:w="70" w:type="dxa"/>
              <w:bottom w:w="70" w:type="dxa"/>
              <w:right w:w="70" w:type="dxa"/>
            </w:tcMar>
            <w:vAlign w:val="center"/>
          </w:tcPr>
          <w:p w14:paraId="5E56FB94" w14:textId="77777777" w:rsidR="00003A2E" w:rsidRPr="003D6F2A" w:rsidRDefault="008F030F">
            <w:pPr>
              <w:spacing w:after="0" w:line="240" w:lineRule="auto"/>
            </w:pPr>
            <w:r w:rsidRPr="003D6F2A">
              <w:rPr>
                <w:sz w:val="17"/>
              </w:rPr>
              <w:t>Accuracy, not compute, is the limiting factor</w:t>
            </w:r>
          </w:p>
        </w:tc>
      </w:tr>
    </w:tbl>
    <w:p w14:paraId="3B6188E0" w14:textId="77777777" w:rsidR="00003A2E" w:rsidRPr="003D6F2A" w:rsidRDefault="008F030F">
      <w:pPr>
        <w:pStyle w:val="Heading1"/>
        <w:spacing w:before="160" w:after="80"/>
        <w:rPr>
          <w:color w:val="auto"/>
        </w:rPr>
      </w:pPr>
      <w:bookmarkStart w:id="18" w:name="results"/>
      <w:bookmarkEnd w:id="8"/>
      <w:bookmarkEnd w:id="17"/>
      <w:r w:rsidRPr="003D6F2A">
        <w:rPr>
          <w:color w:val="auto"/>
        </w:rPr>
        <w:t>4. Results</w:t>
      </w:r>
    </w:p>
    <w:p w14:paraId="27CCBF96" w14:textId="77777777" w:rsidR="00003A2E" w:rsidRPr="003D6F2A" w:rsidRDefault="008F030F">
      <w:pPr>
        <w:pStyle w:val="Heading2"/>
        <w:spacing w:before="160" w:after="80"/>
        <w:rPr>
          <w:color w:val="auto"/>
        </w:rPr>
      </w:pPr>
      <w:bookmarkStart w:id="19" w:name="within-family-predictive-performance"/>
      <w:r w:rsidRPr="003D6F2A">
        <w:rPr>
          <w:color w:val="auto"/>
        </w:rPr>
        <w:t>4.1 Within-family predictive performance</w:t>
      </w:r>
    </w:p>
    <w:p w14:paraId="74DE9888" w14:textId="1EF338B6" w:rsidR="00003A2E" w:rsidRPr="003D6F2A" w:rsidRDefault="008F030F">
      <w:pPr>
        <w:ind w:firstLine="259"/>
        <w:jc w:val="both"/>
      </w:pPr>
      <w:r w:rsidRPr="003D6F2A">
        <w:t>Following Algorithm 1, the first evaluation considers grouped within-family train/test splits so that repeated or near-identical configurations do not cross partitions. Table 7 reports the resulting performance, and Fig. 5 compares R² and Kendall’s τ with the two baselines. CAL-ENERGY attains MAPE = 11.5%, R² = 0.953, and τ = 0.927 on BUTTER-E, and MAPE = 5.8%, R² = 0.961, and τ = 0.849 on EC-NAS.</w:t>
      </w:r>
    </w:p>
    <w:p w14:paraId="1A8E9EB5" w14:textId="2444BD36" w:rsidR="00003A2E" w:rsidRPr="003D6F2A" w:rsidRDefault="008F030F">
      <w:pPr>
        <w:pStyle w:val="BodyText"/>
        <w:ind w:firstLine="259"/>
        <w:jc w:val="both"/>
      </w:pPr>
      <w:r w:rsidRPr="003D6F2A">
        <w:t>The parameter-count-only model performs substantially worse, particularly on BUTTER-E, where it explains only 6.5% of the raw-scale variance. The four-layer MLP surrogate is considerably stronger and remains a competitive baseline. CAL-ENERGY produces the lowest MAPE and highest Kendall’s τ in both families, while its BUTTER-E R² (0.953) is slightly below that of the MLP surrogate (0.966). Accordingly, the evidence supports strong and consistent within-family prediction rather than superiority on every metric.</w:t>
      </w:r>
    </w:p>
    <w:p w14:paraId="6C6B3E9F" w14:textId="77777777" w:rsidR="00003A2E" w:rsidRPr="003D6F2A" w:rsidRDefault="008F030F">
      <w:pPr>
        <w:pStyle w:val="BodyText"/>
        <w:keepNext/>
        <w:spacing w:before="100" w:after="60"/>
      </w:pPr>
      <w:r w:rsidRPr="003D6F2A">
        <w:rPr>
          <w:i/>
          <w:sz w:val="18"/>
        </w:rPr>
        <w:t>Table 7. Within-family performance against identical-data baselines.</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674"/>
        <w:gridCol w:w="2167"/>
        <w:gridCol w:w="1280"/>
        <w:gridCol w:w="2462"/>
        <w:gridCol w:w="2267"/>
      </w:tblGrid>
      <w:tr w:rsidR="00003A2E" w:rsidRPr="003D6F2A" w14:paraId="3E489A21" w14:textId="77777777">
        <w:trPr>
          <w:cantSplit/>
          <w:tblHeader/>
          <w:jc w:val="center"/>
        </w:trPr>
        <w:tc>
          <w:tcPr>
            <w:tcW w:w="1674" w:type="dxa"/>
            <w:tcMar>
              <w:top w:w="70" w:type="dxa"/>
              <w:left w:w="70" w:type="dxa"/>
              <w:bottom w:w="70" w:type="dxa"/>
              <w:right w:w="70" w:type="dxa"/>
            </w:tcMar>
            <w:vAlign w:val="center"/>
          </w:tcPr>
          <w:p w14:paraId="694E54CB" w14:textId="77777777" w:rsidR="00003A2E" w:rsidRPr="003D6F2A" w:rsidRDefault="008F030F">
            <w:pPr>
              <w:spacing w:after="0" w:line="240" w:lineRule="auto"/>
            </w:pPr>
            <w:r w:rsidRPr="003D6F2A">
              <w:rPr>
                <w:b/>
                <w:sz w:val="16"/>
              </w:rPr>
              <w:t>Family</w:t>
            </w:r>
          </w:p>
        </w:tc>
        <w:tc>
          <w:tcPr>
            <w:tcW w:w="2167" w:type="dxa"/>
            <w:tcMar>
              <w:top w:w="70" w:type="dxa"/>
              <w:left w:w="70" w:type="dxa"/>
              <w:bottom w:w="70" w:type="dxa"/>
              <w:right w:w="70" w:type="dxa"/>
            </w:tcMar>
            <w:vAlign w:val="center"/>
          </w:tcPr>
          <w:p w14:paraId="7D17D353" w14:textId="77777777" w:rsidR="00003A2E" w:rsidRPr="003D6F2A" w:rsidRDefault="008F030F">
            <w:pPr>
              <w:spacing w:after="0" w:line="240" w:lineRule="auto"/>
            </w:pPr>
            <w:r w:rsidRPr="003D6F2A">
              <w:rPr>
                <w:b/>
                <w:sz w:val="16"/>
              </w:rPr>
              <w:t>Model</w:t>
            </w:r>
          </w:p>
        </w:tc>
        <w:tc>
          <w:tcPr>
            <w:tcW w:w="1280" w:type="dxa"/>
            <w:tcMar>
              <w:top w:w="70" w:type="dxa"/>
              <w:left w:w="70" w:type="dxa"/>
              <w:bottom w:w="70" w:type="dxa"/>
              <w:right w:w="70" w:type="dxa"/>
            </w:tcMar>
            <w:vAlign w:val="center"/>
          </w:tcPr>
          <w:p w14:paraId="1613005B" w14:textId="77777777" w:rsidR="00003A2E" w:rsidRPr="003D6F2A" w:rsidRDefault="008F030F">
            <w:pPr>
              <w:spacing w:after="0" w:line="240" w:lineRule="auto"/>
            </w:pPr>
            <w:r w:rsidRPr="003D6F2A">
              <w:rPr>
                <w:b/>
                <w:sz w:val="16"/>
              </w:rPr>
              <w:t>MAPE (%)</w:t>
            </w:r>
          </w:p>
        </w:tc>
        <w:tc>
          <w:tcPr>
            <w:tcW w:w="2462" w:type="dxa"/>
            <w:tcMar>
              <w:top w:w="70" w:type="dxa"/>
              <w:left w:w="70" w:type="dxa"/>
              <w:bottom w:w="70" w:type="dxa"/>
              <w:right w:w="70" w:type="dxa"/>
            </w:tcMar>
            <w:vAlign w:val="center"/>
          </w:tcPr>
          <w:p w14:paraId="7201576E" w14:textId="77777777" w:rsidR="00003A2E" w:rsidRPr="003D6F2A" w:rsidRDefault="008F030F">
            <w:pPr>
              <w:spacing w:after="0" w:line="240" w:lineRule="auto"/>
            </w:pPr>
            <w:r w:rsidRPr="003D6F2A">
              <w:rPr>
                <w:b/>
                <w:sz w:val="16"/>
              </w:rPr>
              <w:t>R²</w:t>
            </w:r>
          </w:p>
        </w:tc>
        <w:tc>
          <w:tcPr>
            <w:tcW w:w="2267" w:type="dxa"/>
            <w:tcMar>
              <w:top w:w="70" w:type="dxa"/>
              <w:left w:w="70" w:type="dxa"/>
              <w:bottom w:w="70" w:type="dxa"/>
              <w:right w:w="70" w:type="dxa"/>
            </w:tcMar>
            <w:vAlign w:val="center"/>
          </w:tcPr>
          <w:p w14:paraId="388415E4" w14:textId="77777777" w:rsidR="00003A2E" w:rsidRPr="003D6F2A" w:rsidRDefault="008F030F">
            <w:pPr>
              <w:spacing w:after="0" w:line="240" w:lineRule="auto"/>
            </w:pPr>
            <w:r w:rsidRPr="003D6F2A">
              <w:rPr>
                <w:b/>
                <w:sz w:val="16"/>
              </w:rPr>
              <w:t>Kendall τ</w:t>
            </w:r>
          </w:p>
        </w:tc>
      </w:tr>
      <w:tr w:rsidR="00003A2E" w:rsidRPr="003D6F2A" w14:paraId="630C20B3" w14:textId="77777777">
        <w:trPr>
          <w:cantSplit/>
          <w:jc w:val="center"/>
        </w:trPr>
        <w:tc>
          <w:tcPr>
            <w:tcW w:w="1674" w:type="dxa"/>
            <w:tcMar>
              <w:top w:w="70" w:type="dxa"/>
              <w:left w:w="70" w:type="dxa"/>
              <w:bottom w:w="70" w:type="dxa"/>
              <w:right w:w="70" w:type="dxa"/>
            </w:tcMar>
            <w:vAlign w:val="center"/>
          </w:tcPr>
          <w:p w14:paraId="024DB6B7" w14:textId="77777777" w:rsidR="00003A2E" w:rsidRPr="003D6F2A" w:rsidRDefault="008F030F">
            <w:pPr>
              <w:spacing w:after="0" w:line="240" w:lineRule="auto"/>
            </w:pPr>
            <w:r w:rsidRPr="003D6F2A">
              <w:rPr>
                <w:sz w:val="16"/>
              </w:rPr>
              <w:t>BUTTER-E</w:t>
            </w:r>
          </w:p>
        </w:tc>
        <w:tc>
          <w:tcPr>
            <w:tcW w:w="2167" w:type="dxa"/>
            <w:tcMar>
              <w:top w:w="70" w:type="dxa"/>
              <w:left w:w="70" w:type="dxa"/>
              <w:bottom w:w="70" w:type="dxa"/>
              <w:right w:w="70" w:type="dxa"/>
            </w:tcMar>
            <w:vAlign w:val="center"/>
          </w:tcPr>
          <w:p w14:paraId="7A672BF8" w14:textId="77777777" w:rsidR="00003A2E" w:rsidRPr="003D6F2A" w:rsidRDefault="008F030F">
            <w:pPr>
              <w:spacing w:after="0" w:line="240" w:lineRule="auto"/>
            </w:pPr>
            <w:r w:rsidRPr="003D6F2A">
              <w:rPr>
                <w:sz w:val="16"/>
              </w:rPr>
              <w:t>Parameter-only linear</w:t>
            </w:r>
          </w:p>
        </w:tc>
        <w:tc>
          <w:tcPr>
            <w:tcW w:w="1280" w:type="dxa"/>
            <w:tcMar>
              <w:top w:w="70" w:type="dxa"/>
              <w:left w:w="70" w:type="dxa"/>
              <w:bottom w:w="70" w:type="dxa"/>
              <w:right w:w="70" w:type="dxa"/>
            </w:tcMar>
            <w:vAlign w:val="center"/>
          </w:tcPr>
          <w:p w14:paraId="630ED0B7" w14:textId="77777777" w:rsidR="00003A2E" w:rsidRPr="003D6F2A" w:rsidRDefault="008F030F">
            <w:pPr>
              <w:spacing w:after="0" w:line="240" w:lineRule="auto"/>
            </w:pPr>
            <w:r w:rsidRPr="003D6F2A">
              <w:rPr>
                <w:sz w:val="16"/>
              </w:rPr>
              <w:t>143.1</w:t>
            </w:r>
          </w:p>
        </w:tc>
        <w:tc>
          <w:tcPr>
            <w:tcW w:w="2462" w:type="dxa"/>
            <w:tcMar>
              <w:top w:w="70" w:type="dxa"/>
              <w:left w:w="70" w:type="dxa"/>
              <w:bottom w:w="70" w:type="dxa"/>
              <w:right w:w="70" w:type="dxa"/>
            </w:tcMar>
            <w:vAlign w:val="center"/>
          </w:tcPr>
          <w:p w14:paraId="4A69E468" w14:textId="77777777" w:rsidR="00003A2E" w:rsidRPr="003D6F2A" w:rsidRDefault="008F030F">
            <w:pPr>
              <w:spacing w:after="0" w:line="240" w:lineRule="auto"/>
            </w:pPr>
            <w:r w:rsidRPr="003D6F2A">
              <w:rPr>
                <w:sz w:val="16"/>
              </w:rPr>
              <w:t>0.065</w:t>
            </w:r>
          </w:p>
        </w:tc>
        <w:tc>
          <w:tcPr>
            <w:tcW w:w="2267" w:type="dxa"/>
            <w:tcMar>
              <w:top w:w="70" w:type="dxa"/>
              <w:left w:w="70" w:type="dxa"/>
              <w:bottom w:w="70" w:type="dxa"/>
              <w:right w:w="70" w:type="dxa"/>
            </w:tcMar>
            <w:vAlign w:val="center"/>
          </w:tcPr>
          <w:p w14:paraId="5B6C4125" w14:textId="77777777" w:rsidR="00003A2E" w:rsidRPr="003D6F2A" w:rsidRDefault="008F030F">
            <w:pPr>
              <w:spacing w:after="0" w:line="240" w:lineRule="auto"/>
            </w:pPr>
            <w:r w:rsidRPr="003D6F2A">
              <w:rPr>
                <w:sz w:val="16"/>
              </w:rPr>
              <w:t>0.283</w:t>
            </w:r>
          </w:p>
        </w:tc>
      </w:tr>
      <w:tr w:rsidR="00003A2E" w:rsidRPr="003D6F2A" w14:paraId="5C2A7FFD" w14:textId="77777777">
        <w:trPr>
          <w:cantSplit/>
          <w:jc w:val="center"/>
        </w:trPr>
        <w:tc>
          <w:tcPr>
            <w:tcW w:w="1674" w:type="dxa"/>
            <w:tcMar>
              <w:top w:w="70" w:type="dxa"/>
              <w:left w:w="70" w:type="dxa"/>
              <w:bottom w:w="70" w:type="dxa"/>
              <w:right w:w="70" w:type="dxa"/>
            </w:tcMar>
            <w:vAlign w:val="center"/>
          </w:tcPr>
          <w:p w14:paraId="634F6152" w14:textId="77777777" w:rsidR="00003A2E" w:rsidRPr="003D6F2A" w:rsidRDefault="008F030F">
            <w:pPr>
              <w:spacing w:after="0" w:line="240" w:lineRule="auto"/>
            </w:pPr>
            <w:r w:rsidRPr="003D6F2A">
              <w:rPr>
                <w:sz w:val="16"/>
              </w:rPr>
              <w:t>BUTTER-E</w:t>
            </w:r>
          </w:p>
        </w:tc>
        <w:tc>
          <w:tcPr>
            <w:tcW w:w="2167" w:type="dxa"/>
            <w:tcMar>
              <w:top w:w="70" w:type="dxa"/>
              <w:left w:w="70" w:type="dxa"/>
              <w:bottom w:w="70" w:type="dxa"/>
              <w:right w:w="70" w:type="dxa"/>
            </w:tcMar>
            <w:vAlign w:val="center"/>
          </w:tcPr>
          <w:p w14:paraId="77556F03" w14:textId="77777777" w:rsidR="00003A2E" w:rsidRPr="003D6F2A" w:rsidRDefault="008F030F">
            <w:pPr>
              <w:spacing w:after="0" w:line="240" w:lineRule="auto"/>
            </w:pPr>
            <w:r w:rsidRPr="003D6F2A">
              <w:rPr>
                <w:sz w:val="16"/>
              </w:rPr>
              <w:t>Four-layer MLP surrogate</w:t>
            </w:r>
          </w:p>
        </w:tc>
        <w:tc>
          <w:tcPr>
            <w:tcW w:w="1280" w:type="dxa"/>
            <w:tcMar>
              <w:top w:w="70" w:type="dxa"/>
              <w:left w:w="70" w:type="dxa"/>
              <w:bottom w:w="70" w:type="dxa"/>
              <w:right w:w="70" w:type="dxa"/>
            </w:tcMar>
            <w:vAlign w:val="center"/>
          </w:tcPr>
          <w:p w14:paraId="2390B955" w14:textId="77777777" w:rsidR="00003A2E" w:rsidRPr="003D6F2A" w:rsidRDefault="008F030F">
            <w:pPr>
              <w:spacing w:after="0" w:line="240" w:lineRule="auto"/>
            </w:pPr>
            <w:r w:rsidRPr="003D6F2A">
              <w:rPr>
                <w:sz w:val="16"/>
              </w:rPr>
              <w:t>11.7</w:t>
            </w:r>
          </w:p>
        </w:tc>
        <w:tc>
          <w:tcPr>
            <w:tcW w:w="2462" w:type="dxa"/>
            <w:tcMar>
              <w:top w:w="70" w:type="dxa"/>
              <w:left w:w="70" w:type="dxa"/>
              <w:bottom w:w="70" w:type="dxa"/>
              <w:right w:w="70" w:type="dxa"/>
            </w:tcMar>
            <w:vAlign w:val="center"/>
          </w:tcPr>
          <w:p w14:paraId="0222B34C" w14:textId="77777777" w:rsidR="00003A2E" w:rsidRPr="003D6F2A" w:rsidRDefault="008F030F">
            <w:pPr>
              <w:spacing w:after="0" w:line="240" w:lineRule="auto"/>
            </w:pPr>
            <w:r w:rsidRPr="003D6F2A">
              <w:rPr>
                <w:sz w:val="16"/>
              </w:rPr>
              <w:t>0.966</w:t>
            </w:r>
          </w:p>
        </w:tc>
        <w:tc>
          <w:tcPr>
            <w:tcW w:w="2267" w:type="dxa"/>
            <w:tcMar>
              <w:top w:w="70" w:type="dxa"/>
              <w:left w:w="70" w:type="dxa"/>
              <w:bottom w:w="70" w:type="dxa"/>
              <w:right w:w="70" w:type="dxa"/>
            </w:tcMar>
            <w:vAlign w:val="center"/>
          </w:tcPr>
          <w:p w14:paraId="08450DAE" w14:textId="77777777" w:rsidR="00003A2E" w:rsidRPr="003D6F2A" w:rsidRDefault="008F030F">
            <w:pPr>
              <w:spacing w:after="0" w:line="240" w:lineRule="auto"/>
            </w:pPr>
            <w:r w:rsidRPr="003D6F2A">
              <w:rPr>
                <w:sz w:val="16"/>
              </w:rPr>
              <w:t>0.921</w:t>
            </w:r>
          </w:p>
        </w:tc>
      </w:tr>
      <w:tr w:rsidR="00003A2E" w:rsidRPr="003D6F2A" w14:paraId="3D94A434" w14:textId="77777777">
        <w:trPr>
          <w:cantSplit/>
          <w:jc w:val="center"/>
        </w:trPr>
        <w:tc>
          <w:tcPr>
            <w:tcW w:w="1674" w:type="dxa"/>
            <w:tcMar>
              <w:top w:w="70" w:type="dxa"/>
              <w:left w:w="70" w:type="dxa"/>
              <w:bottom w:w="70" w:type="dxa"/>
              <w:right w:w="70" w:type="dxa"/>
            </w:tcMar>
            <w:vAlign w:val="center"/>
          </w:tcPr>
          <w:p w14:paraId="657CEB15" w14:textId="77777777" w:rsidR="00003A2E" w:rsidRPr="003D6F2A" w:rsidRDefault="008F030F">
            <w:pPr>
              <w:spacing w:after="0" w:line="240" w:lineRule="auto"/>
            </w:pPr>
            <w:r w:rsidRPr="003D6F2A">
              <w:rPr>
                <w:sz w:val="16"/>
              </w:rPr>
              <w:t>BUTTER-E</w:t>
            </w:r>
          </w:p>
        </w:tc>
        <w:tc>
          <w:tcPr>
            <w:tcW w:w="2167" w:type="dxa"/>
            <w:tcMar>
              <w:top w:w="70" w:type="dxa"/>
              <w:left w:w="70" w:type="dxa"/>
              <w:bottom w:w="70" w:type="dxa"/>
              <w:right w:w="70" w:type="dxa"/>
            </w:tcMar>
            <w:vAlign w:val="center"/>
          </w:tcPr>
          <w:p w14:paraId="045381EA" w14:textId="77777777" w:rsidR="00003A2E" w:rsidRPr="003D6F2A" w:rsidRDefault="008F030F">
            <w:pPr>
              <w:spacing w:after="0" w:line="240" w:lineRule="auto"/>
            </w:pPr>
            <w:r w:rsidRPr="003D6F2A">
              <w:rPr>
                <w:sz w:val="16"/>
              </w:rPr>
              <w:t>CAL-ENERGY Random Forest</w:t>
            </w:r>
          </w:p>
        </w:tc>
        <w:tc>
          <w:tcPr>
            <w:tcW w:w="1280" w:type="dxa"/>
            <w:tcMar>
              <w:top w:w="70" w:type="dxa"/>
              <w:left w:w="70" w:type="dxa"/>
              <w:bottom w:w="70" w:type="dxa"/>
              <w:right w:w="70" w:type="dxa"/>
            </w:tcMar>
            <w:vAlign w:val="center"/>
          </w:tcPr>
          <w:p w14:paraId="12AB9619" w14:textId="77777777" w:rsidR="00003A2E" w:rsidRPr="003D6F2A" w:rsidRDefault="008F030F">
            <w:pPr>
              <w:spacing w:after="0" w:line="240" w:lineRule="auto"/>
            </w:pPr>
            <w:r w:rsidRPr="003D6F2A">
              <w:rPr>
                <w:sz w:val="16"/>
              </w:rPr>
              <w:t>11.5</w:t>
            </w:r>
          </w:p>
        </w:tc>
        <w:tc>
          <w:tcPr>
            <w:tcW w:w="2462" w:type="dxa"/>
            <w:tcMar>
              <w:top w:w="70" w:type="dxa"/>
              <w:left w:w="70" w:type="dxa"/>
              <w:bottom w:w="70" w:type="dxa"/>
              <w:right w:w="70" w:type="dxa"/>
            </w:tcMar>
            <w:vAlign w:val="center"/>
          </w:tcPr>
          <w:p w14:paraId="5BA9F760" w14:textId="77777777" w:rsidR="00003A2E" w:rsidRPr="003D6F2A" w:rsidRDefault="008F030F">
            <w:pPr>
              <w:spacing w:after="0" w:line="240" w:lineRule="auto"/>
            </w:pPr>
            <w:r w:rsidRPr="003D6F2A">
              <w:rPr>
                <w:sz w:val="16"/>
              </w:rPr>
              <w:t>0.953</w:t>
            </w:r>
          </w:p>
        </w:tc>
        <w:tc>
          <w:tcPr>
            <w:tcW w:w="2267" w:type="dxa"/>
            <w:tcMar>
              <w:top w:w="70" w:type="dxa"/>
              <w:left w:w="70" w:type="dxa"/>
              <w:bottom w:w="70" w:type="dxa"/>
              <w:right w:w="70" w:type="dxa"/>
            </w:tcMar>
            <w:vAlign w:val="center"/>
          </w:tcPr>
          <w:p w14:paraId="228403DB" w14:textId="77777777" w:rsidR="00003A2E" w:rsidRPr="003D6F2A" w:rsidRDefault="008F030F">
            <w:pPr>
              <w:spacing w:after="0" w:line="240" w:lineRule="auto"/>
            </w:pPr>
            <w:r w:rsidRPr="003D6F2A">
              <w:rPr>
                <w:sz w:val="16"/>
              </w:rPr>
              <w:t>0.927</w:t>
            </w:r>
          </w:p>
        </w:tc>
      </w:tr>
      <w:tr w:rsidR="00003A2E" w:rsidRPr="003D6F2A" w14:paraId="00E6CFDB" w14:textId="77777777">
        <w:trPr>
          <w:cantSplit/>
          <w:jc w:val="center"/>
        </w:trPr>
        <w:tc>
          <w:tcPr>
            <w:tcW w:w="1674" w:type="dxa"/>
            <w:tcMar>
              <w:top w:w="70" w:type="dxa"/>
              <w:left w:w="70" w:type="dxa"/>
              <w:bottom w:w="70" w:type="dxa"/>
              <w:right w:w="70" w:type="dxa"/>
            </w:tcMar>
            <w:vAlign w:val="center"/>
          </w:tcPr>
          <w:p w14:paraId="0A6C28D9" w14:textId="77777777" w:rsidR="00003A2E" w:rsidRPr="003D6F2A" w:rsidRDefault="008F030F">
            <w:pPr>
              <w:spacing w:after="0" w:line="240" w:lineRule="auto"/>
            </w:pPr>
            <w:r w:rsidRPr="003D6F2A">
              <w:rPr>
                <w:sz w:val="16"/>
              </w:rPr>
              <w:t>EC-NAS</w:t>
            </w:r>
          </w:p>
        </w:tc>
        <w:tc>
          <w:tcPr>
            <w:tcW w:w="2167" w:type="dxa"/>
            <w:tcMar>
              <w:top w:w="70" w:type="dxa"/>
              <w:left w:w="70" w:type="dxa"/>
              <w:bottom w:w="70" w:type="dxa"/>
              <w:right w:w="70" w:type="dxa"/>
            </w:tcMar>
            <w:vAlign w:val="center"/>
          </w:tcPr>
          <w:p w14:paraId="7267CB05" w14:textId="77777777" w:rsidR="00003A2E" w:rsidRPr="003D6F2A" w:rsidRDefault="008F030F">
            <w:pPr>
              <w:spacing w:after="0" w:line="240" w:lineRule="auto"/>
            </w:pPr>
            <w:r w:rsidRPr="003D6F2A">
              <w:rPr>
                <w:sz w:val="16"/>
              </w:rPr>
              <w:t>Parameter-only linear</w:t>
            </w:r>
          </w:p>
        </w:tc>
        <w:tc>
          <w:tcPr>
            <w:tcW w:w="1280" w:type="dxa"/>
            <w:tcMar>
              <w:top w:w="70" w:type="dxa"/>
              <w:left w:w="70" w:type="dxa"/>
              <w:bottom w:w="70" w:type="dxa"/>
              <w:right w:w="70" w:type="dxa"/>
            </w:tcMar>
            <w:vAlign w:val="center"/>
          </w:tcPr>
          <w:p w14:paraId="12E475E1" w14:textId="77777777" w:rsidR="00003A2E" w:rsidRPr="003D6F2A" w:rsidRDefault="008F030F">
            <w:pPr>
              <w:spacing w:after="0" w:line="240" w:lineRule="auto"/>
            </w:pPr>
            <w:r w:rsidRPr="003D6F2A">
              <w:rPr>
                <w:sz w:val="16"/>
              </w:rPr>
              <w:t>19.2</w:t>
            </w:r>
          </w:p>
        </w:tc>
        <w:tc>
          <w:tcPr>
            <w:tcW w:w="2462" w:type="dxa"/>
            <w:tcMar>
              <w:top w:w="70" w:type="dxa"/>
              <w:left w:w="70" w:type="dxa"/>
              <w:bottom w:w="70" w:type="dxa"/>
              <w:right w:w="70" w:type="dxa"/>
            </w:tcMar>
            <w:vAlign w:val="center"/>
          </w:tcPr>
          <w:p w14:paraId="618B0457" w14:textId="77777777" w:rsidR="00003A2E" w:rsidRPr="003D6F2A" w:rsidRDefault="008F030F">
            <w:pPr>
              <w:spacing w:after="0" w:line="240" w:lineRule="auto"/>
            </w:pPr>
            <w:r w:rsidRPr="003D6F2A">
              <w:rPr>
                <w:sz w:val="16"/>
              </w:rPr>
              <w:t>0.578</w:t>
            </w:r>
          </w:p>
        </w:tc>
        <w:tc>
          <w:tcPr>
            <w:tcW w:w="2267" w:type="dxa"/>
            <w:tcMar>
              <w:top w:w="70" w:type="dxa"/>
              <w:left w:w="70" w:type="dxa"/>
              <w:bottom w:w="70" w:type="dxa"/>
              <w:right w:w="70" w:type="dxa"/>
            </w:tcMar>
            <w:vAlign w:val="center"/>
          </w:tcPr>
          <w:p w14:paraId="2D326203" w14:textId="77777777" w:rsidR="00003A2E" w:rsidRPr="003D6F2A" w:rsidRDefault="008F030F">
            <w:pPr>
              <w:spacing w:after="0" w:line="240" w:lineRule="auto"/>
            </w:pPr>
            <w:r w:rsidRPr="003D6F2A">
              <w:rPr>
                <w:sz w:val="16"/>
              </w:rPr>
              <w:t>0.620</w:t>
            </w:r>
          </w:p>
        </w:tc>
      </w:tr>
      <w:tr w:rsidR="00003A2E" w:rsidRPr="003D6F2A" w14:paraId="5C1511FC" w14:textId="77777777">
        <w:trPr>
          <w:cantSplit/>
          <w:jc w:val="center"/>
        </w:trPr>
        <w:tc>
          <w:tcPr>
            <w:tcW w:w="1674" w:type="dxa"/>
            <w:tcMar>
              <w:top w:w="70" w:type="dxa"/>
              <w:left w:w="70" w:type="dxa"/>
              <w:bottom w:w="70" w:type="dxa"/>
              <w:right w:w="70" w:type="dxa"/>
            </w:tcMar>
            <w:vAlign w:val="center"/>
          </w:tcPr>
          <w:p w14:paraId="31C0B1F7" w14:textId="77777777" w:rsidR="00003A2E" w:rsidRPr="003D6F2A" w:rsidRDefault="008F030F">
            <w:pPr>
              <w:spacing w:after="0" w:line="240" w:lineRule="auto"/>
            </w:pPr>
            <w:r w:rsidRPr="003D6F2A">
              <w:rPr>
                <w:sz w:val="16"/>
              </w:rPr>
              <w:t>EC-NAS</w:t>
            </w:r>
          </w:p>
        </w:tc>
        <w:tc>
          <w:tcPr>
            <w:tcW w:w="2167" w:type="dxa"/>
            <w:tcMar>
              <w:top w:w="70" w:type="dxa"/>
              <w:left w:w="70" w:type="dxa"/>
              <w:bottom w:w="70" w:type="dxa"/>
              <w:right w:w="70" w:type="dxa"/>
            </w:tcMar>
            <w:vAlign w:val="center"/>
          </w:tcPr>
          <w:p w14:paraId="48782D6B" w14:textId="77777777" w:rsidR="00003A2E" w:rsidRPr="003D6F2A" w:rsidRDefault="008F030F">
            <w:pPr>
              <w:spacing w:after="0" w:line="240" w:lineRule="auto"/>
            </w:pPr>
            <w:r w:rsidRPr="003D6F2A">
              <w:rPr>
                <w:sz w:val="16"/>
              </w:rPr>
              <w:t>Four-layer MLP surrogate</w:t>
            </w:r>
          </w:p>
        </w:tc>
        <w:tc>
          <w:tcPr>
            <w:tcW w:w="1280" w:type="dxa"/>
            <w:tcMar>
              <w:top w:w="70" w:type="dxa"/>
              <w:left w:w="70" w:type="dxa"/>
              <w:bottom w:w="70" w:type="dxa"/>
              <w:right w:w="70" w:type="dxa"/>
            </w:tcMar>
            <w:vAlign w:val="center"/>
          </w:tcPr>
          <w:p w14:paraId="45733B4C" w14:textId="77777777" w:rsidR="00003A2E" w:rsidRPr="003D6F2A" w:rsidRDefault="008F030F">
            <w:pPr>
              <w:spacing w:after="0" w:line="240" w:lineRule="auto"/>
            </w:pPr>
            <w:r w:rsidRPr="003D6F2A">
              <w:rPr>
                <w:sz w:val="16"/>
              </w:rPr>
              <w:t>6.8</w:t>
            </w:r>
          </w:p>
        </w:tc>
        <w:tc>
          <w:tcPr>
            <w:tcW w:w="2462" w:type="dxa"/>
            <w:tcMar>
              <w:top w:w="70" w:type="dxa"/>
              <w:left w:w="70" w:type="dxa"/>
              <w:bottom w:w="70" w:type="dxa"/>
              <w:right w:w="70" w:type="dxa"/>
            </w:tcMar>
            <w:vAlign w:val="center"/>
          </w:tcPr>
          <w:p w14:paraId="70B6B789" w14:textId="77777777" w:rsidR="00003A2E" w:rsidRPr="003D6F2A" w:rsidRDefault="008F030F">
            <w:pPr>
              <w:spacing w:after="0" w:line="240" w:lineRule="auto"/>
            </w:pPr>
            <w:r w:rsidRPr="003D6F2A">
              <w:rPr>
                <w:sz w:val="16"/>
              </w:rPr>
              <w:t>0.948</w:t>
            </w:r>
          </w:p>
        </w:tc>
        <w:tc>
          <w:tcPr>
            <w:tcW w:w="2267" w:type="dxa"/>
            <w:tcMar>
              <w:top w:w="70" w:type="dxa"/>
              <w:left w:w="70" w:type="dxa"/>
              <w:bottom w:w="70" w:type="dxa"/>
              <w:right w:w="70" w:type="dxa"/>
            </w:tcMar>
            <w:vAlign w:val="center"/>
          </w:tcPr>
          <w:p w14:paraId="2CABF64F" w14:textId="77777777" w:rsidR="00003A2E" w:rsidRPr="003D6F2A" w:rsidRDefault="008F030F">
            <w:pPr>
              <w:spacing w:after="0" w:line="240" w:lineRule="auto"/>
            </w:pPr>
            <w:r w:rsidRPr="003D6F2A">
              <w:rPr>
                <w:sz w:val="16"/>
              </w:rPr>
              <w:t>0.836</w:t>
            </w:r>
          </w:p>
        </w:tc>
      </w:tr>
      <w:tr w:rsidR="00003A2E" w:rsidRPr="003D6F2A" w14:paraId="691E1AD3" w14:textId="77777777">
        <w:trPr>
          <w:cantSplit/>
          <w:jc w:val="center"/>
        </w:trPr>
        <w:tc>
          <w:tcPr>
            <w:tcW w:w="1674" w:type="dxa"/>
            <w:tcMar>
              <w:top w:w="70" w:type="dxa"/>
              <w:left w:w="70" w:type="dxa"/>
              <w:bottom w:w="70" w:type="dxa"/>
              <w:right w:w="70" w:type="dxa"/>
            </w:tcMar>
            <w:vAlign w:val="center"/>
          </w:tcPr>
          <w:p w14:paraId="2F5FCFDB" w14:textId="77777777" w:rsidR="00003A2E" w:rsidRPr="003D6F2A" w:rsidRDefault="008F030F">
            <w:pPr>
              <w:spacing w:after="0" w:line="240" w:lineRule="auto"/>
            </w:pPr>
            <w:r w:rsidRPr="003D6F2A">
              <w:rPr>
                <w:sz w:val="16"/>
              </w:rPr>
              <w:t>EC-NAS</w:t>
            </w:r>
          </w:p>
        </w:tc>
        <w:tc>
          <w:tcPr>
            <w:tcW w:w="2167" w:type="dxa"/>
            <w:tcMar>
              <w:top w:w="70" w:type="dxa"/>
              <w:left w:w="70" w:type="dxa"/>
              <w:bottom w:w="70" w:type="dxa"/>
              <w:right w:w="70" w:type="dxa"/>
            </w:tcMar>
            <w:vAlign w:val="center"/>
          </w:tcPr>
          <w:p w14:paraId="09B5E033" w14:textId="77777777" w:rsidR="00003A2E" w:rsidRPr="003D6F2A" w:rsidRDefault="008F030F">
            <w:pPr>
              <w:spacing w:after="0" w:line="240" w:lineRule="auto"/>
            </w:pPr>
            <w:r w:rsidRPr="003D6F2A">
              <w:rPr>
                <w:sz w:val="16"/>
              </w:rPr>
              <w:t>CAL-ENERGY Random Forest</w:t>
            </w:r>
          </w:p>
        </w:tc>
        <w:tc>
          <w:tcPr>
            <w:tcW w:w="1280" w:type="dxa"/>
            <w:tcMar>
              <w:top w:w="70" w:type="dxa"/>
              <w:left w:w="70" w:type="dxa"/>
              <w:bottom w:w="70" w:type="dxa"/>
              <w:right w:w="70" w:type="dxa"/>
            </w:tcMar>
            <w:vAlign w:val="center"/>
          </w:tcPr>
          <w:p w14:paraId="2166BDA0" w14:textId="77777777" w:rsidR="00003A2E" w:rsidRPr="003D6F2A" w:rsidRDefault="008F030F">
            <w:pPr>
              <w:spacing w:after="0" w:line="240" w:lineRule="auto"/>
            </w:pPr>
            <w:r w:rsidRPr="003D6F2A">
              <w:rPr>
                <w:sz w:val="16"/>
              </w:rPr>
              <w:t>5.8</w:t>
            </w:r>
          </w:p>
        </w:tc>
        <w:tc>
          <w:tcPr>
            <w:tcW w:w="2462" w:type="dxa"/>
            <w:tcMar>
              <w:top w:w="70" w:type="dxa"/>
              <w:left w:w="70" w:type="dxa"/>
              <w:bottom w:w="70" w:type="dxa"/>
              <w:right w:w="70" w:type="dxa"/>
            </w:tcMar>
            <w:vAlign w:val="center"/>
          </w:tcPr>
          <w:p w14:paraId="7D856655" w14:textId="77777777" w:rsidR="00003A2E" w:rsidRPr="003D6F2A" w:rsidRDefault="008F030F">
            <w:pPr>
              <w:spacing w:after="0" w:line="240" w:lineRule="auto"/>
            </w:pPr>
            <w:r w:rsidRPr="003D6F2A">
              <w:rPr>
                <w:sz w:val="16"/>
              </w:rPr>
              <w:t>0.961</w:t>
            </w:r>
          </w:p>
        </w:tc>
        <w:tc>
          <w:tcPr>
            <w:tcW w:w="2267" w:type="dxa"/>
            <w:tcMar>
              <w:top w:w="70" w:type="dxa"/>
              <w:left w:w="70" w:type="dxa"/>
              <w:bottom w:w="70" w:type="dxa"/>
              <w:right w:w="70" w:type="dxa"/>
            </w:tcMar>
            <w:vAlign w:val="center"/>
          </w:tcPr>
          <w:p w14:paraId="01B3C876" w14:textId="77777777" w:rsidR="00003A2E" w:rsidRPr="003D6F2A" w:rsidRDefault="008F030F">
            <w:pPr>
              <w:spacing w:after="0" w:line="240" w:lineRule="auto"/>
            </w:pPr>
            <w:r w:rsidRPr="003D6F2A">
              <w:rPr>
                <w:sz w:val="16"/>
              </w:rPr>
              <w:t>0.849</w:t>
            </w:r>
          </w:p>
        </w:tc>
      </w:tr>
    </w:tbl>
    <w:p w14:paraId="42F80731" w14:textId="77777777" w:rsidR="00003A2E" w:rsidRPr="003D6F2A" w:rsidRDefault="008F030F">
      <w:pPr>
        <w:jc w:val="center"/>
      </w:pPr>
      <w:r w:rsidRPr="003D6F2A">
        <w:rPr>
          <w:noProof/>
        </w:rPr>
        <w:lastRenderedPageBreak/>
        <w:drawing>
          <wp:inline distT="0" distB="0" distL="0" distR="0" wp14:anchorId="5C354ACA" wp14:editId="03831A1A">
            <wp:extent cx="5852160" cy="3279554"/>
            <wp:effectExtent l="0" t="0" r="0" b="0"/>
            <wp:docPr id="51" name="Picture" descr="Fig. 5. Within-family predictive performance. B denotes BUTTER-E and E denotes EC-NAS. The figure compares R² and Kendall’s τ for parameter-only linear regression, the re-implemented MLP surrogate, and CAL-ENERGY on the same study data."/>
            <wp:cNvGraphicFramePr/>
            <a:graphic xmlns:a="http://schemas.openxmlformats.org/drawingml/2006/main">
              <a:graphicData uri="http://schemas.openxmlformats.org/drawingml/2006/picture">
                <pic:pic xmlns:pic="http://schemas.openxmlformats.org/drawingml/2006/picture">
                  <pic:nvPicPr>
                    <pic:cNvPr id="52" name="Picture" descr="/mnt/data/cal_energy_figures_revised/fig5_within_family.png"/>
                    <pic:cNvPicPr>
                      <a:picLocks noChangeAspect="1" noChangeArrowheads="1"/>
                    </pic:cNvPicPr>
                  </pic:nvPicPr>
                  <pic:blipFill>
                    <a:blip r:embed="rId11"/>
                    <a:stretch>
                      <a:fillRect/>
                    </a:stretch>
                  </pic:blipFill>
                  <pic:spPr bwMode="auto">
                    <a:xfrm>
                      <a:off x="0" y="0"/>
                      <a:ext cx="5852160" cy="3279554"/>
                    </a:xfrm>
                    <a:prstGeom prst="rect">
                      <a:avLst/>
                    </a:prstGeom>
                    <a:noFill/>
                    <a:ln w="9525">
                      <a:noFill/>
                      <a:headEnd/>
                      <a:tailEnd/>
                    </a:ln>
                  </pic:spPr>
                </pic:pic>
              </a:graphicData>
            </a:graphic>
          </wp:inline>
        </w:drawing>
      </w:r>
    </w:p>
    <w:p w14:paraId="4038BAEB" w14:textId="77777777" w:rsidR="00003A2E" w:rsidRPr="003D6F2A" w:rsidRDefault="008F030F">
      <w:pPr>
        <w:ind w:firstLine="259"/>
        <w:jc w:val="both"/>
      </w:pPr>
      <w:r w:rsidRPr="003D6F2A">
        <w:t>Fig. 5. Within-family predictive performance. B denotes BUTTER-E and E denotes EC-NAS. The figure compares R² and Kendall’s τ for parameter-only linear regression, the re-implemented MLP surrogate, and CAL-ENERGY on the same study data.</w:t>
      </w:r>
    </w:p>
    <w:p w14:paraId="5B679439" w14:textId="77777777" w:rsidR="00003A2E" w:rsidRPr="003D6F2A" w:rsidRDefault="008F030F">
      <w:pPr>
        <w:pStyle w:val="Heading2"/>
        <w:spacing w:before="160" w:after="80"/>
        <w:rPr>
          <w:color w:val="auto"/>
        </w:rPr>
      </w:pPr>
      <w:bookmarkStart w:id="20" w:name="Xbd430b7c90900738a6eda3f4df62c23507c6ffb"/>
      <w:bookmarkEnd w:id="19"/>
      <w:r w:rsidRPr="003D6F2A">
        <w:rPr>
          <w:color w:val="auto"/>
        </w:rPr>
        <w:t>4.2 Feature sensitivity and leave-dataset-out robustness</w:t>
      </w:r>
    </w:p>
    <w:p w14:paraId="2FAE3A28" w14:textId="48F39BCB" w:rsidR="00003A2E" w:rsidRPr="003D6F2A" w:rsidRDefault="008F030F" w:rsidP="000A31FB">
      <w:pPr>
        <w:keepNext/>
        <w:spacing w:before="100" w:after="60"/>
        <w:jc w:val="both"/>
      </w:pPr>
      <w:r w:rsidRPr="003D6F2A">
        <w:t>Table 8 and Fig. 6 quantify the effect of progressively enriching the BUTTER-E representation. With shared architectural/configuration variables alone, performance is weak (R² = 0.086; τ = 0.272). Adding hardware type and network shape yields only a modest improvement in ranking, and the memory/cache proxy does not provide a consistent gain. In contrast, adding dataset descriptors increases R² to 0.953 and τ to 0.927, demonstrating that workload information explains most of the residual variation left by architecture-only features.</w:t>
      </w:r>
    </w:p>
    <w:p w14:paraId="49F9D624" w14:textId="189DDB4C" w:rsidR="00003A2E" w:rsidRPr="003D6F2A" w:rsidRDefault="008F030F" w:rsidP="000A31FB">
      <w:pPr>
        <w:pStyle w:val="BodyText"/>
        <w:ind w:firstLine="259"/>
        <w:jc w:val="both"/>
      </w:pPr>
      <w:r w:rsidRPr="003D6F2A">
        <w:t>This result is mechanistically plausible because the BUTTER-E subset fixes training at 3,000 epochs [14]. Under a fixed epoch budget, increasing the number of training observations increases the volume of data processed over the run and therefore affects duration and energy. Dataset scale should thus be interpreted as a workload-volume descriptor rather than as a purely statistical correlate.</w:t>
      </w:r>
    </w:p>
    <w:p w14:paraId="1098F31B" w14:textId="77777777" w:rsidR="00003A2E" w:rsidRPr="003D6F2A" w:rsidRDefault="008F030F">
      <w:pPr>
        <w:pStyle w:val="BodyText"/>
        <w:keepNext/>
        <w:spacing w:before="100" w:after="60"/>
      </w:pPr>
      <w:r w:rsidRPr="003D6F2A">
        <w:rPr>
          <w:i/>
          <w:sz w:val="18"/>
        </w:rPr>
        <w:t>Table 8. BUTTER-E feature-sensitivity analysis.</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674"/>
        <w:gridCol w:w="2167"/>
        <w:gridCol w:w="1280"/>
        <w:gridCol w:w="2462"/>
        <w:gridCol w:w="2267"/>
      </w:tblGrid>
      <w:tr w:rsidR="00003A2E" w:rsidRPr="003D6F2A" w14:paraId="46BB5709" w14:textId="77777777">
        <w:trPr>
          <w:cantSplit/>
          <w:tblHeader/>
          <w:jc w:val="center"/>
        </w:trPr>
        <w:tc>
          <w:tcPr>
            <w:tcW w:w="1674" w:type="dxa"/>
            <w:tcMar>
              <w:top w:w="70" w:type="dxa"/>
              <w:left w:w="70" w:type="dxa"/>
              <w:bottom w:w="70" w:type="dxa"/>
              <w:right w:w="70" w:type="dxa"/>
            </w:tcMar>
            <w:vAlign w:val="center"/>
          </w:tcPr>
          <w:p w14:paraId="56B305FC" w14:textId="77777777" w:rsidR="00003A2E" w:rsidRPr="003D6F2A" w:rsidRDefault="008F030F">
            <w:pPr>
              <w:spacing w:after="0" w:line="240" w:lineRule="auto"/>
            </w:pPr>
            <w:r w:rsidRPr="003D6F2A">
              <w:rPr>
                <w:b/>
                <w:sz w:val="16"/>
              </w:rPr>
              <w:t>Feature set</w:t>
            </w:r>
          </w:p>
        </w:tc>
        <w:tc>
          <w:tcPr>
            <w:tcW w:w="2167" w:type="dxa"/>
            <w:tcMar>
              <w:top w:w="70" w:type="dxa"/>
              <w:left w:w="70" w:type="dxa"/>
              <w:bottom w:w="70" w:type="dxa"/>
              <w:right w:w="70" w:type="dxa"/>
            </w:tcMar>
            <w:vAlign w:val="center"/>
          </w:tcPr>
          <w:p w14:paraId="2CF970B6" w14:textId="77777777" w:rsidR="00003A2E" w:rsidRPr="003D6F2A" w:rsidRDefault="008F030F">
            <w:pPr>
              <w:spacing w:after="0" w:line="240" w:lineRule="auto"/>
            </w:pPr>
            <w:r w:rsidRPr="003D6F2A">
              <w:rPr>
                <w:b/>
                <w:sz w:val="16"/>
              </w:rPr>
              <w:t>MAPE (%)</w:t>
            </w:r>
          </w:p>
        </w:tc>
        <w:tc>
          <w:tcPr>
            <w:tcW w:w="1280" w:type="dxa"/>
            <w:tcMar>
              <w:top w:w="70" w:type="dxa"/>
              <w:left w:w="70" w:type="dxa"/>
              <w:bottom w:w="70" w:type="dxa"/>
              <w:right w:w="70" w:type="dxa"/>
            </w:tcMar>
            <w:vAlign w:val="center"/>
          </w:tcPr>
          <w:p w14:paraId="7865B9A0" w14:textId="77777777" w:rsidR="00003A2E" w:rsidRPr="003D6F2A" w:rsidRDefault="008F030F">
            <w:pPr>
              <w:spacing w:after="0" w:line="240" w:lineRule="auto"/>
            </w:pPr>
            <w:r w:rsidRPr="003D6F2A">
              <w:rPr>
                <w:b/>
                <w:sz w:val="16"/>
              </w:rPr>
              <w:t>R²</w:t>
            </w:r>
          </w:p>
        </w:tc>
        <w:tc>
          <w:tcPr>
            <w:tcW w:w="2462" w:type="dxa"/>
            <w:tcMar>
              <w:top w:w="70" w:type="dxa"/>
              <w:left w:w="70" w:type="dxa"/>
              <w:bottom w:w="70" w:type="dxa"/>
              <w:right w:w="70" w:type="dxa"/>
            </w:tcMar>
            <w:vAlign w:val="center"/>
          </w:tcPr>
          <w:p w14:paraId="718F2236" w14:textId="77777777" w:rsidR="00003A2E" w:rsidRPr="003D6F2A" w:rsidRDefault="008F030F">
            <w:pPr>
              <w:spacing w:after="0" w:line="240" w:lineRule="auto"/>
            </w:pPr>
            <w:r w:rsidRPr="003D6F2A">
              <w:rPr>
                <w:b/>
                <w:sz w:val="16"/>
              </w:rPr>
              <w:t>Kendall τ</w:t>
            </w:r>
          </w:p>
        </w:tc>
        <w:tc>
          <w:tcPr>
            <w:tcW w:w="2267" w:type="dxa"/>
            <w:tcMar>
              <w:top w:w="70" w:type="dxa"/>
              <w:left w:w="70" w:type="dxa"/>
              <w:bottom w:w="70" w:type="dxa"/>
              <w:right w:w="70" w:type="dxa"/>
            </w:tcMar>
            <w:vAlign w:val="center"/>
          </w:tcPr>
          <w:p w14:paraId="1B2071D2" w14:textId="77777777" w:rsidR="00003A2E" w:rsidRPr="003D6F2A" w:rsidRDefault="008F030F">
            <w:pPr>
              <w:spacing w:after="0" w:line="240" w:lineRule="auto"/>
            </w:pPr>
            <w:r w:rsidRPr="003D6F2A">
              <w:rPr>
                <w:b/>
                <w:sz w:val="16"/>
              </w:rPr>
              <w:t>Interpretation</w:t>
            </w:r>
          </w:p>
        </w:tc>
      </w:tr>
      <w:tr w:rsidR="00003A2E" w:rsidRPr="003D6F2A" w14:paraId="1CCE11CA" w14:textId="77777777">
        <w:trPr>
          <w:cantSplit/>
          <w:jc w:val="center"/>
        </w:trPr>
        <w:tc>
          <w:tcPr>
            <w:tcW w:w="1674" w:type="dxa"/>
            <w:tcMar>
              <w:top w:w="70" w:type="dxa"/>
              <w:left w:w="70" w:type="dxa"/>
              <w:bottom w:w="70" w:type="dxa"/>
              <w:right w:w="70" w:type="dxa"/>
            </w:tcMar>
            <w:vAlign w:val="center"/>
          </w:tcPr>
          <w:p w14:paraId="1C06D4A1" w14:textId="77777777" w:rsidR="00003A2E" w:rsidRPr="003D6F2A" w:rsidRDefault="008F030F">
            <w:pPr>
              <w:spacing w:after="0" w:line="240" w:lineRule="auto"/>
            </w:pPr>
            <w:r w:rsidRPr="003D6F2A">
              <w:rPr>
                <w:sz w:val="16"/>
              </w:rPr>
              <w:t>Shared core only</w:t>
            </w:r>
          </w:p>
        </w:tc>
        <w:tc>
          <w:tcPr>
            <w:tcW w:w="2167" w:type="dxa"/>
            <w:tcMar>
              <w:top w:w="70" w:type="dxa"/>
              <w:left w:w="70" w:type="dxa"/>
              <w:bottom w:w="70" w:type="dxa"/>
              <w:right w:w="70" w:type="dxa"/>
            </w:tcMar>
            <w:vAlign w:val="center"/>
          </w:tcPr>
          <w:p w14:paraId="4D17EE98" w14:textId="77777777" w:rsidR="00003A2E" w:rsidRPr="003D6F2A" w:rsidRDefault="008F030F">
            <w:pPr>
              <w:spacing w:after="0" w:line="240" w:lineRule="auto"/>
            </w:pPr>
            <w:r w:rsidRPr="003D6F2A">
              <w:rPr>
                <w:sz w:val="16"/>
              </w:rPr>
              <w:t>132.7</w:t>
            </w:r>
          </w:p>
        </w:tc>
        <w:tc>
          <w:tcPr>
            <w:tcW w:w="1280" w:type="dxa"/>
            <w:tcMar>
              <w:top w:w="70" w:type="dxa"/>
              <w:left w:w="70" w:type="dxa"/>
              <w:bottom w:w="70" w:type="dxa"/>
              <w:right w:w="70" w:type="dxa"/>
            </w:tcMar>
            <w:vAlign w:val="center"/>
          </w:tcPr>
          <w:p w14:paraId="2A290959" w14:textId="77777777" w:rsidR="00003A2E" w:rsidRPr="003D6F2A" w:rsidRDefault="008F030F">
            <w:pPr>
              <w:spacing w:after="0" w:line="240" w:lineRule="auto"/>
            </w:pPr>
            <w:r w:rsidRPr="003D6F2A">
              <w:rPr>
                <w:sz w:val="16"/>
              </w:rPr>
              <w:t>0.086</w:t>
            </w:r>
          </w:p>
        </w:tc>
        <w:tc>
          <w:tcPr>
            <w:tcW w:w="2462" w:type="dxa"/>
            <w:tcMar>
              <w:top w:w="70" w:type="dxa"/>
              <w:left w:w="70" w:type="dxa"/>
              <w:bottom w:w="70" w:type="dxa"/>
              <w:right w:w="70" w:type="dxa"/>
            </w:tcMar>
            <w:vAlign w:val="center"/>
          </w:tcPr>
          <w:p w14:paraId="035863CB" w14:textId="77777777" w:rsidR="00003A2E" w:rsidRPr="003D6F2A" w:rsidRDefault="008F030F">
            <w:pPr>
              <w:spacing w:after="0" w:line="240" w:lineRule="auto"/>
            </w:pPr>
            <w:r w:rsidRPr="003D6F2A">
              <w:rPr>
                <w:sz w:val="16"/>
              </w:rPr>
              <w:t>0.272</w:t>
            </w:r>
          </w:p>
        </w:tc>
        <w:tc>
          <w:tcPr>
            <w:tcW w:w="2267" w:type="dxa"/>
            <w:tcMar>
              <w:top w:w="70" w:type="dxa"/>
              <w:left w:w="70" w:type="dxa"/>
              <w:bottom w:w="70" w:type="dxa"/>
              <w:right w:w="70" w:type="dxa"/>
            </w:tcMar>
            <w:vAlign w:val="center"/>
          </w:tcPr>
          <w:p w14:paraId="70F908A8" w14:textId="77777777" w:rsidR="00003A2E" w:rsidRPr="003D6F2A" w:rsidRDefault="008F030F">
            <w:pPr>
              <w:spacing w:after="0" w:line="240" w:lineRule="auto"/>
            </w:pPr>
            <w:r w:rsidRPr="003D6F2A">
              <w:rPr>
                <w:sz w:val="16"/>
              </w:rPr>
              <w:t>Architecture scale alone is insufficient</w:t>
            </w:r>
          </w:p>
        </w:tc>
      </w:tr>
      <w:tr w:rsidR="00003A2E" w:rsidRPr="003D6F2A" w14:paraId="700B96E7" w14:textId="77777777">
        <w:trPr>
          <w:cantSplit/>
          <w:jc w:val="center"/>
        </w:trPr>
        <w:tc>
          <w:tcPr>
            <w:tcW w:w="1674" w:type="dxa"/>
            <w:tcMar>
              <w:top w:w="70" w:type="dxa"/>
              <w:left w:w="70" w:type="dxa"/>
              <w:bottom w:w="70" w:type="dxa"/>
              <w:right w:w="70" w:type="dxa"/>
            </w:tcMar>
            <w:vAlign w:val="center"/>
          </w:tcPr>
          <w:p w14:paraId="288D367F" w14:textId="77777777" w:rsidR="00003A2E" w:rsidRPr="003D6F2A" w:rsidRDefault="008F030F">
            <w:pPr>
              <w:spacing w:after="0" w:line="240" w:lineRule="auto"/>
            </w:pPr>
            <w:r w:rsidRPr="003D6F2A">
              <w:rPr>
                <w:sz w:val="16"/>
              </w:rPr>
              <w:t>+ hardware type + network shape</w:t>
            </w:r>
          </w:p>
        </w:tc>
        <w:tc>
          <w:tcPr>
            <w:tcW w:w="2167" w:type="dxa"/>
            <w:tcMar>
              <w:top w:w="70" w:type="dxa"/>
              <w:left w:w="70" w:type="dxa"/>
              <w:bottom w:w="70" w:type="dxa"/>
              <w:right w:w="70" w:type="dxa"/>
            </w:tcMar>
            <w:vAlign w:val="center"/>
          </w:tcPr>
          <w:p w14:paraId="4C705DE2" w14:textId="77777777" w:rsidR="00003A2E" w:rsidRPr="003D6F2A" w:rsidRDefault="008F030F">
            <w:pPr>
              <w:spacing w:after="0" w:line="240" w:lineRule="auto"/>
            </w:pPr>
            <w:r w:rsidRPr="003D6F2A">
              <w:rPr>
                <w:sz w:val="16"/>
              </w:rPr>
              <w:t>115.7</w:t>
            </w:r>
          </w:p>
        </w:tc>
        <w:tc>
          <w:tcPr>
            <w:tcW w:w="1280" w:type="dxa"/>
            <w:tcMar>
              <w:top w:w="70" w:type="dxa"/>
              <w:left w:w="70" w:type="dxa"/>
              <w:bottom w:w="70" w:type="dxa"/>
              <w:right w:w="70" w:type="dxa"/>
            </w:tcMar>
            <w:vAlign w:val="center"/>
          </w:tcPr>
          <w:p w14:paraId="0DCE8657" w14:textId="77777777" w:rsidR="00003A2E" w:rsidRPr="003D6F2A" w:rsidRDefault="008F030F">
            <w:pPr>
              <w:spacing w:after="0" w:line="240" w:lineRule="auto"/>
            </w:pPr>
            <w:r w:rsidRPr="003D6F2A">
              <w:rPr>
                <w:sz w:val="16"/>
              </w:rPr>
              <w:t>0.035</w:t>
            </w:r>
          </w:p>
        </w:tc>
        <w:tc>
          <w:tcPr>
            <w:tcW w:w="2462" w:type="dxa"/>
            <w:tcMar>
              <w:top w:w="70" w:type="dxa"/>
              <w:left w:w="70" w:type="dxa"/>
              <w:bottom w:w="70" w:type="dxa"/>
              <w:right w:w="70" w:type="dxa"/>
            </w:tcMar>
            <w:vAlign w:val="center"/>
          </w:tcPr>
          <w:p w14:paraId="470465E9" w14:textId="77777777" w:rsidR="00003A2E" w:rsidRPr="003D6F2A" w:rsidRDefault="008F030F">
            <w:pPr>
              <w:spacing w:after="0" w:line="240" w:lineRule="auto"/>
            </w:pPr>
            <w:r w:rsidRPr="003D6F2A">
              <w:rPr>
                <w:sz w:val="16"/>
              </w:rPr>
              <w:t>0.320</w:t>
            </w:r>
          </w:p>
        </w:tc>
        <w:tc>
          <w:tcPr>
            <w:tcW w:w="2267" w:type="dxa"/>
            <w:tcMar>
              <w:top w:w="70" w:type="dxa"/>
              <w:left w:w="70" w:type="dxa"/>
              <w:bottom w:w="70" w:type="dxa"/>
              <w:right w:w="70" w:type="dxa"/>
            </w:tcMar>
            <w:vAlign w:val="center"/>
          </w:tcPr>
          <w:p w14:paraId="0EC67F3A" w14:textId="77777777" w:rsidR="00003A2E" w:rsidRPr="003D6F2A" w:rsidRDefault="008F030F">
            <w:pPr>
              <w:spacing w:after="0" w:line="240" w:lineRule="auto"/>
            </w:pPr>
            <w:r w:rsidRPr="003D6F2A">
              <w:rPr>
                <w:sz w:val="16"/>
              </w:rPr>
              <w:t>Small rank gain; weak absolute fit</w:t>
            </w:r>
          </w:p>
        </w:tc>
      </w:tr>
      <w:tr w:rsidR="00003A2E" w:rsidRPr="003D6F2A" w14:paraId="0D129BD3" w14:textId="77777777">
        <w:trPr>
          <w:cantSplit/>
          <w:jc w:val="center"/>
        </w:trPr>
        <w:tc>
          <w:tcPr>
            <w:tcW w:w="1674" w:type="dxa"/>
            <w:tcMar>
              <w:top w:w="70" w:type="dxa"/>
              <w:left w:w="70" w:type="dxa"/>
              <w:bottom w:w="70" w:type="dxa"/>
              <w:right w:w="70" w:type="dxa"/>
            </w:tcMar>
            <w:vAlign w:val="center"/>
          </w:tcPr>
          <w:p w14:paraId="07A91D06" w14:textId="77777777" w:rsidR="00003A2E" w:rsidRPr="003D6F2A" w:rsidRDefault="008F030F">
            <w:pPr>
              <w:spacing w:after="0" w:line="240" w:lineRule="auto"/>
            </w:pPr>
            <w:r w:rsidRPr="003D6F2A">
              <w:rPr>
                <w:sz w:val="16"/>
              </w:rPr>
              <w:t>+ memory/cache proxy</w:t>
            </w:r>
          </w:p>
        </w:tc>
        <w:tc>
          <w:tcPr>
            <w:tcW w:w="2167" w:type="dxa"/>
            <w:tcMar>
              <w:top w:w="70" w:type="dxa"/>
              <w:left w:w="70" w:type="dxa"/>
              <w:bottom w:w="70" w:type="dxa"/>
              <w:right w:w="70" w:type="dxa"/>
            </w:tcMar>
            <w:vAlign w:val="center"/>
          </w:tcPr>
          <w:p w14:paraId="7DCB2174" w14:textId="77777777" w:rsidR="00003A2E" w:rsidRPr="003D6F2A" w:rsidRDefault="008F030F">
            <w:pPr>
              <w:spacing w:after="0" w:line="240" w:lineRule="auto"/>
            </w:pPr>
            <w:r w:rsidRPr="003D6F2A">
              <w:rPr>
                <w:sz w:val="16"/>
              </w:rPr>
              <w:t>115.0</w:t>
            </w:r>
          </w:p>
        </w:tc>
        <w:tc>
          <w:tcPr>
            <w:tcW w:w="1280" w:type="dxa"/>
            <w:tcMar>
              <w:top w:w="70" w:type="dxa"/>
              <w:left w:w="70" w:type="dxa"/>
              <w:bottom w:w="70" w:type="dxa"/>
              <w:right w:w="70" w:type="dxa"/>
            </w:tcMar>
            <w:vAlign w:val="center"/>
          </w:tcPr>
          <w:p w14:paraId="74CF5AC5" w14:textId="77777777" w:rsidR="00003A2E" w:rsidRPr="003D6F2A" w:rsidRDefault="008F030F">
            <w:pPr>
              <w:spacing w:after="0" w:line="240" w:lineRule="auto"/>
            </w:pPr>
            <w:r w:rsidRPr="003D6F2A">
              <w:rPr>
                <w:sz w:val="16"/>
              </w:rPr>
              <w:t>0.068</w:t>
            </w:r>
          </w:p>
        </w:tc>
        <w:tc>
          <w:tcPr>
            <w:tcW w:w="2462" w:type="dxa"/>
            <w:tcMar>
              <w:top w:w="70" w:type="dxa"/>
              <w:left w:w="70" w:type="dxa"/>
              <w:bottom w:w="70" w:type="dxa"/>
              <w:right w:w="70" w:type="dxa"/>
            </w:tcMar>
            <w:vAlign w:val="center"/>
          </w:tcPr>
          <w:p w14:paraId="51DA2C87" w14:textId="77777777" w:rsidR="00003A2E" w:rsidRPr="003D6F2A" w:rsidRDefault="008F030F">
            <w:pPr>
              <w:spacing w:after="0" w:line="240" w:lineRule="auto"/>
            </w:pPr>
            <w:r w:rsidRPr="003D6F2A">
              <w:rPr>
                <w:sz w:val="16"/>
              </w:rPr>
              <w:t>0.314</w:t>
            </w:r>
          </w:p>
        </w:tc>
        <w:tc>
          <w:tcPr>
            <w:tcW w:w="2267" w:type="dxa"/>
            <w:tcMar>
              <w:top w:w="70" w:type="dxa"/>
              <w:left w:w="70" w:type="dxa"/>
              <w:bottom w:w="70" w:type="dxa"/>
              <w:right w:w="70" w:type="dxa"/>
            </w:tcMar>
            <w:vAlign w:val="center"/>
          </w:tcPr>
          <w:p w14:paraId="39EB25B6" w14:textId="77777777" w:rsidR="00003A2E" w:rsidRPr="003D6F2A" w:rsidRDefault="008F030F">
            <w:pPr>
              <w:spacing w:after="0" w:line="240" w:lineRule="auto"/>
            </w:pPr>
            <w:r w:rsidRPr="003D6F2A">
              <w:rPr>
                <w:sz w:val="16"/>
              </w:rPr>
              <w:t>Rejected: mostly re-encodes size</w:t>
            </w:r>
          </w:p>
        </w:tc>
      </w:tr>
      <w:tr w:rsidR="00003A2E" w:rsidRPr="003D6F2A" w14:paraId="4A741691" w14:textId="77777777">
        <w:trPr>
          <w:cantSplit/>
          <w:jc w:val="center"/>
        </w:trPr>
        <w:tc>
          <w:tcPr>
            <w:tcW w:w="1674" w:type="dxa"/>
            <w:tcMar>
              <w:top w:w="70" w:type="dxa"/>
              <w:left w:w="70" w:type="dxa"/>
              <w:bottom w:w="70" w:type="dxa"/>
              <w:right w:w="70" w:type="dxa"/>
            </w:tcMar>
            <w:vAlign w:val="center"/>
          </w:tcPr>
          <w:p w14:paraId="1DF0A5ED" w14:textId="77777777" w:rsidR="00003A2E" w:rsidRPr="003D6F2A" w:rsidRDefault="008F030F">
            <w:pPr>
              <w:spacing w:after="0" w:line="240" w:lineRule="auto"/>
            </w:pPr>
            <w:r w:rsidRPr="003D6F2A">
              <w:rPr>
                <w:sz w:val="16"/>
              </w:rPr>
              <w:t>+ dataset properties (final)</w:t>
            </w:r>
          </w:p>
        </w:tc>
        <w:tc>
          <w:tcPr>
            <w:tcW w:w="2167" w:type="dxa"/>
            <w:tcMar>
              <w:top w:w="70" w:type="dxa"/>
              <w:left w:w="70" w:type="dxa"/>
              <w:bottom w:w="70" w:type="dxa"/>
              <w:right w:w="70" w:type="dxa"/>
            </w:tcMar>
            <w:vAlign w:val="center"/>
          </w:tcPr>
          <w:p w14:paraId="341A3862" w14:textId="77777777" w:rsidR="00003A2E" w:rsidRPr="003D6F2A" w:rsidRDefault="008F030F">
            <w:pPr>
              <w:spacing w:after="0" w:line="240" w:lineRule="auto"/>
            </w:pPr>
            <w:r w:rsidRPr="003D6F2A">
              <w:rPr>
                <w:sz w:val="16"/>
              </w:rPr>
              <w:t>11.5</w:t>
            </w:r>
          </w:p>
        </w:tc>
        <w:tc>
          <w:tcPr>
            <w:tcW w:w="1280" w:type="dxa"/>
            <w:tcMar>
              <w:top w:w="70" w:type="dxa"/>
              <w:left w:w="70" w:type="dxa"/>
              <w:bottom w:w="70" w:type="dxa"/>
              <w:right w:w="70" w:type="dxa"/>
            </w:tcMar>
            <w:vAlign w:val="center"/>
          </w:tcPr>
          <w:p w14:paraId="6CF1E5C9" w14:textId="77777777" w:rsidR="00003A2E" w:rsidRPr="003D6F2A" w:rsidRDefault="008F030F">
            <w:pPr>
              <w:spacing w:after="0" w:line="240" w:lineRule="auto"/>
            </w:pPr>
            <w:r w:rsidRPr="003D6F2A">
              <w:rPr>
                <w:sz w:val="16"/>
              </w:rPr>
              <w:t>0.953</w:t>
            </w:r>
          </w:p>
        </w:tc>
        <w:tc>
          <w:tcPr>
            <w:tcW w:w="2462" w:type="dxa"/>
            <w:tcMar>
              <w:top w:w="70" w:type="dxa"/>
              <w:left w:w="70" w:type="dxa"/>
              <w:bottom w:w="70" w:type="dxa"/>
              <w:right w:w="70" w:type="dxa"/>
            </w:tcMar>
            <w:vAlign w:val="center"/>
          </w:tcPr>
          <w:p w14:paraId="17093639" w14:textId="77777777" w:rsidR="00003A2E" w:rsidRPr="003D6F2A" w:rsidRDefault="008F030F">
            <w:pPr>
              <w:spacing w:after="0" w:line="240" w:lineRule="auto"/>
            </w:pPr>
            <w:r w:rsidRPr="003D6F2A">
              <w:rPr>
                <w:sz w:val="16"/>
              </w:rPr>
              <w:t>0.927</w:t>
            </w:r>
          </w:p>
        </w:tc>
        <w:tc>
          <w:tcPr>
            <w:tcW w:w="2267" w:type="dxa"/>
            <w:tcMar>
              <w:top w:w="70" w:type="dxa"/>
              <w:left w:w="70" w:type="dxa"/>
              <w:bottom w:w="70" w:type="dxa"/>
              <w:right w:w="70" w:type="dxa"/>
            </w:tcMar>
            <w:vAlign w:val="center"/>
          </w:tcPr>
          <w:p w14:paraId="5771F941" w14:textId="77777777" w:rsidR="00003A2E" w:rsidRPr="003D6F2A" w:rsidRDefault="008F030F">
            <w:pPr>
              <w:spacing w:after="0" w:line="240" w:lineRule="auto"/>
            </w:pPr>
            <w:r w:rsidRPr="003D6F2A">
              <w:rPr>
                <w:sz w:val="16"/>
              </w:rPr>
              <w:t>Workload scale closes most residual gap</w:t>
            </w:r>
          </w:p>
        </w:tc>
      </w:tr>
    </w:tbl>
    <w:p w14:paraId="62929E5A" w14:textId="77777777" w:rsidR="00003A2E" w:rsidRPr="003D6F2A" w:rsidRDefault="008F030F">
      <w:pPr>
        <w:jc w:val="center"/>
      </w:pPr>
      <w:r w:rsidRPr="003D6F2A">
        <w:rPr>
          <w:noProof/>
        </w:rPr>
        <w:lastRenderedPageBreak/>
        <w:drawing>
          <wp:inline distT="0" distB="0" distL="0" distR="0" wp14:anchorId="578D0E71" wp14:editId="596FEB54">
            <wp:extent cx="5852160" cy="3118107"/>
            <wp:effectExtent l="0" t="0" r="0" b="0"/>
            <wp:docPr id="55" name="Picture" descr="Fig. 6. BUTTER-E feature sensitivity. Dataset-level descriptors cause the dominant gain in both variance explained and rank correlation, whereas hardware/shape and the rejected memory/cache proxy do not close the architecture-only gap."/>
            <wp:cNvGraphicFramePr/>
            <a:graphic xmlns:a="http://schemas.openxmlformats.org/drawingml/2006/main">
              <a:graphicData uri="http://schemas.openxmlformats.org/drawingml/2006/picture">
                <pic:pic xmlns:pic="http://schemas.openxmlformats.org/drawingml/2006/picture">
                  <pic:nvPicPr>
                    <pic:cNvPr id="56" name="Picture" descr="/mnt/data/cal_energy_figures_revised/fig6_ablation.png"/>
                    <pic:cNvPicPr>
                      <a:picLocks noChangeAspect="1" noChangeArrowheads="1"/>
                    </pic:cNvPicPr>
                  </pic:nvPicPr>
                  <pic:blipFill>
                    <a:blip r:embed="rId12"/>
                    <a:stretch>
                      <a:fillRect/>
                    </a:stretch>
                  </pic:blipFill>
                  <pic:spPr bwMode="auto">
                    <a:xfrm>
                      <a:off x="0" y="0"/>
                      <a:ext cx="5852160" cy="3118107"/>
                    </a:xfrm>
                    <a:prstGeom prst="rect">
                      <a:avLst/>
                    </a:prstGeom>
                    <a:noFill/>
                    <a:ln w="9525">
                      <a:noFill/>
                      <a:headEnd/>
                      <a:tailEnd/>
                    </a:ln>
                  </pic:spPr>
                </pic:pic>
              </a:graphicData>
            </a:graphic>
          </wp:inline>
        </w:drawing>
      </w:r>
    </w:p>
    <w:p w14:paraId="2DD1CF31" w14:textId="77777777" w:rsidR="00003A2E" w:rsidRPr="003D6F2A" w:rsidRDefault="008F030F">
      <w:pPr>
        <w:ind w:firstLine="259"/>
        <w:jc w:val="both"/>
      </w:pPr>
      <w:r w:rsidRPr="003D6F2A">
        <w:t>Fig. 6. BUTTER-E feature sensitivity. Dataset-level descriptors cause the dominant gain in both variance explained and rank correlation, whereas hardware/shape and the rejected memory/cache proxy do not close the architecture-only gap.</w:t>
      </w:r>
    </w:p>
    <w:p w14:paraId="6506653D" w14:textId="09ADDBB1" w:rsidR="00003A2E" w:rsidRPr="003D6F2A" w:rsidRDefault="008F030F" w:rsidP="00AE6F0E">
      <w:pPr>
        <w:pStyle w:val="BodyText"/>
        <w:jc w:val="both"/>
      </w:pPr>
      <w:r w:rsidRPr="003D6F2A">
        <w:t>To test whether the dataset features merely encode the identity of the 12 BUTTER-E tasks, a leave-one-dataset-out analysis trains on 11 datasets and evaluates on the excluded dataset. Mean Kendall’s τ remains approximately 0.84, whereas mean R² falls to about 0.48 and becomes negative for two datasets near the boundary of the observed feature space. The result suggests that relative ordering transfers more robustly than absolute calibration and that the current task diversity is insufficient to establish unrestricted dataset generalization.</w:t>
      </w:r>
    </w:p>
    <w:p w14:paraId="4166B837" w14:textId="77777777" w:rsidR="00003A2E" w:rsidRPr="003D6F2A" w:rsidRDefault="008F030F">
      <w:pPr>
        <w:pStyle w:val="Heading2"/>
        <w:spacing w:before="160" w:after="80"/>
        <w:rPr>
          <w:color w:val="auto"/>
        </w:rPr>
      </w:pPr>
      <w:bookmarkStart w:id="21" w:name="Xe9ceccb0fac2f2138d51e1f9be6b34562457462"/>
      <w:bookmarkEnd w:id="20"/>
      <w:r w:rsidRPr="003D6F2A">
        <w:rPr>
          <w:color w:val="auto"/>
        </w:rPr>
        <w:t>4.3 Measurement-scale sensitivity and output structure</w:t>
      </w:r>
    </w:p>
    <w:p w14:paraId="1CB5F4C4" w14:textId="0F863F1F" w:rsidR="00003A2E" w:rsidRPr="003D6F2A" w:rsidRDefault="008F030F">
      <w:pPr>
        <w:ind w:firstLine="259"/>
        <w:jc w:val="both"/>
      </w:pPr>
      <w:r w:rsidRPr="003D6F2A">
        <w:t>To assess sensitivity to plausible measurement-scale differences, Equation (6) is evaluated with c = 1.25. Table 9 and Fig. 7 show that this perturbation changes the absolute EC-NAS target scale while leaving pooled fit almost unchanged: MAPE remains 9.4%, R² remains 0.955, and τ changes only from 0.934 to 0.933. The result does not show that measurement mismatch is unimportant; rather, it demonstrates that standard fit metrics can remain stable when a flexible pooled model learns dataset-specific target scales.</w:t>
      </w:r>
    </w:p>
    <w:p w14:paraId="0B7BD46E" w14:textId="44450F84" w:rsidR="00003A2E" w:rsidRPr="003D6F2A" w:rsidRDefault="008F030F">
      <w:pPr>
        <w:pStyle w:val="BodyText"/>
        <w:ind w:firstLine="259"/>
        <w:jc w:val="both"/>
      </w:pPr>
      <w:r w:rsidRPr="003D6F2A">
        <w:t>The alternative power–duration formulation in Equation (5) likewise provides no material predictive advantage over direct total-energy regression on the pooled split. MAPE is 9.3% versus 9.4%, R² is 0.954 versus 0.955, and τ is 0.935 versus 0.934, respectively. The decomposition is therefore retained for interpretability and targeted calibration analysis, not because the present experiments demonstrate superior accuracy.</w:t>
      </w:r>
    </w:p>
    <w:p w14:paraId="28912F8B" w14:textId="77777777" w:rsidR="00003A2E" w:rsidRPr="003D6F2A" w:rsidRDefault="008F030F">
      <w:pPr>
        <w:pStyle w:val="BodyText"/>
        <w:keepNext/>
        <w:spacing w:before="100" w:after="60"/>
      </w:pPr>
      <w:r w:rsidRPr="003D6F2A">
        <w:rPr>
          <w:i/>
          <w:sz w:val="18"/>
        </w:rPr>
        <w:t>Table 9. Pooled measurement-scale and output-structure sensitivity.</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2758"/>
        <w:gridCol w:w="1970"/>
        <w:gridCol w:w="1970"/>
        <w:gridCol w:w="3152"/>
      </w:tblGrid>
      <w:tr w:rsidR="00003A2E" w:rsidRPr="003D6F2A" w14:paraId="3EE93C8F" w14:textId="77777777">
        <w:trPr>
          <w:cantSplit/>
          <w:tblHeader/>
          <w:jc w:val="center"/>
        </w:trPr>
        <w:tc>
          <w:tcPr>
            <w:tcW w:w="2758" w:type="dxa"/>
            <w:tcMar>
              <w:top w:w="70" w:type="dxa"/>
              <w:left w:w="70" w:type="dxa"/>
              <w:bottom w:w="70" w:type="dxa"/>
              <w:right w:w="70" w:type="dxa"/>
            </w:tcMar>
            <w:vAlign w:val="center"/>
          </w:tcPr>
          <w:p w14:paraId="64D9A815" w14:textId="77777777" w:rsidR="00003A2E" w:rsidRPr="003D6F2A" w:rsidRDefault="008F030F">
            <w:pPr>
              <w:spacing w:after="0" w:line="240" w:lineRule="auto"/>
            </w:pPr>
            <w:r w:rsidRPr="003D6F2A">
              <w:rPr>
                <w:b/>
                <w:sz w:val="17"/>
              </w:rPr>
              <w:t>Experiment</w:t>
            </w:r>
          </w:p>
        </w:tc>
        <w:tc>
          <w:tcPr>
            <w:tcW w:w="1970" w:type="dxa"/>
            <w:tcMar>
              <w:top w:w="70" w:type="dxa"/>
              <w:left w:w="70" w:type="dxa"/>
              <w:bottom w:w="70" w:type="dxa"/>
              <w:right w:w="70" w:type="dxa"/>
            </w:tcMar>
            <w:vAlign w:val="center"/>
          </w:tcPr>
          <w:p w14:paraId="0D121D80" w14:textId="77777777" w:rsidR="00003A2E" w:rsidRPr="003D6F2A" w:rsidRDefault="008F030F">
            <w:pPr>
              <w:spacing w:after="0" w:line="240" w:lineRule="auto"/>
            </w:pPr>
            <w:r w:rsidRPr="003D6F2A">
              <w:rPr>
                <w:b/>
                <w:sz w:val="17"/>
              </w:rPr>
              <w:t>MAPE (%)</w:t>
            </w:r>
          </w:p>
        </w:tc>
        <w:tc>
          <w:tcPr>
            <w:tcW w:w="1970" w:type="dxa"/>
            <w:tcMar>
              <w:top w:w="70" w:type="dxa"/>
              <w:left w:w="70" w:type="dxa"/>
              <w:bottom w:w="70" w:type="dxa"/>
              <w:right w:w="70" w:type="dxa"/>
            </w:tcMar>
            <w:vAlign w:val="center"/>
          </w:tcPr>
          <w:p w14:paraId="0B02723F" w14:textId="77777777" w:rsidR="00003A2E" w:rsidRPr="003D6F2A" w:rsidRDefault="008F030F">
            <w:pPr>
              <w:spacing w:after="0" w:line="240" w:lineRule="auto"/>
            </w:pPr>
            <w:r w:rsidRPr="003D6F2A">
              <w:rPr>
                <w:b/>
                <w:sz w:val="17"/>
              </w:rPr>
              <w:t>R²</w:t>
            </w:r>
          </w:p>
        </w:tc>
        <w:tc>
          <w:tcPr>
            <w:tcW w:w="3152" w:type="dxa"/>
            <w:tcMar>
              <w:top w:w="70" w:type="dxa"/>
              <w:left w:w="70" w:type="dxa"/>
              <w:bottom w:w="70" w:type="dxa"/>
              <w:right w:w="70" w:type="dxa"/>
            </w:tcMar>
            <w:vAlign w:val="center"/>
          </w:tcPr>
          <w:p w14:paraId="77E59DF2" w14:textId="77777777" w:rsidR="00003A2E" w:rsidRPr="003D6F2A" w:rsidRDefault="008F030F">
            <w:pPr>
              <w:spacing w:after="0" w:line="240" w:lineRule="auto"/>
            </w:pPr>
            <w:r w:rsidRPr="003D6F2A">
              <w:rPr>
                <w:b/>
                <w:sz w:val="17"/>
              </w:rPr>
              <w:t>Kendall τ</w:t>
            </w:r>
          </w:p>
        </w:tc>
      </w:tr>
      <w:tr w:rsidR="00003A2E" w:rsidRPr="003D6F2A" w14:paraId="78169F74" w14:textId="77777777">
        <w:trPr>
          <w:cantSplit/>
          <w:jc w:val="center"/>
        </w:trPr>
        <w:tc>
          <w:tcPr>
            <w:tcW w:w="2758" w:type="dxa"/>
            <w:tcMar>
              <w:top w:w="70" w:type="dxa"/>
              <w:left w:w="70" w:type="dxa"/>
              <w:bottom w:w="70" w:type="dxa"/>
              <w:right w:w="70" w:type="dxa"/>
            </w:tcMar>
            <w:vAlign w:val="center"/>
          </w:tcPr>
          <w:p w14:paraId="14C50627" w14:textId="77777777" w:rsidR="00003A2E" w:rsidRPr="003D6F2A" w:rsidRDefault="008F030F">
            <w:pPr>
              <w:spacing w:after="0" w:line="240" w:lineRule="auto"/>
            </w:pPr>
            <w:r w:rsidRPr="003D6F2A">
              <w:rPr>
                <w:sz w:val="17"/>
              </w:rPr>
              <w:t>Pooled, uncorrected</w:t>
            </w:r>
          </w:p>
        </w:tc>
        <w:tc>
          <w:tcPr>
            <w:tcW w:w="1970" w:type="dxa"/>
            <w:tcMar>
              <w:top w:w="70" w:type="dxa"/>
              <w:left w:w="70" w:type="dxa"/>
              <w:bottom w:w="70" w:type="dxa"/>
              <w:right w:w="70" w:type="dxa"/>
            </w:tcMar>
            <w:vAlign w:val="center"/>
          </w:tcPr>
          <w:p w14:paraId="6589D597" w14:textId="77777777" w:rsidR="00003A2E" w:rsidRPr="003D6F2A" w:rsidRDefault="008F030F">
            <w:pPr>
              <w:spacing w:after="0" w:line="240" w:lineRule="auto"/>
            </w:pPr>
            <w:r w:rsidRPr="003D6F2A">
              <w:rPr>
                <w:sz w:val="17"/>
              </w:rPr>
              <w:t>9.4</w:t>
            </w:r>
          </w:p>
        </w:tc>
        <w:tc>
          <w:tcPr>
            <w:tcW w:w="1970" w:type="dxa"/>
            <w:tcMar>
              <w:top w:w="70" w:type="dxa"/>
              <w:left w:w="70" w:type="dxa"/>
              <w:bottom w:w="70" w:type="dxa"/>
              <w:right w:w="70" w:type="dxa"/>
            </w:tcMar>
            <w:vAlign w:val="center"/>
          </w:tcPr>
          <w:p w14:paraId="73D3F05F" w14:textId="77777777" w:rsidR="00003A2E" w:rsidRPr="003D6F2A" w:rsidRDefault="008F030F">
            <w:pPr>
              <w:spacing w:after="0" w:line="240" w:lineRule="auto"/>
            </w:pPr>
            <w:r w:rsidRPr="003D6F2A">
              <w:rPr>
                <w:sz w:val="17"/>
              </w:rPr>
              <w:t>0.955</w:t>
            </w:r>
          </w:p>
        </w:tc>
        <w:tc>
          <w:tcPr>
            <w:tcW w:w="3152" w:type="dxa"/>
            <w:tcMar>
              <w:top w:w="70" w:type="dxa"/>
              <w:left w:w="70" w:type="dxa"/>
              <w:bottom w:w="70" w:type="dxa"/>
              <w:right w:w="70" w:type="dxa"/>
            </w:tcMar>
            <w:vAlign w:val="center"/>
          </w:tcPr>
          <w:p w14:paraId="24B969A5" w14:textId="77777777" w:rsidR="00003A2E" w:rsidRPr="003D6F2A" w:rsidRDefault="008F030F">
            <w:pPr>
              <w:spacing w:after="0" w:line="240" w:lineRule="auto"/>
            </w:pPr>
            <w:r w:rsidRPr="003D6F2A">
              <w:rPr>
                <w:sz w:val="17"/>
              </w:rPr>
              <w:t>0.934</w:t>
            </w:r>
          </w:p>
        </w:tc>
      </w:tr>
      <w:tr w:rsidR="00003A2E" w:rsidRPr="003D6F2A" w14:paraId="03038FCA" w14:textId="77777777">
        <w:trPr>
          <w:cantSplit/>
          <w:jc w:val="center"/>
        </w:trPr>
        <w:tc>
          <w:tcPr>
            <w:tcW w:w="2758" w:type="dxa"/>
            <w:tcMar>
              <w:top w:w="70" w:type="dxa"/>
              <w:left w:w="70" w:type="dxa"/>
              <w:bottom w:w="70" w:type="dxa"/>
              <w:right w:w="70" w:type="dxa"/>
            </w:tcMar>
            <w:vAlign w:val="center"/>
          </w:tcPr>
          <w:p w14:paraId="16F00E0B" w14:textId="77777777" w:rsidR="00003A2E" w:rsidRPr="003D6F2A" w:rsidRDefault="008F030F">
            <w:pPr>
              <w:spacing w:after="0" w:line="240" w:lineRule="auto"/>
            </w:pPr>
            <w:r w:rsidRPr="003D6F2A">
              <w:rPr>
                <w:sz w:val="17"/>
              </w:rPr>
              <w:t>Pooled, EC-NAS scale stress ×1.25</w:t>
            </w:r>
          </w:p>
        </w:tc>
        <w:tc>
          <w:tcPr>
            <w:tcW w:w="1970" w:type="dxa"/>
            <w:tcMar>
              <w:top w:w="70" w:type="dxa"/>
              <w:left w:w="70" w:type="dxa"/>
              <w:bottom w:w="70" w:type="dxa"/>
              <w:right w:w="70" w:type="dxa"/>
            </w:tcMar>
            <w:vAlign w:val="center"/>
          </w:tcPr>
          <w:p w14:paraId="12577ADD" w14:textId="77777777" w:rsidR="00003A2E" w:rsidRPr="003D6F2A" w:rsidRDefault="008F030F">
            <w:pPr>
              <w:spacing w:after="0" w:line="240" w:lineRule="auto"/>
            </w:pPr>
            <w:r w:rsidRPr="003D6F2A">
              <w:rPr>
                <w:sz w:val="17"/>
              </w:rPr>
              <w:t>9.4</w:t>
            </w:r>
          </w:p>
        </w:tc>
        <w:tc>
          <w:tcPr>
            <w:tcW w:w="1970" w:type="dxa"/>
            <w:tcMar>
              <w:top w:w="70" w:type="dxa"/>
              <w:left w:w="70" w:type="dxa"/>
              <w:bottom w:w="70" w:type="dxa"/>
              <w:right w:w="70" w:type="dxa"/>
            </w:tcMar>
            <w:vAlign w:val="center"/>
          </w:tcPr>
          <w:p w14:paraId="411132F9" w14:textId="77777777" w:rsidR="00003A2E" w:rsidRPr="003D6F2A" w:rsidRDefault="008F030F">
            <w:pPr>
              <w:spacing w:after="0" w:line="240" w:lineRule="auto"/>
            </w:pPr>
            <w:r w:rsidRPr="003D6F2A">
              <w:rPr>
                <w:sz w:val="17"/>
              </w:rPr>
              <w:t>0.955</w:t>
            </w:r>
          </w:p>
        </w:tc>
        <w:tc>
          <w:tcPr>
            <w:tcW w:w="3152" w:type="dxa"/>
            <w:tcMar>
              <w:top w:w="70" w:type="dxa"/>
              <w:left w:w="70" w:type="dxa"/>
              <w:bottom w:w="70" w:type="dxa"/>
              <w:right w:w="70" w:type="dxa"/>
            </w:tcMar>
            <w:vAlign w:val="center"/>
          </w:tcPr>
          <w:p w14:paraId="4BDD4742" w14:textId="77777777" w:rsidR="00003A2E" w:rsidRPr="003D6F2A" w:rsidRDefault="008F030F">
            <w:pPr>
              <w:spacing w:after="0" w:line="240" w:lineRule="auto"/>
            </w:pPr>
            <w:r w:rsidRPr="003D6F2A">
              <w:rPr>
                <w:sz w:val="17"/>
              </w:rPr>
              <w:t>0.933</w:t>
            </w:r>
          </w:p>
        </w:tc>
      </w:tr>
      <w:tr w:rsidR="00003A2E" w:rsidRPr="003D6F2A" w14:paraId="5AC0654D" w14:textId="77777777">
        <w:trPr>
          <w:cantSplit/>
          <w:jc w:val="center"/>
        </w:trPr>
        <w:tc>
          <w:tcPr>
            <w:tcW w:w="2758" w:type="dxa"/>
            <w:tcMar>
              <w:top w:w="70" w:type="dxa"/>
              <w:left w:w="70" w:type="dxa"/>
              <w:bottom w:w="70" w:type="dxa"/>
              <w:right w:w="70" w:type="dxa"/>
            </w:tcMar>
            <w:vAlign w:val="center"/>
          </w:tcPr>
          <w:p w14:paraId="3AAFDF92" w14:textId="77777777" w:rsidR="00003A2E" w:rsidRPr="003D6F2A" w:rsidRDefault="008F030F">
            <w:pPr>
              <w:spacing w:after="0" w:line="240" w:lineRule="auto"/>
            </w:pPr>
            <w:r w:rsidRPr="003D6F2A">
              <w:rPr>
                <w:sz w:val="17"/>
              </w:rPr>
              <w:t>Decomposed output: power × duration</w:t>
            </w:r>
          </w:p>
        </w:tc>
        <w:tc>
          <w:tcPr>
            <w:tcW w:w="1970" w:type="dxa"/>
            <w:tcMar>
              <w:top w:w="70" w:type="dxa"/>
              <w:left w:w="70" w:type="dxa"/>
              <w:bottom w:w="70" w:type="dxa"/>
              <w:right w:w="70" w:type="dxa"/>
            </w:tcMar>
            <w:vAlign w:val="center"/>
          </w:tcPr>
          <w:p w14:paraId="0820BDCF" w14:textId="77777777" w:rsidR="00003A2E" w:rsidRPr="003D6F2A" w:rsidRDefault="008F030F">
            <w:pPr>
              <w:spacing w:after="0" w:line="240" w:lineRule="auto"/>
            </w:pPr>
            <w:r w:rsidRPr="003D6F2A">
              <w:rPr>
                <w:sz w:val="17"/>
              </w:rPr>
              <w:t>9.3</w:t>
            </w:r>
          </w:p>
        </w:tc>
        <w:tc>
          <w:tcPr>
            <w:tcW w:w="1970" w:type="dxa"/>
            <w:tcMar>
              <w:top w:w="70" w:type="dxa"/>
              <w:left w:w="70" w:type="dxa"/>
              <w:bottom w:w="70" w:type="dxa"/>
              <w:right w:w="70" w:type="dxa"/>
            </w:tcMar>
            <w:vAlign w:val="center"/>
          </w:tcPr>
          <w:p w14:paraId="6B1E698A" w14:textId="77777777" w:rsidR="00003A2E" w:rsidRPr="003D6F2A" w:rsidRDefault="008F030F">
            <w:pPr>
              <w:spacing w:after="0" w:line="240" w:lineRule="auto"/>
            </w:pPr>
            <w:r w:rsidRPr="003D6F2A">
              <w:rPr>
                <w:sz w:val="17"/>
              </w:rPr>
              <w:t>0.954</w:t>
            </w:r>
          </w:p>
        </w:tc>
        <w:tc>
          <w:tcPr>
            <w:tcW w:w="3152" w:type="dxa"/>
            <w:tcMar>
              <w:top w:w="70" w:type="dxa"/>
              <w:left w:w="70" w:type="dxa"/>
              <w:bottom w:w="70" w:type="dxa"/>
              <w:right w:w="70" w:type="dxa"/>
            </w:tcMar>
            <w:vAlign w:val="center"/>
          </w:tcPr>
          <w:p w14:paraId="08C3CDF2" w14:textId="77777777" w:rsidR="00003A2E" w:rsidRPr="003D6F2A" w:rsidRDefault="008F030F">
            <w:pPr>
              <w:spacing w:after="0" w:line="240" w:lineRule="auto"/>
            </w:pPr>
            <w:r w:rsidRPr="003D6F2A">
              <w:rPr>
                <w:sz w:val="17"/>
              </w:rPr>
              <w:t>0.935</w:t>
            </w:r>
          </w:p>
        </w:tc>
      </w:tr>
      <w:tr w:rsidR="00003A2E" w:rsidRPr="003D6F2A" w14:paraId="20E6C36F" w14:textId="77777777">
        <w:trPr>
          <w:cantSplit/>
          <w:jc w:val="center"/>
        </w:trPr>
        <w:tc>
          <w:tcPr>
            <w:tcW w:w="2758" w:type="dxa"/>
            <w:tcMar>
              <w:top w:w="70" w:type="dxa"/>
              <w:left w:w="70" w:type="dxa"/>
              <w:bottom w:w="70" w:type="dxa"/>
              <w:right w:w="70" w:type="dxa"/>
            </w:tcMar>
            <w:vAlign w:val="center"/>
          </w:tcPr>
          <w:p w14:paraId="21FB1124" w14:textId="77777777" w:rsidR="00003A2E" w:rsidRPr="003D6F2A" w:rsidRDefault="008F030F">
            <w:pPr>
              <w:spacing w:after="0" w:line="240" w:lineRule="auto"/>
            </w:pPr>
            <w:r w:rsidRPr="003D6F2A">
              <w:rPr>
                <w:sz w:val="17"/>
              </w:rPr>
              <w:t>Direct total energy</w:t>
            </w:r>
          </w:p>
        </w:tc>
        <w:tc>
          <w:tcPr>
            <w:tcW w:w="1970" w:type="dxa"/>
            <w:tcMar>
              <w:top w:w="70" w:type="dxa"/>
              <w:left w:w="70" w:type="dxa"/>
              <w:bottom w:w="70" w:type="dxa"/>
              <w:right w:w="70" w:type="dxa"/>
            </w:tcMar>
            <w:vAlign w:val="center"/>
          </w:tcPr>
          <w:p w14:paraId="37CD6792" w14:textId="77777777" w:rsidR="00003A2E" w:rsidRPr="003D6F2A" w:rsidRDefault="008F030F">
            <w:pPr>
              <w:spacing w:after="0" w:line="240" w:lineRule="auto"/>
            </w:pPr>
            <w:r w:rsidRPr="003D6F2A">
              <w:rPr>
                <w:sz w:val="17"/>
              </w:rPr>
              <w:t>9.4</w:t>
            </w:r>
          </w:p>
        </w:tc>
        <w:tc>
          <w:tcPr>
            <w:tcW w:w="1970" w:type="dxa"/>
            <w:tcMar>
              <w:top w:w="70" w:type="dxa"/>
              <w:left w:w="70" w:type="dxa"/>
              <w:bottom w:w="70" w:type="dxa"/>
              <w:right w:w="70" w:type="dxa"/>
            </w:tcMar>
            <w:vAlign w:val="center"/>
          </w:tcPr>
          <w:p w14:paraId="5E0B2F8B" w14:textId="77777777" w:rsidR="00003A2E" w:rsidRPr="003D6F2A" w:rsidRDefault="008F030F">
            <w:pPr>
              <w:spacing w:after="0" w:line="240" w:lineRule="auto"/>
            </w:pPr>
            <w:r w:rsidRPr="003D6F2A">
              <w:rPr>
                <w:sz w:val="17"/>
              </w:rPr>
              <w:t>0.955</w:t>
            </w:r>
          </w:p>
        </w:tc>
        <w:tc>
          <w:tcPr>
            <w:tcW w:w="3152" w:type="dxa"/>
            <w:tcMar>
              <w:top w:w="70" w:type="dxa"/>
              <w:left w:w="70" w:type="dxa"/>
              <w:bottom w:w="70" w:type="dxa"/>
              <w:right w:w="70" w:type="dxa"/>
            </w:tcMar>
            <w:vAlign w:val="center"/>
          </w:tcPr>
          <w:p w14:paraId="6E2BC9B9" w14:textId="77777777" w:rsidR="00003A2E" w:rsidRPr="003D6F2A" w:rsidRDefault="008F030F">
            <w:pPr>
              <w:spacing w:after="0" w:line="240" w:lineRule="auto"/>
            </w:pPr>
            <w:r w:rsidRPr="003D6F2A">
              <w:rPr>
                <w:sz w:val="17"/>
              </w:rPr>
              <w:t>0.934</w:t>
            </w:r>
          </w:p>
        </w:tc>
      </w:tr>
    </w:tbl>
    <w:p w14:paraId="4FE42B27" w14:textId="77777777" w:rsidR="00003A2E" w:rsidRPr="003D6F2A" w:rsidRDefault="008F030F">
      <w:pPr>
        <w:jc w:val="center"/>
      </w:pPr>
      <w:r w:rsidRPr="003D6F2A">
        <w:rPr>
          <w:noProof/>
        </w:rPr>
        <w:lastRenderedPageBreak/>
        <w:drawing>
          <wp:inline distT="0" distB="0" distL="0" distR="0" wp14:anchorId="35A3CD08" wp14:editId="67FD8BBD">
            <wp:extent cx="5852160" cy="2935884"/>
            <wp:effectExtent l="0" t="0" r="0" b="0"/>
            <wp:docPr id="59" name="Picture" descr="Fig. 7. Sensitivity to measurement scale and output structure. The small variation in fit metrics despite a 1.25 target-scale stress demonstrates that aggregate accuracy statistics alone cannot establish physical calibration across measurement instruments."/>
            <wp:cNvGraphicFramePr/>
            <a:graphic xmlns:a="http://schemas.openxmlformats.org/drawingml/2006/main">
              <a:graphicData uri="http://schemas.openxmlformats.org/drawingml/2006/picture">
                <pic:pic xmlns:pic="http://schemas.openxmlformats.org/drawingml/2006/picture">
                  <pic:nvPicPr>
                    <pic:cNvPr id="60" name="Picture" descr="/mnt/data/cal_energy_figures_revised/fig7_pooling_sensitivity.png"/>
                    <pic:cNvPicPr>
                      <a:picLocks noChangeAspect="1" noChangeArrowheads="1"/>
                    </pic:cNvPicPr>
                  </pic:nvPicPr>
                  <pic:blipFill>
                    <a:blip r:embed="rId13"/>
                    <a:stretch>
                      <a:fillRect/>
                    </a:stretch>
                  </pic:blipFill>
                  <pic:spPr bwMode="auto">
                    <a:xfrm>
                      <a:off x="0" y="0"/>
                      <a:ext cx="5852160" cy="2935884"/>
                    </a:xfrm>
                    <a:prstGeom prst="rect">
                      <a:avLst/>
                    </a:prstGeom>
                    <a:noFill/>
                    <a:ln w="9525">
                      <a:noFill/>
                      <a:headEnd/>
                      <a:tailEnd/>
                    </a:ln>
                  </pic:spPr>
                </pic:pic>
              </a:graphicData>
            </a:graphic>
          </wp:inline>
        </w:drawing>
      </w:r>
    </w:p>
    <w:p w14:paraId="7F5848FC" w14:textId="77777777" w:rsidR="00003A2E" w:rsidRPr="003D6F2A" w:rsidRDefault="008F030F">
      <w:pPr>
        <w:ind w:firstLine="259"/>
        <w:jc w:val="both"/>
      </w:pPr>
      <w:r w:rsidRPr="003D6F2A">
        <w:t>Fig. 7. Sensitivity to measurement scale and output structure. The small variation in fit metrics despite a 1.25 target-scale stress demonstrates that aggregate accuracy statistics alone cannot establish physical calibration across measurement instruments.</w:t>
      </w:r>
    </w:p>
    <w:p w14:paraId="78F4F93C" w14:textId="77777777" w:rsidR="00003A2E" w:rsidRPr="003D6F2A" w:rsidRDefault="008F030F">
      <w:pPr>
        <w:pStyle w:val="Heading2"/>
        <w:spacing w:before="160" w:after="80"/>
        <w:rPr>
          <w:color w:val="auto"/>
        </w:rPr>
      </w:pPr>
      <w:bookmarkStart w:id="22" w:name="descriptive-statistical-uncertainty"/>
      <w:bookmarkEnd w:id="21"/>
      <w:r w:rsidRPr="003D6F2A">
        <w:rPr>
          <w:color w:val="auto"/>
        </w:rPr>
        <w:t>4.4 Descriptive statistical uncertainty</w:t>
      </w:r>
    </w:p>
    <w:p w14:paraId="690A5F37" w14:textId="7D38B9D1" w:rsidR="00003A2E" w:rsidRPr="003D6F2A" w:rsidRDefault="008F030F">
      <w:pPr>
        <w:ind w:firstLine="259"/>
        <w:jc w:val="both"/>
      </w:pPr>
      <w:r w:rsidRPr="003D6F2A">
        <w:t>The within-family Kendall correlations indicate strong monotonic agreement between predicted and measured energy. Using the approximate 80/20 diagnostic test sizes, the corresponding large-sample 95% intervals are approximately 0.912–0.942 for BUTTER-E and 0.791–0.907 for EC-NAS. These intervals quantify uncertainty around each CAL-ENERGY correlation but do not constitute paired significance tests against the MLP surrogate; Table 10 therefore reports them descriptively.</w:t>
      </w:r>
    </w:p>
    <w:p w14:paraId="4DF3BAE3" w14:textId="77777777" w:rsidR="00003A2E" w:rsidRPr="003D6F2A" w:rsidRDefault="008F030F">
      <w:pPr>
        <w:pStyle w:val="BodyText"/>
        <w:keepNext/>
        <w:spacing w:before="100" w:after="60"/>
      </w:pPr>
      <w:r w:rsidRPr="003D6F2A">
        <w:rPr>
          <w:i/>
          <w:sz w:val="18"/>
        </w:rPr>
        <w:t>Table 10. Approximate large-sample confidence intervals for within-family Kendall correlation.</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2758"/>
        <w:gridCol w:w="1970"/>
        <w:gridCol w:w="1970"/>
        <w:gridCol w:w="3152"/>
      </w:tblGrid>
      <w:tr w:rsidR="00003A2E" w:rsidRPr="003D6F2A" w14:paraId="05485D61" w14:textId="77777777">
        <w:trPr>
          <w:cantSplit/>
          <w:tblHeader/>
          <w:jc w:val="center"/>
        </w:trPr>
        <w:tc>
          <w:tcPr>
            <w:tcW w:w="2758" w:type="dxa"/>
            <w:tcMar>
              <w:top w:w="70" w:type="dxa"/>
              <w:left w:w="70" w:type="dxa"/>
              <w:bottom w:w="70" w:type="dxa"/>
              <w:right w:w="70" w:type="dxa"/>
            </w:tcMar>
            <w:vAlign w:val="center"/>
          </w:tcPr>
          <w:p w14:paraId="1A55849D" w14:textId="77777777" w:rsidR="00003A2E" w:rsidRPr="003D6F2A" w:rsidRDefault="008F030F">
            <w:pPr>
              <w:spacing w:after="0" w:line="240" w:lineRule="auto"/>
            </w:pPr>
            <w:r w:rsidRPr="003D6F2A">
              <w:rPr>
                <w:b/>
                <w:sz w:val="17"/>
              </w:rPr>
              <w:t>Family</w:t>
            </w:r>
          </w:p>
        </w:tc>
        <w:tc>
          <w:tcPr>
            <w:tcW w:w="1970" w:type="dxa"/>
            <w:tcMar>
              <w:top w:w="70" w:type="dxa"/>
              <w:left w:w="70" w:type="dxa"/>
              <w:bottom w:w="70" w:type="dxa"/>
              <w:right w:w="70" w:type="dxa"/>
            </w:tcMar>
            <w:vAlign w:val="center"/>
          </w:tcPr>
          <w:p w14:paraId="5DCD2EF5" w14:textId="77777777" w:rsidR="00003A2E" w:rsidRPr="003D6F2A" w:rsidRDefault="008F030F">
            <w:pPr>
              <w:spacing w:after="0" w:line="240" w:lineRule="auto"/>
            </w:pPr>
            <w:r w:rsidRPr="003D6F2A">
              <w:rPr>
                <w:b/>
                <w:sz w:val="17"/>
              </w:rPr>
              <w:t>CAL-ENERGY τ</w:t>
            </w:r>
          </w:p>
        </w:tc>
        <w:tc>
          <w:tcPr>
            <w:tcW w:w="1970" w:type="dxa"/>
            <w:tcMar>
              <w:top w:w="70" w:type="dxa"/>
              <w:left w:w="70" w:type="dxa"/>
              <w:bottom w:w="70" w:type="dxa"/>
              <w:right w:w="70" w:type="dxa"/>
            </w:tcMar>
            <w:vAlign w:val="center"/>
          </w:tcPr>
          <w:p w14:paraId="238F687D" w14:textId="77777777" w:rsidR="00003A2E" w:rsidRPr="003D6F2A" w:rsidRDefault="008F030F">
            <w:pPr>
              <w:spacing w:after="0" w:line="240" w:lineRule="auto"/>
            </w:pPr>
            <w:r w:rsidRPr="003D6F2A">
              <w:rPr>
                <w:b/>
                <w:sz w:val="17"/>
              </w:rPr>
              <w:t>Approx. 95% CI</w:t>
            </w:r>
          </w:p>
        </w:tc>
        <w:tc>
          <w:tcPr>
            <w:tcW w:w="3152" w:type="dxa"/>
            <w:tcMar>
              <w:top w:w="70" w:type="dxa"/>
              <w:left w:w="70" w:type="dxa"/>
              <w:bottom w:w="70" w:type="dxa"/>
              <w:right w:w="70" w:type="dxa"/>
            </w:tcMar>
            <w:vAlign w:val="center"/>
          </w:tcPr>
          <w:p w14:paraId="4FA84413" w14:textId="77777777" w:rsidR="00003A2E" w:rsidRPr="003D6F2A" w:rsidRDefault="008F030F">
            <w:pPr>
              <w:spacing w:after="0" w:line="240" w:lineRule="auto"/>
            </w:pPr>
            <w:r w:rsidRPr="003D6F2A">
              <w:rPr>
                <w:b/>
                <w:sz w:val="17"/>
              </w:rPr>
              <w:t>Interpretation</w:t>
            </w:r>
          </w:p>
        </w:tc>
      </w:tr>
      <w:tr w:rsidR="00003A2E" w:rsidRPr="003D6F2A" w14:paraId="260ECF8C" w14:textId="77777777">
        <w:trPr>
          <w:cantSplit/>
          <w:jc w:val="center"/>
        </w:trPr>
        <w:tc>
          <w:tcPr>
            <w:tcW w:w="2758" w:type="dxa"/>
            <w:tcMar>
              <w:top w:w="70" w:type="dxa"/>
              <w:left w:w="70" w:type="dxa"/>
              <w:bottom w:w="70" w:type="dxa"/>
              <w:right w:w="70" w:type="dxa"/>
            </w:tcMar>
            <w:vAlign w:val="center"/>
          </w:tcPr>
          <w:p w14:paraId="443308DC" w14:textId="77777777" w:rsidR="00003A2E" w:rsidRPr="003D6F2A" w:rsidRDefault="008F030F">
            <w:pPr>
              <w:spacing w:after="0" w:line="240" w:lineRule="auto"/>
            </w:pPr>
            <w:r w:rsidRPr="003D6F2A">
              <w:rPr>
                <w:sz w:val="17"/>
              </w:rPr>
              <w:t>BUTTER-E</w:t>
            </w:r>
          </w:p>
        </w:tc>
        <w:tc>
          <w:tcPr>
            <w:tcW w:w="1970" w:type="dxa"/>
            <w:tcMar>
              <w:top w:w="70" w:type="dxa"/>
              <w:left w:w="70" w:type="dxa"/>
              <w:bottom w:w="70" w:type="dxa"/>
              <w:right w:w="70" w:type="dxa"/>
            </w:tcMar>
            <w:vAlign w:val="center"/>
          </w:tcPr>
          <w:p w14:paraId="74E7C9B8" w14:textId="77777777" w:rsidR="00003A2E" w:rsidRPr="003D6F2A" w:rsidRDefault="008F030F">
            <w:pPr>
              <w:spacing w:after="0" w:line="240" w:lineRule="auto"/>
            </w:pPr>
            <w:r w:rsidRPr="003D6F2A">
              <w:rPr>
                <w:sz w:val="17"/>
              </w:rPr>
              <w:t>0.927</w:t>
            </w:r>
          </w:p>
        </w:tc>
        <w:tc>
          <w:tcPr>
            <w:tcW w:w="1970" w:type="dxa"/>
            <w:tcMar>
              <w:top w:w="70" w:type="dxa"/>
              <w:left w:w="70" w:type="dxa"/>
              <w:bottom w:w="70" w:type="dxa"/>
              <w:right w:w="70" w:type="dxa"/>
            </w:tcMar>
            <w:vAlign w:val="center"/>
          </w:tcPr>
          <w:p w14:paraId="7B3283F6" w14:textId="77777777" w:rsidR="00003A2E" w:rsidRPr="003D6F2A" w:rsidRDefault="008F030F">
            <w:pPr>
              <w:spacing w:after="0" w:line="240" w:lineRule="auto"/>
            </w:pPr>
            <w:r w:rsidRPr="003D6F2A">
              <w:rPr>
                <w:sz w:val="17"/>
              </w:rPr>
              <w:t>0.912–0.942</w:t>
            </w:r>
          </w:p>
        </w:tc>
        <w:tc>
          <w:tcPr>
            <w:tcW w:w="3152" w:type="dxa"/>
            <w:tcMar>
              <w:top w:w="70" w:type="dxa"/>
              <w:left w:w="70" w:type="dxa"/>
              <w:bottom w:w="70" w:type="dxa"/>
              <w:right w:w="70" w:type="dxa"/>
            </w:tcMar>
            <w:vAlign w:val="center"/>
          </w:tcPr>
          <w:p w14:paraId="5BFD78C4" w14:textId="77777777" w:rsidR="00003A2E" w:rsidRPr="003D6F2A" w:rsidRDefault="008F030F">
            <w:pPr>
              <w:spacing w:after="0" w:line="240" w:lineRule="auto"/>
            </w:pPr>
            <w:r w:rsidRPr="003D6F2A">
              <w:rPr>
                <w:sz w:val="17"/>
              </w:rPr>
              <w:t>Strong ordering; close to the MLP surrogate point estimate</w:t>
            </w:r>
          </w:p>
        </w:tc>
      </w:tr>
      <w:tr w:rsidR="00003A2E" w:rsidRPr="003D6F2A" w14:paraId="3314560F" w14:textId="77777777">
        <w:trPr>
          <w:cantSplit/>
          <w:jc w:val="center"/>
        </w:trPr>
        <w:tc>
          <w:tcPr>
            <w:tcW w:w="2758" w:type="dxa"/>
            <w:tcMar>
              <w:top w:w="70" w:type="dxa"/>
              <w:left w:w="70" w:type="dxa"/>
              <w:bottom w:w="70" w:type="dxa"/>
              <w:right w:w="70" w:type="dxa"/>
            </w:tcMar>
            <w:vAlign w:val="center"/>
          </w:tcPr>
          <w:p w14:paraId="213CE742" w14:textId="77777777" w:rsidR="00003A2E" w:rsidRPr="003D6F2A" w:rsidRDefault="008F030F">
            <w:pPr>
              <w:spacing w:after="0" w:line="240" w:lineRule="auto"/>
            </w:pPr>
            <w:r w:rsidRPr="003D6F2A">
              <w:rPr>
                <w:sz w:val="17"/>
              </w:rPr>
              <w:t>EC-NAS</w:t>
            </w:r>
          </w:p>
        </w:tc>
        <w:tc>
          <w:tcPr>
            <w:tcW w:w="1970" w:type="dxa"/>
            <w:tcMar>
              <w:top w:w="70" w:type="dxa"/>
              <w:left w:w="70" w:type="dxa"/>
              <w:bottom w:w="70" w:type="dxa"/>
              <w:right w:w="70" w:type="dxa"/>
            </w:tcMar>
            <w:vAlign w:val="center"/>
          </w:tcPr>
          <w:p w14:paraId="388087B3" w14:textId="77777777" w:rsidR="00003A2E" w:rsidRPr="003D6F2A" w:rsidRDefault="008F030F">
            <w:pPr>
              <w:spacing w:after="0" w:line="240" w:lineRule="auto"/>
            </w:pPr>
            <w:r w:rsidRPr="003D6F2A">
              <w:rPr>
                <w:sz w:val="17"/>
              </w:rPr>
              <w:t>0.849</w:t>
            </w:r>
          </w:p>
        </w:tc>
        <w:tc>
          <w:tcPr>
            <w:tcW w:w="1970" w:type="dxa"/>
            <w:tcMar>
              <w:top w:w="70" w:type="dxa"/>
              <w:left w:w="70" w:type="dxa"/>
              <w:bottom w:w="70" w:type="dxa"/>
              <w:right w:w="70" w:type="dxa"/>
            </w:tcMar>
            <w:vAlign w:val="center"/>
          </w:tcPr>
          <w:p w14:paraId="35E2A4C3" w14:textId="77777777" w:rsidR="00003A2E" w:rsidRPr="003D6F2A" w:rsidRDefault="008F030F">
            <w:pPr>
              <w:spacing w:after="0" w:line="240" w:lineRule="auto"/>
            </w:pPr>
            <w:r w:rsidRPr="003D6F2A">
              <w:rPr>
                <w:sz w:val="17"/>
              </w:rPr>
              <w:t>0.791–0.907</w:t>
            </w:r>
          </w:p>
        </w:tc>
        <w:tc>
          <w:tcPr>
            <w:tcW w:w="3152" w:type="dxa"/>
            <w:tcMar>
              <w:top w:w="70" w:type="dxa"/>
              <w:left w:w="70" w:type="dxa"/>
              <w:bottom w:w="70" w:type="dxa"/>
              <w:right w:w="70" w:type="dxa"/>
            </w:tcMar>
            <w:vAlign w:val="center"/>
          </w:tcPr>
          <w:p w14:paraId="52D7924C" w14:textId="77777777" w:rsidR="00003A2E" w:rsidRPr="003D6F2A" w:rsidRDefault="008F030F">
            <w:pPr>
              <w:spacing w:after="0" w:line="240" w:lineRule="auto"/>
            </w:pPr>
            <w:r w:rsidRPr="003D6F2A">
              <w:rPr>
                <w:sz w:val="17"/>
              </w:rPr>
              <w:t>Strong ordering; uncertainty wider because the measured subset is smaller</w:t>
            </w:r>
          </w:p>
        </w:tc>
      </w:tr>
    </w:tbl>
    <w:p w14:paraId="4C2051C6" w14:textId="77777777" w:rsidR="00AE6F0E" w:rsidRPr="003D6F2A" w:rsidRDefault="00AE6F0E">
      <w:pPr>
        <w:pStyle w:val="BodyText"/>
        <w:ind w:firstLine="259"/>
        <w:jc w:val="both"/>
      </w:pPr>
    </w:p>
    <w:p w14:paraId="2E365F3B" w14:textId="23A355D3" w:rsidR="00003A2E" w:rsidRPr="003D6F2A" w:rsidRDefault="008F030F">
      <w:pPr>
        <w:pStyle w:val="BodyText"/>
        <w:ind w:firstLine="259"/>
        <w:jc w:val="both"/>
      </w:pPr>
      <w:r w:rsidRPr="003D6F2A">
        <w:t>Seed sensitivity is more pronounced in the smaller hardware benchmark. Across seven random seeds, the within-hardware reference Kendall correlation ranges from approximately 0.60 to 0.87 for the 91-architecture subset. This variability indicates that the subset is too small to support an overly precise single-split ceiling and motivates interpreting the held-out-GPU results through both point metrics and the diagnosed failure mechanisms.</w:t>
      </w:r>
    </w:p>
    <w:p w14:paraId="76F035D8" w14:textId="77777777" w:rsidR="00003A2E" w:rsidRPr="003D6F2A" w:rsidRDefault="008F030F">
      <w:pPr>
        <w:pStyle w:val="Heading2"/>
        <w:spacing w:before="160" w:after="80"/>
        <w:rPr>
          <w:color w:val="auto"/>
        </w:rPr>
      </w:pPr>
      <w:bookmarkStart w:id="23" w:name="architecture-family-transferability"/>
      <w:bookmarkEnd w:id="22"/>
      <w:r w:rsidRPr="003D6F2A">
        <w:rPr>
          <w:color w:val="auto"/>
        </w:rPr>
        <w:t>4.5 Architecture-family transferability</w:t>
      </w:r>
    </w:p>
    <w:p w14:paraId="784E9062" w14:textId="7ED18575" w:rsidR="00003A2E" w:rsidRPr="003D6F2A" w:rsidRDefault="008F030F">
      <w:pPr>
        <w:ind w:firstLine="259"/>
        <w:jc w:val="both"/>
      </w:pPr>
      <w:r w:rsidRPr="003D6F2A">
        <w:t>Architecture-family transfer is evaluated by training on one family and testing on the other using only the shared feature core, as specified in Algorithm 1. Table 11 and Fig. 8 show that zero-shot transfer does not preserve within-family calibration. EC-NAS → BUTTER-E yields MAPE = 84.7%, R² = −0.386, and τ = 0.250, whereas BUTTER-E → EC-NAS preserves more ordering information (τ = 0.655) but exhibits severe absolute-scale error (MAPE = 759.4%; R² = −499.4).</w:t>
      </w:r>
    </w:p>
    <w:p w14:paraId="7905F59C" w14:textId="2C358B6C" w:rsidR="00003A2E" w:rsidRPr="003D6F2A" w:rsidRDefault="008F030F">
      <w:pPr>
        <w:pStyle w:val="BodyText"/>
        <w:ind w:firstLine="259"/>
        <w:jc w:val="both"/>
      </w:pPr>
      <w:r w:rsidRPr="003D6F2A">
        <w:t xml:space="preserve">The two transfer directions fail for different, identifiable reasons. An EC-NAS-only model does not observe the dataset-level variation that dominates BUTTER-E and must also extrapolate beyond part of its parameter-count range. Conversely, BUTTER-E fixes training at 3,000 epochs, so a source-only model cannot learn the energy scaling </w:t>
      </w:r>
      <w:r w:rsidRPr="003D6F2A">
        <w:lastRenderedPageBreak/>
        <w:t>associated with EC-NAS’s four-epoch regime. The large negative R² values therefore reflect systematic domain-scale mismatch rather than random regression instability.</w:t>
      </w:r>
    </w:p>
    <w:p w14:paraId="74AC652B" w14:textId="77777777" w:rsidR="00003A2E" w:rsidRPr="003D6F2A" w:rsidRDefault="008F030F">
      <w:pPr>
        <w:pStyle w:val="BodyText"/>
        <w:keepNext/>
        <w:spacing w:before="100" w:after="60"/>
      </w:pPr>
      <w:r w:rsidRPr="003D6F2A">
        <w:rPr>
          <w:i/>
          <w:sz w:val="18"/>
        </w:rPr>
        <w:t>Table 11. Leave-one-family-out architecture transfer.</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674"/>
        <w:gridCol w:w="2167"/>
        <w:gridCol w:w="1280"/>
        <w:gridCol w:w="2462"/>
        <w:gridCol w:w="2267"/>
      </w:tblGrid>
      <w:tr w:rsidR="00003A2E" w:rsidRPr="003D6F2A" w14:paraId="70299823" w14:textId="77777777">
        <w:trPr>
          <w:cantSplit/>
          <w:tblHeader/>
          <w:jc w:val="center"/>
        </w:trPr>
        <w:tc>
          <w:tcPr>
            <w:tcW w:w="1674" w:type="dxa"/>
            <w:tcMar>
              <w:top w:w="70" w:type="dxa"/>
              <w:left w:w="70" w:type="dxa"/>
              <w:bottom w:w="70" w:type="dxa"/>
              <w:right w:w="70" w:type="dxa"/>
            </w:tcMar>
            <w:vAlign w:val="center"/>
          </w:tcPr>
          <w:p w14:paraId="14B21A6F" w14:textId="77777777" w:rsidR="00003A2E" w:rsidRPr="003D6F2A" w:rsidRDefault="008F030F">
            <w:pPr>
              <w:spacing w:after="0" w:line="240" w:lineRule="auto"/>
            </w:pPr>
            <w:r w:rsidRPr="003D6F2A">
              <w:rPr>
                <w:b/>
                <w:sz w:val="16"/>
              </w:rPr>
              <w:t>Transfer direction</w:t>
            </w:r>
          </w:p>
        </w:tc>
        <w:tc>
          <w:tcPr>
            <w:tcW w:w="2167" w:type="dxa"/>
            <w:tcMar>
              <w:top w:w="70" w:type="dxa"/>
              <w:left w:w="70" w:type="dxa"/>
              <w:bottom w:w="70" w:type="dxa"/>
              <w:right w:w="70" w:type="dxa"/>
            </w:tcMar>
            <w:vAlign w:val="center"/>
          </w:tcPr>
          <w:p w14:paraId="0FACD8E3" w14:textId="77777777" w:rsidR="00003A2E" w:rsidRPr="003D6F2A" w:rsidRDefault="008F030F">
            <w:pPr>
              <w:spacing w:after="0" w:line="240" w:lineRule="auto"/>
            </w:pPr>
            <w:r w:rsidRPr="003D6F2A">
              <w:rPr>
                <w:b/>
                <w:sz w:val="16"/>
              </w:rPr>
              <w:t>MAPE (%)</w:t>
            </w:r>
          </w:p>
        </w:tc>
        <w:tc>
          <w:tcPr>
            <w:tcW w:w="1280" w:type="dxa"/>
            <w:tcMar>
              <w:top w:w="70" w:type="dxa"/>
              <w:left w:w="70" w:type="dxa"/>
              <w:bottom w:w="70" w:type="dxa"/>
              <w:right w:w="70" w:type="dxa"/>
            </w:tcMar>
            <w:vAlign w:val="center"/>
          </w:tcPr>
          <w:p w14:paraId="750937A8" w14:textId="77777777" w:rsidR="00003A2E" w:rsidRPr="003D6F2A" w:rsidRDefault="008F030F">
            <w:pPr>
              <w:spacing w:after="0" w:line="240" w:lineRule="auto"/>
            </w:pPr>
            <w:r w:rsidRPr="003D6F2A">
              <w:rPr>
                <w:b/>
                <w:sz w:val="16"/>
              </w:rPr>
              <w:t>R²</w:t>
            </w:r>
          </w:p>
        </w:tc>
        <w:tc>
          <w:tcPr>
            <w:tcW w:w="2462" w:type="dxa"/>
            <w:tcMar>
              <w:top w:w="70" w:type="dxa"/>
              <w:left w:w="70" w:type="dxa"/>
              <w:bottom w:w="70" w:type="dxa"/>
              <w:right w:w="70" w:type="dxa"/>
            </w:tcMar>
            <w:vAlign w:val="center"/>
          </w:tcPr>
          <w:p w14:paraId="7DA914E6" w14:textId="77777777" w:rsidR="00003A2E" w:rsidRPr="003D6F2A" w:rsidRDefault="008F030F">
            <w:pPr>
              <w:spacing w:after="0" w:line="240" w:lineRule="auto"/>
            </w:pPr>
            <w:r w:rsidRPr="003D6F2A">
              <w:rPr>
                <w:b/>
                <w:sz w:val="16"/>
              </w:rPr>
              <w:t>Kendall τ</w:t>
            </w:r>
          </w:p>
        </w:tc>
        <w:tc>
          <w:tcPr>
            <w:tcW w:w="2267" w:type="dxa"/>
            <w:tcMar>
              <w:top w:w="70" w:type="dxa"/>
              <w:left w:w="70" w:type="dxa"/>
              <w:bottom w:w="70" w:type="dxa"/>
              <w:right w:w="70" w:type="dxa"/>
            </w:tcMar>
            <w:vAlign w:val="center"/>
          </w:tcPr>
          <w:p w14:paraId="5A93B8E9" w14:textId="77777777" w:rsidR="00003A2E" w:rsidRPr="003D6F2A" w:rsidRDefault="008F030F">
            <w:pPr>
              <w:spacing w:after="0" w:line="240" w:lineRule="auto"/>
            </w:pPr>
            <w:r w:rsidRPr="003D6F2A">
              <w:rPr>
                <w:b/>
                <w:sz w:val="16"/>
              </w:rPr>
              <w:t>Main diagnosed cause</w:t>
            </w:r>
          </w:p>
        </w:tc>
      </w:tr>
      <w:tr w:rsidR="00003A2E" w:rsidRPr="003D6F2A" w14:paraId="28C08766" w14:textId="77777777">
        <w:trPr>
          <w:cantSplit/>
          <w:jc w:val="center"/>
        </w:trPr>
        <w:tc>
          <w:tcPr>
            <w:tcW w:w="1674" w:type="dxa"/>
            <w:tcMar>
              <w:top w:w="70" w:type="dxa"/>
              <w:left w:w="70" w:type="dxa"/>
              <w:bottom w:w="70" w:type="dxa"/>
              <w:right w:w="70" w:type="dxa"/>
            </w:tcMar>
            <w:vAlign w:val="center"/>
          </w:tcPr>
          <w:p w14:paraId="06BE5A39" w14:textId="77777777" w:rsidR="00003A2E" w:rsidRPr="003D6F2A" w:rsidRDefault="008F030F">
            <w:pPr>
              <w:spacing w:after="0" w:line="240" w:lineRule="auto"/>
            </w:pPr>
            <w:r w:rsidRPr="003D6F2A">
              <w:rPr>
                <w:sz w:val="16"/>
              </w:rPr>
              <w:t>EC-NAS → BUTTER-E</w:t>
            </w:r>
          </w:p>
        </w:tc>
        <w:tc>
          <w:tcPr>
            <w:tcW w:w="2167" w:type="dxa"/>
            <w:tcMar>
              <w:top w:w="70" w:type="dxa"/>
              <w:left w:w="70" w:type="dxa"/>
              <w:bottom w:w="70" w:type="dxa"/>
              <w:right w:w="70" w:type="dxa"/>
            </w:tcMar>
            <w:vAlign w:val="center"/>
          </w:tcPr>
          <w:p w14:paraId="4F97F893" w14:textId="77777777" w:rsidR="00003A2E" w:rsidRPr="003D6F2A" w:rsidRDefault="008F030F">
            <w:pPr>
              <w:spacing w:after="0" w:line="240" w:lineRule="auto"/>
            </w:pPr>
            <w:r w:rsidRPr="003D6F2A">
              <w:rPr>
                <w:sz w:val="16"/>
              </w:rPr>
              <w:t>84.7</w:t>
            </w:r>
          </w:p>
        </w:tc>
        <w:tc>
          <w:tcPr>
            <w:tcW w:w="1280" w:type="dxa"/>
            <w:tcMar>
              <w:top w:w="70" w:type="dxa"/>
              <w:left w:w="70" w:type="dxa"/>
              <w:bottom w:w="70" w:type="dxa"/>
              <w:right w:w="70" w:type="dxa"/>
            </w:tcMar>
            <w:vAlign w:val="center"/>
          </w:tcPr>
          <w:p w14:paraId="1427FE44" w14:textId="77777777" w:rsidR="00003A2E" w:rsidRPr="003D6F2A" w:rsidRDefault="008F030F">
            <w:pPr>
              <w:spacing w:after="0" w:line="240" w:lineRule="auto"/>
            </w:pPr>
            <w:r w:rsidRPr="003D6F2A">
              <w:rPr>
                <w:sz w:val="16"/>
              </w:rPr>
              <w:t>−0.386</w:t>
            </w:r>
          </w:p>
        </w:tc>
        <w:tc>
          <w:tcPr>
            <w:tcW w:w="2462" w:type="dxa"/>
            <w:tcMar>
              <w:top w:w="70" w:type="dxa"/>
              <w:left w:w="70" w:type="dxa"/>
              <w:bottom w:w="70" w:type="dxa"/>
              <w:right w:w="70" w:type="dxa"/>
            </w:tcMar>
            <w:vAlign w:val="center"/>
          </w:tcPr>
          <w:p w14:paraId="5D522887" w14:textId="77777777" w:rsidR="00003A2E" w:rsidRPr="003D6F2A" w:rsidRDefault="008F030F">
            <w:pPr>
              <w:spacing w:after="0" w:line="240" w:lineRule="auto"/>
            </w:pPr>
            <w:r w:rsidRPr="003D6F2A">
              <w:rPr>
                <w:sz w:val="16"/>
              </w:rPr>
              <w:t>0.250</w:t>
            </w:r>
          </w:p>
        </w:tc>
        <w:tc>
          <w:tcPr>
            <w:tcW w:w="2267" w:type="dxa"/>
            <w:tcMar>
              <w:top w:w="70" w:type="dxa"/>
              <w:left w:w="70" w:type="dxa"/>
              <w:bottom w:w="70" w:type="dxa"/>
              <w:right w:w="70" w:type="dxa"/>
            </w:tcMar>
            <w:vAlign w:val="center"/>
          </w:tcPr>
          <w:p w14:paraId="33E9BB3B" w14:textId="77777777" w:rsidR="00003A2E" w:rsidRPr="003D6F2A" w:rsidRDefault="008F030F">
            <w:pPr>
              <w:spacing w:after="0" w:line="240" w:lineRule="auto"/>
            </w:pPr>
            <w:r w:rsidRPr="003D6F2A">
              <w:rPr>
                <w:sz w:val="16"/>
              </w:rPr>
              <w:t>Missing workload features + parameter-range extrapolation</w:t>
            </w:r>
          </w:p>
        </w:tc>
      </w:tr>
      <w:tr w:rsidR="00003A2E" w:rsidRPr="003D6F2A" w14:paraId="07E315E6" w14:textId="77777777">
        <w:trPr>
          <w:cantSplit/>
          <w:jc w:val="center"/>
        </w:trPr>
        <w:tc>
          <w:tcPr>
            <w:tcW w:w="1674" w:type="dxa"/>
            <w:tcMar>
              <w:top w:w="70" w:type="dxa"/>
              <w:left w:w="70" w:type="dxa"/>
              <w:bottom w:w="70" w:type="dxa"/>
              <w:right w:w="70" w:type="dxa"/>
            </w:tcMar>
            <w:vAlign w:val="center"/>
          </w:tcPr>
          <w:p w14:paraId="7D171A09" w14:textId="77777777" w:rsidR="00003A2E" w:rsidRPr="003D6F2A" w:rsidRDefault="008F030F">
            <w:pPr>
              <w:spacing w:after="0" w:line="240" w:lineRule="auto"/>
            </w:pPr>
            <w:r w:rsidRPr="003D6F2A">
              <w:rPr>
                <w:sz w:val="16"/>
              </w:rPr>
              <w:t>BUTTER-E → EC-NAS</w:t>
            </w:r>
          </w:p>
        </w:tc>
        <w:tc>
          <w:tcPr>
            <w:tcW w:w="2167" w:type="dxa"/>
            <w:tcMar>
              <w:top w:w="70" w:type="dxa"/>
              <w:left w:w="70" w:type="dxa"/>
              <w:bottom w:w="70" w:type="dxa"/>
              <w:right w:w="70" w:type="dxa"/>
            </w:tcMar>
            <w:vAlign w:val="center"/>
          </w:tcPr>
          <w:p w14:paraId="7A4EBE22" w14:textId="77777777" w:rsidR="00003A2E" w:rsidRPr="003D6F2A" w:rsidRDefault="008F030F">
            <w:pPr>
              <w:spacing w:after="0" w:line="240" w:lineRule="auto"/>
            </w:pPr>
            <w:r w:rsidRPr="003D6F2A">
              <w:rPr>
                <w:sz w:val="16"/>
              </w:rPr>
              <w:t>759.4</w:t>
            </w:r>
          </w:p>
        </w:tc>
        <w:tc>
          <w:tcPr>
            <w:tcW w:w="1280" w:type="dxa"/>
            <w:tcMar>
              <w:top w:w="70" w:type="dxa"/>
              <w:left w:w="70" w:type="dxa"/>
              <w:bottom w:w="70" w:type="dxa"/>
              <w:right w:w="70" w:type="dxa"/>
            </w:tcMar>
            <w:vAlign w:val="center"/>
          </w:tcPr>
          <w:p w14:paraId="39E109B9" w14:textId="77777777" w:rsidR="00003A2E" w:rsidRPr="003D6F2A" w:rsidRDefault="008F030F">
            <w:pPr>
              <w:spacing w:after="0" w:line="240" w:lineRule="auto"/>
            </w:pPr>
            <w:r w:rsidRPr="003D6F2A">
              <w:rPr>
                <w:sz w:val="16"/>
              </w:rPr>
              <w:t>−499.4</w:t>
            </w:r>
          </w:p>
        </w:tc>
        <w:tc>
          <w:tcPr>
            <w:tcW w:w="2462" w:type="dxa"/>
            <w:tcMar>
              <w:top w:w="70" w:type="dxa"/>
              <w:left w:w="70" w:type="dxa"/>
              <w:bottom w:w="70" w:type="dxa"/>
              <w:right w:w="70" w:type="dxa"/>
            </w:tcMar>
            <w:vAlign w:val="center"/>
          </w:tcPr>
          <w:p w14:paraId="093EE34A" w14:textId="77777777" w:rsidR="00003A2E" w:rsidRPr="003D6F2A" w:rsidRDefault="008F030F">
            <w:pPr>
              <w:spacing w:after="0" w:line="240" w:lineRule="auto"/>
            </w:pPr>
            <w:r w:rsidRPr="003D6F2A">
              <w:rPr>
                <w:sz w:val="16"/>
              </w:rPr>
              <w:t>0.655</w:t>
            </w:r>
          </w:p>
        </w:tc>
        <w:tc>
          <w:tcPr>
            <w:tcW w:w="2267" w:type="dxa"/>
            <w:tcMar>
              <w:top w:w="70" w:type="dxa"/>
              <w:left w:w="70" w:type="dxa"/>
              <w:bottom w:w="70" w:type="dxa"/>
              <w:right w:w="70" w:type="dxa"/>
            </w:tcMar>
            <w:vAlign w:val="center"/>
          </w:tcPr>
          <w:p w14:paraId="4CA242A2" w14:textId="77777777" w:rsidR="00003A2E" w:rsidRPr="003D6F2A" w:rsidRDefault="008F030F">
            <w:pPr>
              <w:spacing w:after="0" w:line="240" w:lineRule="auto"/>
            </w:pPr>
            <w:r w:rsidRPr="003D6F2A">
              <w:rPr>
                <w:sz w:val="16"/>
              </w:rPr>
              <w:t>Epoch-budget mismatch + scale extrapolation</w:t>
            </w:r>
          </w:p>
        </w:tc>
      </w:tr>
    </w:tbl>
    <w:p w14:paraId="2DCBD240" w14:textId="77777777" w:rsidR="00003A2E" w:rsidRPr="003D6F2A" w:rsidRDefault="008F030F">
      <w:pPr>
        <w:jc w:val="center"/>
      </w:pPr>
      <w:r w:rsidRPr="003D6F2A">
        <w:rPr>
          <w:noProof/>
        </w:rPr>
        <w:drawing>
          <wp:inline distT="0" distB="0" distL="0" distR="0" wp14:anchorId="04E6B7B7" wp14:editId="2222AA18">
            <wp:extent cx="5669280" cy="2558387"/>
            <wp:effectExtent l="0" t="0" r="0" b="0"/>
            <wp:docPr id="64" name="Picture" descr="Fig. 8. Architecture-family transfer shown in separate panels for MAPE, Kendall’s τ, and R². Separating the metrics prevents the extreme negative R² in the BUTTER-E → EC-NAS direction from visually suppressing the rank-correlation signal and makes the distinction between ordering and calibration explicit."/>
            <wp:cNvGraphicFramePr/>
            <a:graphic xmlns:a="http://schemas.openxmlformats.org/drawingml/2006/main">
              <a:graphicData uri="http://schemas.openxmlformats.org/drawingml/2006/picture">
                <pic:pic xmlns:pic="http://schemas.openxmlformats.org/drawingml/2006/picture">
                  <pic:nvPicPr>
                    <pic:cNvPr id="65" name="Picture" descr="/mnt/data/cal_energy_figures_revised/fig8_arch_transfer.png"/>
                    <pic:cNvPicPr>
                      <a:picLocks noChangeAspect="1" noChangeArrowheads="1"/>
                    </pic:cNvPicPr>
                  </pic:nvPicPr>
                  <pic:blipFill>
                    <a:blip r:embed="rId14"/>
                    <a:stretch>
                      <a:fillRect/>
                    </a:stretch>
                  </pic:blipFill>
                  <pic:spPr bwMode="auto">
                    <a:xfrm>
                      <a:off x="0" y="0"/>
                      <a:ext cx="5669280" cy="2558387"/>
                    </a:xfrm>
                    <a:prstGeom prst="rect">
                      <a:avLst/>
                    </a:prstGeom>
                    <a:noFill/>
                    <a:ln w="9525">
                      <a:noFill/>
                      <a:headEnd/>
                      <a:tailEnd/>
                    </a:ln>
                  </pic:spPr>
                </pic:pic>
              </a:graphicData>
            </a:graphic>
          </wp:inline>
        </w:drawing>
      </w:r>
    </w:p>
    <w:p w14:paraId="7F4DB5D7" w14:textId="77777777" w:rsidR="00003A2E" w:rsidRPr="003D6F2A" w:rsidRDefault="008F030F">
      <w:pPr>
        <w:ind w:firstLine="259"/>
        <w:jc w:val="both"/>
      </w:pPr>
      <w:r w:rsidRPr="003D6F2A">
        <w:t>Fig. 8. Architecture-family transfer shown in separate panels for MAPE, Kendall’s τ, and R². Separating the metrics prevents the extreme negative R² in the BUTTER-E → EC-NAS direction from visually suppressing the rank-correlation signal and makes the distinction between ordering and calibration explicit.</w:t>
      </w:r>
    </w:p>
    <w:p w14:paraId="6345FC14" w14:textId="4600999F" w:rsidR="00003A2E" w:rsidRPr="003D6F2A" w:rsidRDefault="008F030F">
      <w:pPr>
        <w:pStyle w:val="BodyText"/>
        <w:ind w:firstLine="259"/>
        <w:jc w:val="both"/>
      </w:pPr>
      <w:r w:rsidRPr="003D6F2A">
        <w:t>These findings provide the empirical motivation for CAL-GATE. In both directions, either the target family is unseen or key shared variables lie outside the source-domain regime. Algorithm 2 is designed to flag such cases before the numerical prediction is interpreted as calibrated, thereby separating the tasks of candidate ranking and absolute energy estimation.</w:t>
      </w:r>
    </w:p>
    <w:p w14:paraId="0EE47897" w14:textId="77777777" w:rsidR="00003A2E" w:rsidRPr="003D6F2A" w:rsidRDefault="008F030F">
      <w:pPr>
        <w:pStyle w:val="Heading2"/>
        <w:spacing w:before="160" w:after="80"/>
        <w:rPr>
          <w:color w:val="auto"/>
        </w:rPr>
      </w:pPr>
      <w:bookmarkStart w:id="24" w:name="Xf1a4de2f5d8b22b5093f511f8815b75d62e0e73"/>
      <w:bookmarkEnd w:id="23"/>
      <w:r w:rsidRPr="003D6F2A">
        <w:rPr>
          <w:color w:val="auto"/>
        </w:rPr>
        <w:t>4.6 Hardware transferability and scalability stress test</w:t>
      </w:r>
    </w:p>
    <w:p w14:paraId="6DF2ECDA" w14:textId="78AFA08C" w:rsidR="00003A2E" w:rsidRPr="003D6F2A" w:rsidRDefault="008F030F">
      <w:pPr>
        <w:ind w:firstLine="259"/>
        <w:jc w:val="both"/>
      </w:pPr>
      <w:r w:rsidRPr="003D6F2A">
        <w:t>Hardware transfer is evaluated with the EC-NAS 4V benchmark, which measures the same 91 architectures on four GPU classes [6]. A model trained only on Quadro RTX 6000 measurements is tested on RTX 3060, RTX 3090, and Titan Xp. Table 12 and Fig. 9 reveal a consistent distinction between ranking and calibration: RTX 3060 preserves strong ordering (τ = 0.884) despite poor absolute fit (R² = −3.605), RTX 3090 is weaker on both criteria, and Titan Xp appears well calibrated primarily because its observed energy scale is close to that of the source GPU.</w:t>
      </w:r>
    </w:p>
    <w:p w14:paraId="1B7569A6" w14:textId="77777777" w:rsidR="00003A2E" w:rsidRPr="003D6F2A" w:rsidRDefault="008F030F">
      <w:pPr>
        <w:pStyle w:val="BodyText"/>
        <w:keepNext/>
        <w:spacing w:before="100" w:after="60"/>
      </w:pPr>
      <w:r w:rsidRPr="003D6F2A">
        <w:rPr>
          <w:i/>
          <w:sz w:val="18"/>
        </w:rPr>
        <w:t>Table 12. Held-out-GPU transfer from a Quadro RTX 6000 source model.</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674"/>
        <w:gridCol w:w="2167"/>
        <w:gridCol w:w="1280"/>
        <w:gridCol w:w="2462"/>
        <w:gridCol w:w="2267"/>
      </w:tblGrid>
      <w:tr w:rsidR="00003A2E" w:rsidRPr="003D6F2A" w14:paraId="3190C52E" w14:textId="77777777">
        <w:trPr>
          <w:cantSplit/>
          <w:tblHeader/>
          <w:jc w:val="center"/>
        </w:trPr>
        <w:tc>
          <w:tcPr>
            <w:tcW w:w="1674" w:type="dxa"/>
            <w:tcMar>
              <w:top w:w="70" w:type="dxa"/>
              <w:left w:w="70" w:type="dxa"/>
              <w:bottom w:w="70" w:type="dxa"/>
              <w:right w:w="70" w:type="dxa"/>
            </w:tcMar>
            <w:vAlign w:val="center"/>
          </w:tcPr>
          <w:p w14:paraId="0262C1ED" w14:textId="77777777" w:rsidR="00003A2E" w:rsidRPr="003D6F2A" w:rsidRDefault="008F030F">
            <w:pPr>
              <w:spacing w:after="0" w:line="240" w:lineRule="auto"/>
            </w:pPr>
            <w:r w:rsidRPr="003D6F2A">
              <w:rPr>
                <w:b/>
                <w:sz w:val="16"/>
              </w:rPr>
              <w:t>Target GPU</w:t>
            </w:r>
          </w:p>
        </w:tc>
        <w:tc>
          <w:tcPr>
            <w:tcW w:w="2167" w:type="dxa"/>
            <w:tcMar>
              <w:top w:w="70" w:type="dxa"/>
              <w:left w:w="70" w:type="dxa"/>
              <w:bottom w:w="70" w:type="dxa"/>
              <w:right w:w="70" w:type="dxa"/>
            </w:tcMar>
            <w:vAlign w:val="center"/>
          </w:tcPr>
          <w:p w14:paraId="21B6528D" w14:textId="77777777" w:rsidR="00003A2E" w:rsidRPr="003D6F2A" w:rsidRDefault="008F030F">
            <w:pPr>
              <w:spacing w:after="0" w:line="240" w:lineRule="auto"/>
            </w:pPr>
            <w:r w:rsidRPr="003D6F2A">
              <w:rPr>
                <w:b/>
                <w:sz w:val="16"/>
              </w:rPr>
              <w:t>MAPE (%)</w:t>
            </w:r>
          </w:p>
        </w:tc>
        <w:tc>
          <w:tcPr>
            <w:tcW w:w="1280" w:type="dxa"/>
            <w:tcMar>
              <w:top w:w="70" w:type="dxa"/>
              <w:left w:w="70" w:type="dxa"/>
              <w:bottom w:w="70" w:type="dxa"/>
              <w:right w:w="70" w:type="dxa"/>
            </w:tcMar>
            <w:vAlign w:val="center"/>
          </w:tcPr>
          <w:p w14:paraId="6A89C091" w14:textId="77777777" w:rsidR="00003A2E" w:rsidRPr="003D6F2A" w:rsidRDefault="008F030F">
            <w:pPr>
              <w:spacing w:after="0" w:line="240" w:lineRule="auto"/>
            </w:pPr>
            <w:r w:rsidRPr="003D6F2A">
              <w:rPr>
                <w:b/>
                <w:sz w:val="16"/>
              </w:rPr>
              <w:t>R²</w:t>
            </w:r>
          </w:p>
        </w:tc>
        <w:tc>
          <w:tcPr>
            <w:tcW w:w="2462" w:type="dxa"/>
            <w:tcMar>
              <w:top w:w="70" w:type="dxa"/>
              <w:left w:w="70" w:type="dxa"/>
              <w:bottom w:w="70" w:type="dxa"/>
              <w:right w:w="70" w:type="dxa"/>
            </w:tcMar>
            <w:vAlign w:val="center"/>
          </w:tcPr>
          <w:p w14:paraId="41AD673F" w14:textId="77777777" w:rsidR="00003A2E" w:rsidRPr="003D6F2A" w:rsidRDefault="008F030F">
            <w:pPr>
              <w:spacing w:after="0" w:line="240" w:lineRule="auto"/>
            </w:pPr>
            <w:r w:rsidRPr="003D6F2A">
              <w:rPr>
                <w:b/>
                <w:sz w:val="16"/>
              </w:rPr>
              <w:t>Kendall τ</w:t>
            </w:r>
          </w:p>
        </w:tc>
        <w:tc>
          <w:tcPr>
            <w:tcW w:w="2267" w:type="dxa"/>
            <w:tcMar>
              <w:top w:w="70" w:type="dxa"/>
              <w:left w:w="70" w:type="dxa"/>
              <w:bottom w:w="70" w:type="dxa"/>
              <w:right w:w="70" w:type="dxa"/>
            </w:tcMar>
            <w:vAlign w:val="center"/>
          </w:tcPr>
          <w:p w14:paraId="345EBD4B" w14:textId="77777777" w:rsidR="00003A2E" w:rsidRPr="003D6F2A" w:rsidRDefault="008F030F">
            <w:pPr>
              <w:spacing w:after="0" w:line="240" w:lineRule="auto"/>
            </w:pPr>
            <w:r w:rsidRPr="003D6F2A">
              <w:rPr>
                <w:b/>
                <w:sz w:val="16"/>
              </w:rPr>
              <w:t>Interpretation</w:t>
            </w:r>
          </w:p>
        </w:tc>
      </w:tr>
      <w:tr w:rsidR="00003A2E" w:rsidRPr="003D6F2A" w14:paraId="23F8B4E6" w14:textId="77777777">
        <w:trPr>
          <w:cantSplit/>
          <w:jc w:val="center"/>
        </w:trPr>
        <w:tc>
          <w:tcPr>
            <w:tcW w:w="1674" w:type="dxa"/>
            <w:tcMar>
              <w:top w:w="70" w:type="dxa"/>
              <w:left w:w="70" w:type="dxa"/>
              <w:bottom w:w="70" w:type="dxa"/>
              <w:right w:w="70" w:type="dxa"/>
            </w:tcMar>
            <w:vAlign w:val="center"/>
          </w:tcPr>
          <w:p w14:paraId="19E954DF" w14:textId="77777777" w:rsidR="00003A2E" w:rsidRPr="003D6F2A" w:rsidRDefault="008F030F">
            <w:pPr>
              <w:spacing w:after="0" w:line="240" w:lineRule="auto"/>
            </w:pPr>
            <w:r w:rsidRPr="003D6F2A">
              <w:rPr>
                <w:sz w:val="16"/>
              </w:rPr>
              <w:t>RTX 3060</w:t>
            </w:r>
          </w:p>
        </w:tc>
        <w:tc>
          <w:tcPr>
            <w:tcW w:w="2167" w:type="dxa"/>
            <w:tcMar>
              <w:top w:w="70" w:type="dxa"/>
              <w:left w:w="70" w:type="dxa"/>
              <w:bottom w:w="70" w:type="dxa"/>
              <w:right w:w="70" w:type="dxa"/>
            </w:tcMar>
            <w:vAlign w:val="center"/>
          </w:tcPr>
          <w:p w14:paraId="2769BCB7" w14:textId="77777777" w:rsidR="00003A2E" w:rsidRPr="003D6F2A" w:rsidRDefault="008F030F">
            <w:pPr>
              <w:spacing w:after="0" w:line="240" w:lineRule="auto"/>
            </w:pPr>
            <w:r w:rsidRPr="003D6F2A">
              <w:rPr>
                <w:sz w:val="16"/>
              </w:rPr>
              <w:t>87.1</w:t>
            </w:r>
          </w:p>
        </w:tc>
        <w:tc>
          <w:tcPr>
            <w:tcW w:w="1280" w:type="dxa"/>
            <w:tcMar>
              <w:top w:w="70" w:type="dxa"/>
              <w:left w:w="70" w:type="dxa"/>
              <w:bottom w:w="70" w:type="dxa"/>
              <w:right w:w="70" w:type="dxa"/>
            </w:tcMar>
            <w:vAlign w:val="center"/>
          </w:tcPr>
          <w:p w14:paraId="1E7979D2" w14:textId="77777777" w:rsidR="00003A2E" w:rsidRPr="003D6F2A" w:rsidRDefault="008F030F">
            <w:pPr>
              <w:spacing w:after="0" w:line="240" w:lineRule="auto"/>
            </w:pPr>
            <w:r w:rsidRPr="003D6F2A">
              <w:rPr>
                <w:sz w:val="16"/>
              </w:rPr>
              <w:t>−3.605</w:t>
            </w:r>
          </w:p>
        </w:tc>
        <w:tc>
          <w:tcPr>
            <w:tcW w:w="2462" w:type="dxa"/>
            <w:tcMar>
              <w:top w:w="70" w:type="dxa"/>
              <w:left w:w="70" w:type="dxa"/>
              <w:bottom w:w="70" w:type="dxa"/>
              <w:right w:w="70" w:type="dxa"/>
            </w:tcMar>
            <w:vAlign w:val="center"/>
          </w:tcPr>
          <w:p w14:paraId="35432FC0" w14:textId="77777777" w:rsidR="00003A2E" w:rsidRPr="003D6F2A" w:rsidRDefault="008F030F">
            <w:pPr>
              <w:spacing w:after="0" w:line="240" w:lineRule="auto"/>
            </w:pPr>
            <w:r w:rsidRPr="003D6F2A">
              <w:rPr>
                <w:sz w:val="16"/>
              </w:rPr>
              <w:t>0.884</w:t>
            </w:r>
          </w:p>
        </w:tc>
        <w:tc>
          <w:tcPr>
            <w:tcW w:w="2267" w:type="dxa"/>
            <w:tcMar>
              <w:top w:w="70" w:type="dxa"/>
              <w:left w:w="70" w:type="dxa"/>
              <w:bottom w:w="70" w:type="dxa"/>
              <w:right w:w="70" w:type="dxa"/>
            </w:tcMar>
            <w:vAlign w:val="center"/>
          </w:tcPr>
          <w:p w14:paraId="6D8BB702" w14:textId="77777777" w:rsidR="00003A2E" w:rsidRPr="003D6F2A" w:rsidRDefault="008F030F">
            <w:pPr>
              <w:spacing w:after="0" w:line="240" w:lineRule="auto"/>
            </w:pPr>
            <w:r w:rsidRPr="003D6F2A">
              <w:rPr>
                <w:sz w:val="16"/>
              </w:rPr>
              <w:t>Ordering survives; absolute scale does not</w:t>
            </w:r>
          </w:p>
        </w:tc>
      </w:tr>
      <w:tr w:rsidR="00003A2E" w:rsidRPr="003D6F2A" w14:paraId="02058A2B" w14:textId="77777777">
        <w:trPr>
          <w:cantSplit/>
          <w:jc w:val="center"/>
        </w:trPr>
        <w:tc>
          <w:tcPr>
            <w:tcW w:w="1674" w:type="dxa"/>
            <w:tcMar>
              <w:top w:w="70" w:type="dxa"/>
              <w:left w:w="70" w:type="dxa"/>
              <w:bottom w:w="70" w:type="dxa"/>
              <w:right w:w="70" w:type="dxa"/>
            </w:tcMar>
            <w:vAlign w:val="center"/>
          </w:tcPr>
          <w:p w14:paraId="1740A80F" w14:textId="77777777" w:rsidR="00003A2E" w:rsidRPr="003D6F2A" w:rsidRDefault="008F030F">
            <w:pPr>
              <w:spacing w:after="0" w:line="240" w:lineRule="auto"/>
            </w:pPr>
            <w:r w:rsidRPr="003D6F2A">
              <w:rPr>
                <w:sz w:val="16"/>
              </w:rPr>
              <w:t>RTX 3090</w:t>
            </w:r>
          </w:p>
        </w:tc>
        <w:tc>
          <w:tcPr>
            <w:tcW w:w="2167" w:type="dxa"/>
            <w:tcMar>
              <w:top w:w="70" w:type="dxa"/>
              <w:left w:w="70" w:type="dxa"/>
              <w:bottom w:w="70" w:type="dxa"/>
              <w:right w:w="70" w:type="dxa"/>
            </w:tcMar>
            <w:vAlign w:val="center"/>
          </w:tcPr>
          <w:p w14:paraId="267C0C63" w14:textId="77777777" w:rsidR="00003A2E" w:rsidRPr="003D6F2A" w:rsidRDefault="008F030F">
            <w:pPr>
              <w:spacing w:after="0" w:line="240" w:lineRule="auto"/>
            </w:pPr>
            <w:r w:rsidRPr="003D6F2A">
              <w:rPr>
                <w:sz w:val="16"/>
              </w:rPr>
              <w:t>53.9</w:t>
            </w:r>
          </w:p>
        </w:tc>
        <w:tc>
          <w:tcPr>
            <w:tcW w:w="1280" w:type="dxa"/>
            <w:tcMar>
              <w:top w:w="70" w:type="dxa"/>
              <w:left w:w="70" w:type="dxa"/>
              <w:bottom w:w="70" w:type="dxa"/>
              <w:right w:w="70" w:type="dxa"/>
            </w:tcMar>
            <w:vAlign w:val="center"/>
          </w:tcPr>
          <w:p w14:paraId="7FF3E9A2" w14:textId="77777777" w:rsidR="00003A2E" w:rsidRPr="003D6F2A" w:rsidRDefault="008F030F">
            <w:pPr>
              <w:spacing w:after="0" w:line="240" w:lineRule="auto"/>
            </w:pPr>
            <w:r w:rsidRPr="003D6F2A">
              <w:rPr>
                <w:sz w:val="16"/>
              </w:rPr>
              <w:t>0.207</w:t>
            </w:r>
          </w:p>
        </w:tc>
        <w:tc>
          <w:tcPr>
            <w:tcW w:w="2462" w:type="dxa"/>
            <w:tcMar>
              <w:top w:w="70" w:type="dxa"/>
              <w:left w:w="70" w:type="dxa"/>
              <w:bottom w:w="70" w:type="dxa"/>
              <w:right w:w="70" w:type="dxa"/>
            </w:tcMar>
            <w:vAlign w:val="center"/>
          </w:tcPr>
          <w:p w14:paraId="4B56EA7B" w14:textId="77777777" w:rsidR="00003A2E" w:rsidRPr="003D6F2A" w:rsidRDefault="008F030F">
            <w:pPr>
              <w:spacing w:after="0" w:line="240" w:lineRule="auto"/>
            </w:pPr>
            <w:r w:rsidRPr="003D6F2A">
              <w:rPr>
                <w:sz w:val="16"/>
              </w:rPr>
              <w:t>0.677</w:t>
            </w:r>
          </w:p>
        </w:tc>
        <w:tc>
          <w:tcPr>
            <w:tcW w:w="2267" w:type="dxa"/>
            <w:tcMar>
              <w:top w:w="70" w:type="dxa"/>
              <w:left w:w="70" w:type="dxa"/>
              <w:bottom w:w="70" w:type="dxa"/>
              <w:right w:w="70" w:type="dxa"/>
            </w:tcMar>
            <w:vAlign w:val="center"/>
          </w:tcPr>
          <w:p w14:paraId="606E4979" w14:textId="77777777" w:rsidR="00003A2E" w:rsidRPr="003D6F2A" w:rsidRDefault="008F030F">
            <w:pPr>
              <w:spacing w:after="0" w:line="240" w:lineRule="auto"/>
            </w:pPr>
            <w:r w:rsidRPr="003D6F2A">
              <w:rPr>
                <w:sz w:val="16"/>
              </w:rPr>
              <w:t>Weak calibration and weaker ordering</w:t>
            </w:r>
          </w:p>
        </w:tc>
      </w:tr>
      <w:tr w:rsidR="00003A2E" w:rsidRPr="003D6F2A" w14:paraId="5EA46930" w14:textId="77777777">
        <w:trPr>
          <w:cantSplit/>
          <w:jc w:val="center"/>
        </w:trPr>
        <w:tc>
          <w:tcPr>
            <w:tcW w:w="1674" w:type="dxa"/>
            <w:tcMar>
              <w:top w:w="70" w:type="dxa"/>
              <w:left w:w="70" w:type="dxa"/>
              <w:bottom w:w="70" w:type="dxa"/>
              <w:right w:w="70" w:type="dxa"/>
            </w:tcMar>
            <w:vAlign w:val="center"/>
          </w:tcPr>
          <w:p w14:paraId="2992339E" w14:textId="77777777" w:rsidR="00003A2E" w:rsidRPr="003D6F2A" w:rsidRDefault="008F030F">
            <w:pPr>
              <w:spacing w:after="0" w:line="240" w:lineRule="auto"/>
            </w:pPr>
            <w:r w:rsidRPr="003D6F2A">
              <w:rPr>
                <w:sz w:val="16"/>
              </w:rPr>
              <w:t>Titan Xp</w:t>
            </w:r>
          </w:p>
        </w:tc>
        <w:tc>
          <w:tcPr>
            <w:tcW w:w="2167" w:type="dxa"/>
            <w:tcMar>
              <w:top w:w="70" w:type="dxa"/>
              <w:left w:w="70" w:type="dxa"/>
              <w:bottom w:w="70" w:type="dxa"/>
              <w:right w:w="70" w:type="dxa"/>
            </w:tcMar>
            <w:vAlign w:val="center"/>
          </w:tcPr>
          <w:p w14:paraId="68D2FD61" w14:textId="77777777" w:rsidR="00003A2E" w:rsidRPr="003D6F2A" w:rsidRDefault="008F030F">
            <w:pPr>
              <w:spacing w:after="0" w:line="240" w:lineRule="auto"/>
            </w:pPr>
            <w:r w:rsidRPr="003D6F2A">
              <w:rPr>
                <w:sz w:val="16"/>
              </w:rPr>
              <w:t>5.8</w:t>
            </w:r>
          </w:p>
        </w:tc>
        <w:tc>
          <w:tcPr>
            <w:tcW w:w="1280" w:type="dxa"/>
            <w:tcMar>
              <w:top w:w="70" w:type="dxa"/>
              <w:left w:w="70" w:type="dxa"/>
              <w:bottom w:w="70" w:type="dxa"/>
              <w:right w:w="70" w:type="dxa"/>
            </w:tcMar>
            <w:vAlign w:val="center"/>
          </w:tcPr>
          <w:p w14:paraId="014F5FF0" w14:textId="77777777" w:rsidR="00003A2E" w:rsidRPr="003D6F2A" w:rsidRDefault="008F030F">
            <w:pPr>
              <w:spacing w:after="0" w:line="240" w:lineRule="auto"/>
            </w:pPr>
            <w:r w:rsidRPr="003D6F2A">
              <w:rPr>
                <w:sz w:val="16"/>
              </w:rPr>
              <w:t>0.957</w:t>
            </w:r>
          </w:p>
        </w:tc>
        <w:tc>
          <w:tcPr>
            <w:tcW w:w="2462" w:type="dxa"/>
            <w:tcMar>
              <w:top w:w="70" w:type="dxa"/>
              <w:left w:w="70" w:type="dxa"/>
              <w:bottom w:w="70" w:type="dxa"/>
              <w:right w:w="70" w:type="dxa"/>
            </w:tcMar>
            <w:vAlign w:val="center"/>
          </w:tcPr>
          <w:p w14:paraId="5D202AAA" w14:textId="77777777" w:rsidR="00003A2E" w:rsidRPr="003D6F2A" w:rsidRDefault="008F030F">
            <w:pPr>
              <w:spacing w:after="0" w:line="240" w:lineRule="auto"/>
            </w:pPr>
            <w:r w:rsidRPr="003D6F2A">
              <w:rPr>
                <w:sz w:val="16"/>
              </w:rPr>
              <w:t>0.878</w:t>
            </w:r>
          </w:p>
        </w:tc>
        <w:tc>
          <w:tcPr>
            <w:tcW w:w="2267" w:type="dxa"/>
            <w:tcMar>
              <w:top w:w="70" w:type="dxa"/>
              <w:left w:w="70" w:type="dxa"/>
              <w:bottom w:w="70" w:type="dxa"/>
              <w:right w:w="70" w:type="dxa"/>
            </w:tcMar>
            <w:vAlign w:val="center"/>
          </w:tcPr>
          <w:p w14:paraId="3611A99B" w14:textId="77777777" w:rsidR="00003A2E" w:rsidRPr="003D6F2A" w:rsidRDefault="008F030F">
            <w:pPr>
              <w:spacing w:after="0" w:line="240" w:lineRule="auto"/>
            </w:pPr>
            <w:r w:rsidRPr="003D6F2A">
              <w:rPr>
                <w:sz w:val="16"/>
              </w:rPr>
              <w:t>Strong only because target energy scale resembles source GPU</w:t>
            </w:r>
          </w:p>
        </w:tc>
      </w:tr>
    </w:tbl>
    <w:p w14:paraId="64643405" w14:textId="77777777" w:rsidR="00003A2E" w:rsidRPr="003D6F2A" w:rsidRDefault="008F030F">
      <w:pPr>
        <w:jc w:val="center"/>
      </w:pPr>
      <w:r w:rsidRPr="003D6F2A">
        <w:rPr>
          <w:noProof/>
        </w:rPr>
        <w:lastRenderedPageBreak/>
        <w:drawing>
          <wp:inline distT="0" distB="0" distL="0" distR="0" wp14:anchorId="26E4208E" wp14:editId="18C1A627">
            <wp:extent cx="5760720" cy="2503673"/>
            <wp:effectExtent l="0" t="0" r="0" b="0"/>
            <wp:docPr id="68" name="Picture" descr="Fig. 9. Held-out-GPU transfer shown separately for MAPE, Kendall’s τ, and R². RTX 3060 preserves ordering despite poor absolute calibration; Titan Xp appears accurate because its aggregate energy scale resembles the source GPU."/>
            <wp:cNvGraphicFramePr/>
            <a:graphic xmlns:a="http://schemas.openxmlformats.org/drawingml/2006/main">
              <a:graphicData uri="http://schemas.openxmlformats.org/drawingml/2006/picture">
                <pic:pic xmlns:pic="http://schemas.openxmlformats.org/drawingml/2006/picture">
                  <pic:nvPicPr>
                    <pic:cNvPr id="69" name="Picture" descr="/mnt/data/cal_energy_figures_revised/fig9_hw_transfer.png"/>
                    <pic:cNvPicPr>
                      <a:picLocks noChangeAspect="1" noChangeArrowheads="1"/>
                    </pic:cNvPicPr>
                  </pic:nvPicPr>
                  <pic:blipFill>
                    <a:blip r:embed="rId15"/>
                    <a:stretch>
                      <a:fillRect/>
                    </a:stretch>
                  </pic:blipFill>
                  <pic:spPr bwMode="auto">
                    <a:xfrm>
                      <a:off x="0" y="0"/>
                      <a:ext cx="5760720" cy="2503673"/>
                    </a:xfrm>
                    <a:prstGeom prst="rect">
                      <a:avLst/>
                    </a:prstGeom>
                    <a:noFill/>
                    <a:ln w="9525">
                      <a:noFill/>
                      <a:headEnd/>
                      <a:tailEnd/>
                    </a:ln>
                  </pic:spPr>
                </pic:pic>
              </a:graphicData>
            </a:graphic>
          </wp:inline>
        </w:drawing>
      </w:r>
    </w:p>
    <w:p w14:paraId="732C9EFF" w14:textId="77777777" w:rsidR="00003A2E" w:rsidRPr="003D6F2A" w:rsidRDefault="008F030F">
      <w:pPr>
        <w:ind w:firstLine="259"/>
        <w:jc w:val="both"/>
      </w:pPr>
      <w:r w:rsidRPr="003D6F2A">
        <w:t>Fig. 9. Held-out-GPU transfer shown separately for MAPE, Kendall’s τ, and R². RTX 3060 preserves ordering despite poor absolute calibration; Titan Xp appears accurate because its aggregate energy scale resembles the source GPU.</w:t>
      </w:r>
    </w:p>
    <w:p w14:paraId="11DC8E28" w14:textId="509B6B38" w:rsidR="00003A2E" w:rsidRPr="003D6F2A" w:rsidRDefault="008F030F">
      <w:pPr>
        <w:pStyle w:val="BodyText"/>
        <w:ind w:firstLine="259"/>
        <w:jc w:val="both"/>
      </w:pPr>
      <w:r w:rsidRPr="003D6F2A">
        <w:t>Static hardware specifications do not resolve this limitation when the source training data contain only one GPU, because features such as peak throughput and memory bandwidth are constant and therefore provide no learnable within-source variation. A simple peak-throughput scaling rule also performs poorly, consistent with GPU power/performance models and the roofline perspective: rated FLOPs do not determine energy when a workload is not compute-bound [27,28]. Robust hardware transfer therefore requires calibration data spanning multiple devices and pre-execution descriptors that better proxy occupancy, memory traffic, precision, and kernel mix.</w:t>
      </w:r>
    </w:p>
    <w:p w14:paraId="55464F33" w14:textId="77777777" w:rsidR="00003A2E" w:rsidRPr="003D6F2A" w:rsidRDefault="008F030F">
      <w:pPr>
        <w:pStyle w:val="Heading1"/>
        <w:spacing w:before="160" w:after="80"/>
        <w:rPr>
          <w:color w:val="auto"/>
        </w:rPr>
      </w:pPr>
      <w:bookmarkStart w:id="25" w:name="discussion"/>
      <w:bookmarkEnd w:id="18"/>
      <w:bookmarkEnd w:id="24"/>
      <w:r w:rsidRPr="003D6F2A">
        <w:rPr>
          <w:color w:val="auto"/>
        </w:rPr>
        <w:t>5. Discussion</w:t>
      </w:r>
    </w:p>
    <w:p w14:paraId="055939FD" w14:textId="77777777" w:rsidR="00003A2E" w:rsidRPr="003D6F2A" w:rsidRDefault="008F030F">
      <w:pPr>
        <w:pStyle w:val="Heading2"/>
        <w:spacing w:before="160" w:after="80"/>
        <w:rPr>
          <w:color w:val="auto"/>
        </w:rPr>
      </w:pPr>
      <w:bookmarkStart w:id="26" w:name="why-within-family-prediction-improves"/>
      <w:r w:rsidRPr="003D6F2A">
        <w:rPr>
          <w:color w:val="auto"/>
        </w:rPr>
        <w:t>5.1 Why within-family prediction improves</w:t>
      </w:r>
    </w:p>
    <w:p w14:paraId="4B1245F3" w14:textId="4AE97E08" w:rsidR="00003A2E" w:rsidRPr="003D6F2A" w:rsidRDefault="008F030F">
      <w:pPr>
        <w:ind w:firstLine="259"/>
        <w:jc w:val="both"/>
      </w:pPr>
      <w:r w:rsidRPr="003D6F2A">
        <w:t>The feature-ablation results indicate that CAL-ENERGY’s within-family improvement arises primarily from a better representation of workload demand rather than from increased regressor complexity. In BUTTER-E, the fixed 3,000-epoch schedule makes dataset size a direct determinant of the volume of repeated data processing [14]. Once observation count and related task descriptors are included, architectures that appear similar from structural features alone become distinguishable in terms of training workload. In EC-NAS, operation composition provides complementary information because cells with similar parameter counts can execute different mixtures of convolution and pooling and therefore induce different hardware-utilization patterns [6].</w:t>
      </w:r>
    </w:p>
    <w:p w14:paraId="1712471C" w14:textId="07800D0F" w:rsidR="00003A2E" w:rsidRPr="003D6F2A" w:rsidRDefault="008F030F">
      <w:pPr>
        <w:pStyle w:val="BodyText"/>
        <w:ind w:firstLine="259"/>
        <w:jc w:val="both"/>
      </w:pPr>
      <w:r w:rsidRPr="003D6F2A">
        <w:t>These results support a broader systems interpretation: no single architecture-scale proxy is sufficient to explain training energy across heterogeneous workload families. A priori prediction must jointly represent network structure, workload volume, training configuration, and execution environment. Parameter count and FLOPs remain useful coarse descriptors, but prior work and the present experiments both show that they should not be treated as universal energy laws [6,12,13,26,30–33].</w:t>
      </w:r>
    </w:p>
    <w:p w14:paraId="333EA9C1" w14:textId="77777777" w:rsidR="00003A2E" w:rsidRPr="003D6F2A" w:rsidRDefault="008F030F">
      <w:pPr>
        <w:pStyle w:val="Heading2"/>
        <w:spacing w:before="160" w:after="80"/>
        <w:rPr>
          <w:color w:val="auto"/>
        </w:rPr>
      </w:pPr>
      <w:bookmarkStart w:id="27" w:name="X1117a5f6289e4ec5a9c3264d5363a6971c86f7c"/>
      <w:bookmarkEnd w:id="26"/>
      <w:r w:rsidRPr="003D6F2A">
        <w:rPr>
          <w:color w:val="auto"/>
        </w:rPr>
        <w:t>5.2 Comparison with SDEnergy, Gratia, Liao and He</w:t>
      </w:r>
    </w:p>
    <w:p w14:paraId="06032DE1" w14:textId="14F6FC74" w:rsidR="00003A2E" w:rsidRPr="003D6F2A" w:rsidRDefault="008F030F">
      <w:pPr>
        <w:ind w:firstLine="259"/>
        <w:jc w:val="both"/>
      </w:pPr>
      <w:r w:rsidRPr="003D6F2A">
        <w:t>Comparison with recent work clarifies both the scope and limits of the present contribution. SDEnergy reports 5.35% MAPE for device-aware inference-energy prediction [13], whereas CAL-ENERGY obtains 5.8% MAPE on EC-NAS total training energy; the two values should not be ranked because the targets, datasets, and hardware differ. Liao et al. report low component-wise MRE and cross-model transfer on A800 using symbolic regression [9], providing methodologically relevant evidence that metadata-based prediction can extend beyond a single architecture family. CAL-ENERGY contributes complementary evidence by focusing on total run energy across independent MLP and CNN benchmarks, measurement-provenance sensitivity, and held-out-GPU failure analysis.</w:t>
      </w:r>
    </w:p>
    <w:p w14:paraId="4303BF45" w14:textId="5012DAC8" w:rsidR="00003A2E" w:rsidRPr="003D6F2A" w:rsidRDefault="008F030F">
      <w:pPr>
        <w:pStyle w:val="BodyText"/>
        <w:ind w:firstLine="259"/>
        <w:jc w:val="both"/>
      </w:pPr>
      <w:r w:rsidRPr="003D6F2A">
        <w:t>Gratia et al. [7] and He et al. [8] demonstrate how predictive models can be embedded within optimisation procedures. Their primary decision variable is the architecture or GPU/workload configuration to select, whereas CAL-</w:t>
      </w:r>
      <w:r w:rsidRPr="003D6F2A">
        <w:lastRenderedPageBreak/>
        <w:t>ENERGY focuses on the preceding estimation question: what total energy should be expected, and is the request within the predictor’s calibration domain? The two roles are complementary; Algorithm 2 can precede an optimizer by allowing well-supported candidates to be ranked directly and routing unsupported candidates to pilot measurement before they influence an energy-aware decision.</w:t>
      </w:r>
    </w:p>
    <w:p w14:paraId="01CD8C31" w14:textId="77777777" w:rsidR="00003A2E" w:rsidRPr="003D6F2A" w:rsidRDefault="008F030F">
      <w:pPr>
        <w:pStyle w:val="Heading2"/>
        <w:spacing w:before="160" w:after="80"/>
        <w:rPr>
          <w:color w:val="auto"/>
        </w:rPr>
      </w:pPr>
      <w:bookmarkStart w:id="28" w:name="X026e6f040337c62f99c4923aa2c72480b24e2a3"/>
      <w:bookmarkEnd w:id="27"/>
      <w:r w:rsidRPr="003D6F2A">
        <w:rPr>
          <w:color w:val="auto"/>
        </w:rPr>
        <w:t>5.3 Measurement calibration and the role of CAL-GATE</w:t>
      </w:r>
    </w:p>
    <w:p w14:paraId="4587EA46" w14:textId="12F9F281" w:rsidR="00003A2E" w:rsidRPr="003D6F2A" w:rsidRDefault="008F030F">
      <w:pPr>
        <w:ind w:firstLine="259"/>
        <w:jc w:val="both"/>
      </w:pPr>
      <w:r w:rsidRPr="003D6F2A">
        <w:t>The measurement-scale experiment illustrates why a high R² or low MAPE cannot, by itself, establish physical comparability across instruments. If dataset origin is recoverable from the feature space, a flexible model can fit different target scales while preserving aggregate accuracy. The c = 1.25 experiment therefore changes the interpretation of the predictions more than the fit statistics. For sustainable-computing applications that use predictions for resource allocation, reporting calibration provenance is consequently as important as reporting conventional prediction error.</w:t>
      </w:r>
    </w:p>
    <w:p w14:paraId="0A335B4C" w14:textId="42E803B1" w:rsidR="00003A2E" w:rsidRPr="003D6F2A" w:rsidRDefault="008F030F">
      <w:pPr>
        <w:pStyle w:val="BodyText"/>
        <w:ind w:firstLine="259"/>
        <w:jc w:val="both"/>
      </w:pPr>
      <w:r w:rsidRPr="003D6F2A">
        <w:t>CAL-GATE implements this principle as a deployment rule. When Equation (10) places a request outside the empirical support defined by Equation (11), or when the target family/hardware domain is absent from the calibration data, the raw estimate is marked as requiring recalibration. If pilot measurements are available, Equation (12) applies a robust target-domain scale factor. This strategy is conceptually related to offline–online correction in He et al. [8], but the objective differs: CAL-GATE calibrates the applicability and scale of an existing energy predictor rather than searching the local GPU-configuration space.</w:t>
      </w:r>
    </w:p>
    <w:p w14:paraId="6F42313F" w14:textId="77777777" w:rsidR="00003A2E" w:rsidRPr="003D6F2A" w:rsidRDefault="008F030F">
      <w:pPr>
        <w:pStyle w:val="Heading2"/>
        <w:spacing w:before="160" w:after="80"/>
        <w:rPr>
          <w:color w:val="auto"/>
        </w:rPr>
      </w:pPr>
      <w:bookmarkStart w:id="29" w:name="scalability-sensitivity-and-robustness"/>
      <w:bookmarkEnd w:id="28"/>
      <w:r w:rsidRPr="003D6F2A">
        <w:rPr>
          <w:color w:val="auto"/>
        </w:rPr>
        <w:t>5.4 Scalability, sensitivity and robustness</w:t>
      </w:r>
    </w:p>
    <w:p w14:paraId="59683865" w14:textId="2362DDF7" w:rsidR="00003A2E" w:rsidRPr="003D6F2A" w:rsidRDefault="008F030F">
      <w:pPr>
        <w:ind w:firstLine="259"/>
        <w:jc w:val="both"/>
      </w:pPr>
      <w:r w:rsidRPr="003D6F2A">
        <w:t>Scalability in this problem has three distinct dimensions. (i) Computational scalability is favourable because tabular prediction is inexpensive relative to neural-network training, as summarized in Table 6. (ii) Statistical scalability depends on the diversity of independent tasks and devices rather than the raw number of rows; adding many observations from the same 12 datasets or one GPU does not teach responses to unseen domains. (iii) Domain scalability requires crossed variation across the factors to which the predictor is expected to respond, including architecture family, dataset scale and modality, epoch budget, precision mode, GPU generation, utilization regime, and measurement instrument.</w:t>
      </w:r>
    </w:p>
    <w:p w14:paraId="0E4853EF" w14:textId="3BD4D3B2" w:rsidR="00003A2E" w:rsidRPr="003D6F2A" w:rsidRDefault="003D6F2A">
      <w:pPr>
        <w:pStyle w:val="BodyText"/>
        <w:ind w:firstLine="259"/>
        <w:jc w:val="both"/>
      </w:pPr>
      <w:r w:rsidRPr="003D6F2A">
        <w:t>The ablation in Table 8, leave-one-dataset-out analysis, measurement-scale stress test in Table 9, leave-family-out results in Table 11, and held-out-GPU results in Table 12 provide a structured robustness assessment. The pattern is consistent: interpolation is strongest within joint feature support; rank ordering can survive some distribution shift; absolute calibration fails earlier under training-budget or hardware-scale changes; and both ranking and calibration deteriorate when the source data omit predictive dimensions that vary in the target domain.</w:t>
      </w:r>
    </w:p>
    <w:p w14:paraId="07C8B81E" w14:textId="77777777" w:rsidR="00003A2E" w:rsidRPr="003D6F2A" w:rsidRDefault="008F030F">
      <w:pPr>
        <w:pStyle w:val="Heading2"/>
        <w:spacing w:before="160" w:after="80"/>
        <w:rPr>
          <w:color w:val="auto"/>
        </w:rPr>
      </w:pPr>
      <w:bookmarkStart w:id="30" w:name="implications-for-sustainable-computing"/>
      <w:bookmarkEnd w:id="29"/>
      <w:r w:rsidRPr="003D6F2A">
        <w:rPr>
          <w:color w:val="auto"/>
        </w:rPr>
        <w:t>5.5 Implications for sustainable computing</w:t>
      </w:r>
    </w:p>
    <w:p w14:paraId="3A4C0488" w14:textId="0B25F148" w:rsidR="00003A2E" w:rsidRPr="003D6F2A" w:rsidRDefault="008F030F">
      <w:pPr>
        <w:ind w:firstLine="259"/>
        <w:jc w:val="both"/>
      </w:pPr>
      <w:r w:rsidRPr="003D6F2A">
        <w:t>For supported within-family requests, CAL-ENERGY can provide low-overhead pre-execution estimates for candidate ranking, energy-aware scheduling, compute-budget allocation, and surrogate-guided model selection. For unseen hardware or other unsupported domains, however, the current evidence does not justify interpreting the raw output as physically calibrated energy. A practical deployment should therefore combine metadata-based screening with targeted pilot measurement only when CAL-GATE identifies domain shift, reducing measurement overhead while preserving a clear distinction between statistical prediction and physical calibration.</w:t>
      </w:r>
    </w:p>
    <w:p w14:paraId="1156A0A3" w14:textId="77777777" w:rsidR="00003A2E" w:rsidRPr="003D6F2A" w:rsidRDefault="008F030F">
      <w:pPr>
        <w:pStyle w:val="Heading1"/>
        <w:spacing w:before="160" w:after="80"/>
        <w:rPr>
          <w:color w:val="auto"/>
        </w:rPr>
      </w:pPr>
      <w:bookmarkStart w:id="31" w:name="threats-to-validity-and-limitations"/>
      <w:bookmarkEnd w:id="25"/>
      <w:bookmarkEnd w:id="30"/>
      <w:r w:rsidRPr="003D6F2A">
        <w:rPr>
          <w:color w:val="auto"/>
        </w:rPr>
        <w:t>6. Threats to Validity and Limitations</w:t>
      </w:r>
    </w:p>
    <w:p w14:paraId="435D4EC7" w14:textId="037C2FEC" w:rsidR="00003A2E" w:rsidRPr="003D6F2A" w:rsidRDefault="008F030F" w:rsidP="000A31FB">
      <w:pPr>
        <w:numPr>
          <w:ilvl w:val="0"/>
          <w:numId w:val="14"/>
        </w:numPr>
        <w:jc w:val="both"/>
      </w:pPr>
      <w:r w:rsidRPr="003D6F2A">
        <w:t>Architecture family and measurement instrument remain partially confounded because the MLP and CNN benchmarks were collected under different measurement regimes. The scale experiment in Equation (6) quantifies sensitivity to one plausible shift but cannot remove the confound; resolving it requires the same architectures to be measured with both instrument classes [5].</w:t>
      </w:r>
    </w:p>
    <w:p w14:paraId="6DA3FFA8" w14:textId="522A0296" w:rsidR="00003A2E" w:rsidRPr="003D6F2A" w:rsidRDefault="008F030F" w:rsidP="000A31FB">
      <w:pPr>
        <w:numPr>
          <w:ilvl w:val="0"/>
          <w:numId w:val="14"/>
        </w:numPr>
        <w:jc w:val="both"/>
      </w:pPr>
      <w:r w:rsidRPr="003D6F2A">
        <w:t>Cross-family evaluation in this study is limited to MLPs and CNNs. Recent work adds evidence for transfer across ResNet, ViT, and BERT workloads [9], but the combined literature still does not establish universal transfer to recurrent, mixture-of-experts, or foundation-model training.</w:t>
      </w:r>
    </w:p>
    <w:p w14:paraId="4793C84B" w14:textId="57CCDF7F" w:rsidR="00003A2E" w:rsidRPr="003D6F2A" w:rsidRDefault="008F030F" w:rsidP="000A31FB">
      <w:pPr>
        <w:numPr>
          <w:ilvl w:val="0"/>
          <w:numId w:val="14"/>
        </w:numPr>
        <w:jc w:val="both"/>
      </w:pPr>
      <w:r w:rsidRPr="003D6F2A">
        <w:t>The held-out-GPU analysis covers four NVIDIA GPU classes and 91 shared architectures per device [6]. This design is sufficient to expose scale mismatch, but it is too narrow to establish a general hardware-transfer law across vendors, generations, or utilization regimes.</w:t>
      </w:r>
    </w:p>
    <w:p w14:paraId="0B77AD41" w14:textId="605C8E4C" w:rsidR="00003A2E" w:rsidRPr="003D6F2A" w:rsidRDefault="008F030F" w:rsidP="000A31FB">
      <w:pPr>
        <w:numPr>
          <w:ilvl w:val="0"/>
          <w:numId w:val="14"/>
        </w:numPr>
        <w:jc w:val="both"/>
      </w:pPr>
      <w:r w:rsidRPr="003D6F2A">
        <w:lastRenderedPageBreak/>
        <w:t>BUTTER-E contributes only 12 source datasets to the workload-level analysis [14]. Leave-one-dataset-out evaluation reduces concern about literal dataset-identity memorization but cannot substitute for validation on a larger, independently collected task suite.</w:t>
      </w:r>
    </w:p>
    <w:p w14:paraId="093E5F72" w14:textId="1B68550F" w:rsidR="00003A2E" w:rsidRPr="003D6F2A" w:rsidRDefault="008F030F" w:rsidP="000A31FB">
      <w:pPr>
        <w:numPr>
          <w:ilvl w:val="0"/>
          <w:numId w:val="14"/>
        </w:numPr>
        <w:jc w:val="both"/>
      </w:pPr>
      <w:r w:rsidRPr="003D6F2A">
        <w:t>The confidence intervals around Kendall’s τ are large-sample descriptive intervals rather than paired model-comparison tests. A complete archival release should therefore retain per-example predictions for every model and random seed so that paired bootstrap or permutation tests can be reproduced.</w:t>
      </w:r>
    </w:p>
    <w:p w14:paraId="38E0612C" w14:textId="18617E1D" w:rsidR="00003A2E" w:rsidRPr="003D6F2A" w:rsidRDefault="008F030F" w:rsidP="000A31FB">
      <w:pPr>
        <w:numPr>
          <w:ilvl w:val="0"/>
          <w:numId w:val="14"/>
        </w:numPr>
        <w:jc w:val="both"/>
      </w:pPr>
      <w:r w:rsidRPr="003D6F2A">
        <w:t>CAL-GATE is derived from the observed transfer failures but has not yet been prospectively validated as a deployment classifier. In particular, the 95th-percentile support threshold and the number of pilot runs required for stable recalibration should be evaluated on additional architecture and hardware domains.</w:t>
      </w:r>
    </w:p>
    <w:p w14:paraId="12FC96C6" w14:textId="316F9F8D" w:rsidR="00003A2E" w:rsidRPr="003D6F2A" w:rsidRDefault="008F030F" w:rsidP="000A31FB">
      <w:pPr>
        <w:numPr>
          <w:ilvl w:val="0"/>
          <w:numId w:val="14"/>
        </w:numPr>
        <w:jc w:val="both"/>
      </w:pPr>
      <w:r w:rsidRPr="003D6F2A">
        <w:t>Finally, static hardware specifications are not direct measurements of utilization. Future hardware-aware predictors should incorporate pre-execution proxies for memory traffic, arithmetic intensity, numerical precision, kernel composition, and expected occupancy, consistent with established performance-modelling principles [27,28].</w:t>
      </w:r>
    </w:p>
    <w:p w14:paraId="7F30EFD6" w14:textId="77777777" w:rsidR="00003A2E" w:rsidRPr="003D6F2A" w:rsidRDefault="008F030F">
      <w:pPr>
        <w:pStyle w:val="Heading1"/>
        <w:spacing w:before="160" w:after="80"/>
        <w:rPr>
          <w:color w:val="auto"/>
        </w:rPr>
      </w:pPr>
      <w:bookmarkStart w:id="32" w:name="conclusion"/>
      <w:bookmarkEnd w:id="31"/>
      <w:r w:rsidRPr="003D6F2A">
        <w:rPr>
          <w:color w:val="auto"/>
        </w:rPr>
        <w:t>7. Conclusion</w:t>
      </w:r>
    </w:p>
    <w:p w14:paraId="136DD0A4" w14:textId="4F8749EB" w:rsidR="00003A2E" w:rsidRPr="003D6F2A" w:rsidRDefault="008F030F">
      <w:pPr>
        <w:ind w:firstLine="259"/>
        <w:jc w:val="both"/>
      </w:pPr>
      <w:r w:rsidRPr="003D6F2A">
        <w:t>This study introduced CAL-ENERGY, a calibration- and domain-aware framework for estimating neural-network training energy from pre-execution metadata and for distinguishing supported predictions from extrapolations that require recalibration. Within the two benchmark families, CAL-ENERGY achieves strong predictive performance: Kendall’s τ is 0.927 with MAPE 11.5% for BUTTER-E and τ is 0.849 with MAPE 5.8% for EC-NAS. The feature analyses show that architecture alone is insufficient: dataset-scale descriptors are essential in BUTTER-E, while operation composition provides additional structural information in EC-NAS.</w:t>
      </w:r>
    </w:p>
    <w:p w14:paraId="76E9ECA1" w14:textId="286EFA11" w:rsidR="00003A2E" w:rsidRPr="003D6F2A" w:rsidRDefault="008F030F">
      <w:pPr>
        <w:pStyle w:val="BodyText"/>
        <w:ind w:firstLine="259"/>
        <w:jc w:val="both"/>
      </w:pPr>
      <w:r w:rsidRPr="003D6F2A">
        <w:t>The contribution should therefore be interpreted as an integrated prediction-and-applicability framework rather than as a claim of universal zero-shot generalization. Recent cross-model work already demonstrates pre-execution transfer in other settings [9]; CAL-ENERGY complements that evidence through cross-benchmark, measurement-provenance, and held-out-GPU analyses. The observed zero-shot failures identify specific requirements for future sustainable-AI benchmarks—crossed variation across model families, datasets, training budgets, hardware, utilization regimes, and measurement instruments—while CAL-GATE provides a mechanism for preventing unsupported estimates from being treated as calibrated energy.</w:t>
      </w:r>
    </w:p>
    <w:p w14:paraId="0727E084" w14:textId="77777777" w:rsidR="00003A2E" w:rsidRPr="003D6F2A" w:rsidRDefault="008F030F">
      <w:pPr>
        <w:pStyle w:val="Heading2"/>
        <w:spacing w:before="160" w:after="80"/>
        <w:rPr>
          <w:color w:val="auto"/>
        </w:rPr>
      </w:pPr>
      <w:bookmarkStart w:id="33" w:name="data-and-code-availability"/>
      <w:r w:rsidRPr="003D6F2A">
        <w:rPr>
          <w:color w:val="auto"/>
        </w:rPr>
        <w:t>Data and Code Availability</w:t>
      </w:r>
    </w:p>
    <w:p w14:paraId="1FDCDD61" w14:textId="77777777" w:rsidR="00003A2E" w:rsidRPr="003D6F2A" w:rsidRDefault="008F030F">
      <w:pPr>
        <w:jc w:val="both"/>
      </w:pPr>
      <w:r w:rsidRPr="003D6F2A">
        <w:t>Project repository: https://github.com/VanessaAttaFynn/NN-Energy-Prediction-Framework</w:t>
      </w:r>
    </w:p>
    <w:p w14:paraId="77259944" w14:textId="022FAB80" w:rsidR="00003A2E" w:rsidRPr="003D6F2A" w:rsidRDefault="008F030F">
      <w:pPr>
        <w:pStyle w:val="BodyText"/>
        <w:ind w:firstLine="259"/>
        <w:jc w:val="both"/>
      </w:pPr>
      <w:r w:rsidRPr="003D6F2A">
        <w:t>BUTTER-E and EC-NAS are used under the provenance and licensing terms of their original repositories [6,14]. The project repository contains the implementation associated with this study. For the archival release, the repository should preserve processed-data hashes, grouping/split identifiers, fitted model settings, random seeds where applicable, and per-example prediction vectors so that the reported analyses and future paired statistical tests can be reproduced.</w:t>
      </w:r>
    </w:p>
    <w:p w14:paraId="7875CD65" w14:textId="77777777" w:rsidR="00003A2E" w:rsidRPr="003D6F2A" w:rsidRDefault="008F030F">
      <w:pPr>
        <w:pStyle w:val="Heading2"/>
        <w:spacing w:before="160" w:after="80"/>
        <w:rPr>
          <w:color w:val="auto"/>
        </w:rPr>
      </w:pPr>
      <w:bookmarkStart w:id="34" w:name="declaration-of-competing-interest"/>
      <w:bookmarkEnd w:id="33"/>
      <w:r w:rsidRPr="003D6F2A">
        <w:rPr>
          <w:color w:val="auto"/>
        </w:rPr>
        <w:t>Declaration of Competing Interest</w:t>
      </w:r>
    </w:p>
    <w:p w14:paraId="5A559A18" w14:textId="77777777" w:rsidR="00003A2E" w:rsidRPr="003D6F2A" w:rsidRDefault="008F030F">
      <w:pPr>
        <w:ind w:firstLine="259"/>
        <w:jc w:val="both"/>
      </w:pPr>
      <w:r w:rsidRPr="003D6F2A">
        <w:t>The authors declare that they have no known competing financial interests or personal relationships that could have appeared to influence the work reported in this paper.</w:t>
      </w:r>
    </w:p>
    <w:p w14:paraId="2105750B" w14:textId="77777777" w:rsidR="00003A2E" w:rsidRPr="003D6F2A" w:rsidRDefault="008F030F">
      <w:pPr>
        <w:pStyle w:val="Heading2"/>
        <w:spacing w:before="160" w:after="80"/>
        <w:rPr>
          <w:color w:val="auto"/>
        </w:rPr>
      </w:pPr>
      <w:bookmarkStart w:id="35" w:name="funding"/>
      <w:bookmarkEnd w:id="34"/>
      <w:r w:rsidRPr="003D6F2A">
        <w:rPr>
          <w:color w:val="auto"/>
        </w:rPr>
        <w:t>Funding</w:t>
      </w:r>
    </w:p>
    <w:p w14:paraId="6967F72B" w14:textId="77777777" w:rsidR="00003A2E" w:rsidRPr="003D6F2A" w:rsidRDefault="008F030F">
      <w:pPr>
        <w:ind w:firstLine="259"/>
        <w:jc w:val="both"/>
      </w:pPr>
      <w:r w:rsidRPr="003D6F2A">
        <w:t>This research did not receive any specific grant from funding agencies in the public, commercial, or not-for-profit sectors.</w:t>
      </w:r>
    </w:p>
    <w:p w14:paraId="54821419" w14:textId="77777777" w:rsidR="00003A2E" w:rsidRPr="003D6F2A" w:rsidRDefault="008F030F">
      <w:pPr>
        <w:pStyle w:val="Heading2"/>
        <w:spacing w:before="160" w:after="80"/>
        <w:rPr>
          <w:color w:val="auto"/>
        </w:rPr>
      </w:pPr>
      <w:bookmarkStart w:id="36" w:name="credit-authorship-contribution-statement"/>
      <w:bookmarkEnd w:id="35"/>
      <w:r w:rsidRPr="003D6F2A">
        <w:rPr>
          <w:color w:val="auto"/>
        </w:rPr>
        <w:t>CRediT Authorship Contribution Statement</w:t>
      </w:r>
    </w:p>
    <w:p w14:paraId="1D49D701" w14:textId="77777777" w:rsidR="00003A2E" w:rsidRPr="003D6F2A" w:rsidRDefault="008F030F">
      <w:pPr>
        <w:ind w:firstLine="259"/>
        <w:jc w:val="both"/>
      </w:pPr>
      <w:r w:rsidRPr="003D6F2A">
        <w:rPr>
          <w:b/>
          <w:bCs/>
        </w:rPr>
        <w:t>Vanessa Atta-Fynn:</w:t>
      </w:r>
      <w:r w:rsidRPr="003D6F2A">
        <w:t xml:space="preserve"> Investigation, Data curation, Methodology, Software, Formal analysis, Visualization, Writing - original draft.</w:t>
      </w:r>
      <w:r w:rsidRPr="003D6F2A">
        <w:br/>
      </w:r>
      <w:r w:rsidRPr="003D6F2A">
        <w:rPr>
          <w:b/>
          <w:bCs/>
        </w:rPr>
        <w:t>Kofi Sarpong Adu-Manu:</w:t>
      </w:r>
      <w:r w:rsidRPr="003D6F2A">
        <w:t xml:space="preserve"> Conceptualization, Supervision, Methodology, Validation, Writing - review &amp; editing.</w:t>
      </w:r>
    </w:p>
    <w:p w14:paraId="34CA05A0" w14:textId="77777777" w:rsidR="00003A2E" w:rsidRPr="003D6F2A" w:rsidRDefault="008F030F">
      <w:pPr>
        <w:pStyle w:val="Heading1"/>
        <w:spacing w:before="160" w:after="80"/>
        <w:rPr>
          <w:color w:val="auto"/>
        </w:rPr>
      </w:pPr>
      <w:bookmarkStart w:id="37" w:name="references"/>
      <w:bookmarkEnd w:id="32"/>
      <w:bookmarkEnd w:id="36"/>
      <w:r w:rsidRPr="003D6F2A">
        <w:rPr>
          <w:color w:val="auto"/>
        </w:rPr>
        <w:lastRenderedPageBreak/>
        <w:t>References</w:t>
      </w:r>
    </w:p>
    <w:p w14:paraId="454690CF" w14:textId="77777777" w:rsidR="00003A2E" w:rsidRPr="003D6F2A" w:rsidRDefault="008F030F">
      <w:pPr>
        <w:ind w:firstLine="259"/>
        <w:jc w:val="both"/>
      </w:pPr>
      <w:r w:rsidRPr="003D6F2A">
        <w:t xml:space="preserve">[1] R. Schwartz, J. Dodge, N.A. Smith, O. Etzioni, Green AI, </w:t>
      </w:r>
      <w:r w:rsidRPr="003D6F2A">
        <w:rPr>
          <w:i/>
          <w:iCs/>
        </w:rPr>
        <w:t>Communications of the ACM</w:t>
      </w:r>
      <w:r w:rsidRPr="003D6F2A">
        <w:t xml:space="preserve"> 63(12) (2020) 54–63. https://doi.org/10.1145/3381831.</w:t>
      </w:r>
    </w:p>
    <w:p w14:paraId="3F2E2C31" w14:textId="77777777" w:rsidR="00003A2E" w:rsidRPr="003D6F2A" w:rsidRDefault="008F030F">
      <w:pPr>
        <w:pStyle w:val="BodyText"/>
        <w:ind w:firstLine="259"/>
        <w:jc w:val="both"/>
      </w:pPr>
      <w:r w:rsidRPr="003D6F2A">
        <w:t xml:space="preserve">[2] E. Strubell, A. Ganesh, A. McCallum, Energy and policy considerations for deep learning in NLP, </w:t>
      </w:r>
      <w:r w:rsidRPr="003D6F2A">
        <w:rPr>
          <w:i/>
          <w:iCs/>
        </w:rPr>
        <w:t>Proceedings of ACL</w:t>
      </w:r>
      <w:r w:rsidRPr="003D6F2A">
        <w:t xml:space="preserve"> (2019) 3645–3650. https://doi.org/10.18653/v1/P19-1355.</w:t>
      </w:r>
    </w:p>
    <w:p w14:paraId="69622938" w14:textId="77777777" w:rsidR="00003A2E" w:rsidRPr="003D6F2A" w:rsidRDefault="008F030F">
      <w:pPr>
        <w:pStyle w:val="BodyText"/>
        <w:ind w:firstLine="259"/>
        <w:jc w:val="both"/>
      </w:pPr>
      <w:r w:rsidRPr="003D6F2A">
        <w:t>[3] D. Patterson et al., Carbon emissions and large neural network training, arXiv:2104.10350 (2021).</w:t>
      </w:r>
    </w:p>
    <w:p w14:paraId="75D425E1" w14:textId="77777777" w:rsidR="00003A2E" w:rsidRPr="003D6F2A" w:rsidRDefault="008F030F">
      <w:pPr>
        <w:pStyle w:val="BodyText"/>
        <w:ind w:firstLine="259"/>
        <w:jc w:val="both"/>
      </w:pPr>
      <w:r w:rsidRPr="003D6F2A">
        <w:t xml:space="preserve">[4] A. de Vries, The growing energy footprint of artificial intelligence, </w:t>
      </w:r>
      <w:r w:rsidRPr="003D6F2A">
        <w:rPr>
          <w:i/>
          <w:iCs/>
        </w:rPr>
        <w:t>Joule</w:t>
      </w:r>
      <w:r w:rsidRPr="003D6F2A">
        <w:t xml:space="preserve"> 7(10) (2023) 2191–2194. https://doi.org/10.1016/j.joule.2023.09.004.</w:t>
      </w:r>
    </w:p>
    <w:p w14:paraId="66BE0F17" w14:textId="77777777" w:rsidR="00003A2E" w:rsidRPr="003D6F2A" w:rsidRDefault="008F030F">
      <w:pPr>
        <w:pStyle w:val="BodyText"/>
        <w:ind w:firstLine="259"/>
        <w:jc w:val="both"/>
      </w:pPr>
      <w:r w:rsidRPr="003D6F2A">
        <w:t>[5] R. Fischer, Ground-Truthing AI Energy Consumption: Validating CodeCarbon Against External Measurements, arXiv:2509.22092 (2025).</w:t>
      </w:r>
    </w:p>
    <w:p w14:paraId="2455C3D8" w14:textId="77777777" w:rsidR="00003A2E" w:rsidRPr="003D6F2A" w:rsidRDefault="008F030F">
      <w:pPr>
        <w:pStyle w:val="BodyText"/>
        <w:ind w:firstLine="259"/>
        <w:jc w:val="both"/>
      </w:pPr>
      <w:r w:rsidRPr="003D6F2A">
        <w:t>[6] P. Bakhtiarifard, C. Igel, R. Selvan, EC-NAS: Energy Consumption Aware Tabular Benchmarks for Neural Architecture Search, arXiv:2210.06015v4 (2024).</w:t>
      </w:r>
    </w:p>
    <w:p w14:paraId="0946EAD2" w14:textId="77777777" w:rsidR="00003A2E" w:rsidRPr="003D6F2A" w:rsidRDefault="008F030F">
      <w:pPr>
        <w:pStyle w:val="BodyText"/>
        <w:ind w:firstLine="259"/>
        <w:jc w:val="both"/>
      </w:pPr>
      <w:r w:rsidRPr="003D6F2A">
        <w:t xml:space="preserve">[7] A. Gratia, P. Temple, P.-Y. Schobbens, G. Perrouin, Energy-Aware Neural Architecture Search: Leveraging Genetic Algorithms for Balancing Performance and Consumption, in: </w:t>
      </w:r>
      <w:r w:rsidRPr="003D6F2A">
        <w:rPr>
          <w:i/>
          <w:iCs/>
        </w:rPr>
        <w:t>Artificial Life and Evolutionary Computation</w:t>
      </w:r>
      <w:r w:rsidRPr="003D6F2A">
        <w:t>, CCIS 2532, Springer (2025) 173–185. https://doi.org/10.1007/978-3-031-93631-9_14.</w:t>
      </w:r>
    </w:p>
    <w:p w14:paraId="00AB3A5B" w14:textId="77777777" w:rsidR="00003A2E" w:rsidRPr="003D6F2A" w:rsidRDefault="008F030F">
      <w:pPr>
        <w:pStyle w:val="BodyText"/>
        <w:ind w:firstLine="259"/>
        <w:jc w:val="both"/>
      </w:pPr>
      <w:r w:rsidRPr="003D6F2A">
        <w:t xml:space="preserve">[8] L. He, D. Li, C. Jiang, J. Liu, C. Xu, L. Zhang, A predictive offline-online hybrid approach to DNN training energy optimization, </w:t>
      </w:r>
      <w:r w:rsidRPr="003D6F2A">
        <w:rPr>
          <w:i/>
          <w:iCs/>
        </w:rPr>
        <w:t>Sustainable Computing: Informatics and Systems</w:t>
      </w:r>
      <w:r w:rsidRPr="003D6F2A">
        <w:t xml:space="preserve"> 51 (2026) 101415. https://doi.org/10.1016/j.suscom.2026.101415.</w:t>
      </w:r>
    </w:p>
    <w:p w14:paraId="43EA7426" w14:textId="77777777" w:rsidR="00003A2E" w:rsidRPr="003D6F2A" w:rsidRDefault="008F030F">
      <w:pPr>
        <w:pStyle w:val="BodyText"/>
        <w:ind w:firstLine="259"/>
        <w:jc w:val="both"/>
      </w:pPr>
      <w:r w:rsidRPr="003D6F2A">
        <w:t xml:space="preserve">[9] X. Liao, Y. Li, S. Zhang, X. Wei, J. Hu, Predicting GPU Training Energy Consumption in Data Centers Using Task Metadata via Symbolic Regression, </w:t>
      </w:r>
      <w:r w:rsidRPr="003D6F2A">
        <w:rPr>
          <w:i/>
          <w:iCs/>
        </w:rPr>
        <w:t>Energies</w:t>
      </w:r>
      <w:r w:rsidRPr="003D6F2A">
        <w:t xml:space="preserve"> 19(2) (2026) 448. https://doi.org/10.3390/en19020448.</w:t>
      </w:r>
    </w:p>
    <w:p w14:paraId="1476AD66" w14:textId="77777777" w:rsidR="00003A2E" w:rsidRPr="003D6F2A" w:rsidRDefault="008F030F">
      <w:pPr>
        <w:pStyle w:val="BodyText"/>
        <w:ind w:firstLine="259"/>
        <w:jc w:val="both"/>
      </w:pPr>
      <w:r w:rsidRPr="003D6F2A">
        <w:t>[10] L.F.W. Anthony, B. Kanding, R. Selvan, Carbontracker: Tracking and predicting the carbon footprint of training deep learning models, ICML Workshop on Challenges in Deploying and Monitoring Machine Learning Systems (2020), arXiv:2007.03051.</w:t>
      </w:r>
    </w:p>
    <w:p w14:paraId="27E6EDF5" w14:textId="77777777" w:rsidR="00003A2E" w:rsidRPr="003D6F2A" w:rsidRDefault="008F030F">
      <w:pPr>
        <w:pStyle w:val="BodyText"/>
        <w:ind w:firstLine="259"/>
        <w:jc w:val="both"/>
      </w:pPr>
      <w:r w:rsidRPr="003D6F2A">
        <w:t xml:space="preserve">[11] J. You, J.-W. Chung, M. Chowdhury, Zeus: Understanding and Optimizing GPU Energy Consumption of DNN Training, </w:t>
      </w:r>
      <w:r w:rsidRPr="003D6F2A">
        <w:rPr>
          <w:i/>
          <w:iCs/>
        </w:rPr>
        <w:t>USENIX NSDI</w:t>
      </w:r>
      <w:r w:rsidRPr="003D6F2A">
        <w:t xml:space="preserve"> (2023) 119–139.</w:t>
      </w:r>
    </w:p>
    <w:p w14:paraId="6143A9EB" w14:textId="77777777" w:rsidR="00003A2E" w:rsidRPr="003D6F2A" w:rsidRDefault="008F030F">
      <w:pPr>
        <w:pStyle w:val="BodyText"/>
        <w:ind w:firstLine="259"/>
        <w:jc w:val="both"/>
      </w:pPr>
      <w:r w:rsidRPr="003D6F2A">
        <w:t xml:space="preserve">[12] E. Cai, D.-C. Juan, D. Stamoulis, D. Marculescu, NeuralPower: Predict and Deploy Energy-Efficient Convolutional Neural Networks, </w:t>
      </w:r>
      <w:r w:rsidRPr="003D6F2A">
        <w:rPr>
          <w:i/>
          <w:iCs/>
        </w:rPr>
        <w:t>Proceedings of Machine Learning Research</w:t>
      </w:r>
      <w:r w:rsidRPr="003D6F2A">
        <w:t xml:space="preserve"> 77 (2017) 622–637.</w:t>
      </w:r>
    </w:p>
    <w:p w14:paraId="7BDA7502" w14:textId="77777777" w:rsidR="00003A2E" w:rsidRPr="003D6F2A" w:rsidRDefault="008F030F">
      <w:pPr>
        <w:pStyle w:val="BodyText"/>
        <w:ind w:firstLine="259"/>
        <w:jc w:val="both"/>
      </w:pPr>
      <w:r w:rsidRPr="003D6F2A">
        <w:t xml:space="preserve">[13] C. Guo, S. Wang, R. Xie, J. Song, Estimating energy consumption of neural networks with joint Structure-Device encoding, </w:t>
      </w:r>
      <w:r w:rsidRPr="003D6F2A">
        <w:rPr>
          <w:i/>
          <w:iCs/>
        </w:rPr>
        <w:t>Sustainable Computing: Informatics and Systems</w:t>
      </w:r>
      <w:r w:rsidRPr="003D6F2A">
        <w:t xml:space="preserve"> 45 (2025) 101062. https://doi.org/10.1016/j.suscom.2024.101062.</w:t>
      </w:r>
    </w:p>
    <w:p w14:paraId="06C7C95D" w14:textId="77777777" w:rsidR="00003A2E" w:rsidRPr="003D6F2A" w:rsidRDefault="008F030F">
      <w:pPr>
        <w:pStyle w:val="BodyText"/>
        <w:ind w:firstLine="259"/>
        <w:jc w:val="both"/>
      </w:pPr>
      <w:r w:rsidRPr="003D6F2A">
        <w:t>[14] C.E. Tripp et al., Measuring the Energy Consumption and Efficiency of Deep Neural Networks: An Empirical Analysis and Design Recommendations, arXiv:2403.08151 (2024).</w:t>
      </w:r>
    </w:p>
    <w:p w14:paraId="39849D06" w14:textId="77777777" w:rsidR="00003A2E" w:rsidRPr="003D6F2A" w:rsidRDefault="008F030F">
      <w:pPr>
        <w:pStyle w:val="BodyText"/>
        <w:ind w:firstLine="259"/>
        <w:jc w:val="both"/>
      </w:pPr>
      <w:r w:rsidRPr="003D6F2A">
        <w:t xml:space="preserve">[15] R.J. Hyndman, A.B. Koehler, Another look at measures of forecast accuracy, </w:t>
      </w:r>
      <w:r w:rsidRPr="003D6F2A">
        <w:rPr>
          <w:i/>
          <w:iCs/>
        </w:rPr>
        <w:t>International Journal of Forecasting</w:t>
      </w:r>
      <w:r w:rsidRPr="003D6F2A">
        <w:t xml:space="preserve"> 22(4) (2006) 679–688.</w:t>
      </w:r>
    </w:p>
    <w:p w14:paraId="2F88B769" w14:textId="77777777" w:rsidR="00003A2E" w:rsidRPr="003D6F2A" w:rsidRDefault="008F030F">
      <w:pPr>
        <w:pStyle w:val="BodyText"/>
        <w:ind w:firstLine="259"/>
        <w:jc w:val="both"/>
      </w:pPr>
      <w:r w:rsidRPr="003D6F2A">
        <w:t xml:space="preserve">[16] L. Breiman, Random forests, </w:t>
      </w:r>
      <w:r w:rsidRPr="003D6F2A">
        <w:rPr>
          <w:i/>
          <w:iCs/>
        </w:rPr>
        <w:t>Machine Learning</w:t>
      </w:r>
      <w:r w:rsidRPr="003D6F2A">
        <w:t xml:space="preserve"> 45 (2001) 5–32. https://doi.org/10.1023/A:1010933404324.</w:t>
      </w:r>
    </w:p>
    <w:p w14:paraId="2AF114E2" w14:textId="77777777" w:rsidR="00003A2E" w:rsidRPr="003D6F2A" w:rsidRDefault="008F030F">
      <w:pPr>
        <w:pStyle w:val="BodyText"/>
        <w:ind w:firstLine="259"/>
        <w:jc w:val="both"/>
      </w:pPr>
      <w:r w:rsidRPr="003D6F2A">
        <w:t xml:space="preserve">[17] T. Chen, C. Guestrin, XGBoost: A scalable tree boosting system, </w:t>
      </w:r>
      <w:r w:rsidRPr="003D6F2A">
        <w:rPr>
          <w:i/>
          <w:iCs/>
        </w:rPr>
        <w:t>Proceedings of ACM KDD</w:t>
      </w:r>
      <w:r w:rsidRPr="003D6F2A">
        <w:t xml:space="preserve"> (2016) 785–794.</w:t>
      </w:r>
    </w:p>
    <w:p w14:paraId="7DBADE7E" w14:textId="77777777" w:rsidR="00003A2E" w:rsidRPr="003D6F2A" w:rsidRDefault="008F030F">
      <w:pPr>
        <w:pStyle w:val="BodyText"/>
        <w:ind w:firstLine="259"/>
        <w:jc w:val="both"/>
      </w:pPr>
      <w:r w:rsidRPr="003D6F2A">
        <w:t xml:space="preserve">[18] L. Grinsztajn, E. Oyallon, G. Varoquaux, Why do tree-based models still outperform deep learning on typical tabular data?, </w:t>
      </w:r>
      <w:r w:rsidRPr="003D6F2A">
        <w:rPr>
          <w:i/>
          <w:iCs/>
        </w:rPr>
        <w:t>NeurIPS Datasets and Benchmarks</w:t>
      </w:r>
      <w:r w:rsidRPr="003D6F2A">
        <w:t xml:space="preserve"> (2022).</w:t>
      </w:r>
    </w:p>
    <w:p w14:paraId="04F6710D" w14:textId="77777777" w:rsidR="00003A2E" w:rsidRPr="003D6F2A" w:rsidRDefault="008F030F">
      <w:pPr>
        <w:pStyle w:val="BodyText"/>
        <w:ind w:firstLine="259"/>
        <w:jc w:val="both"/>
      </w:pPr>
      <w:r w:rsidRPr="003D6F2A">
        <w:t xml:space="preserve">[19] F. Pedregosa et al., Scikit-learn: Machine Learning in Python, </w:t>
      </w:r>
      <w:r w:rsidRPr="003D6F2A">
        <w:rPr>
          <w:i/>
          <w:iCs/>
        </w:rPr>
        <w:t>Journal of Machine Learning Research</w:t>
      </w:r>
      <w:r w:rsidRPr="003D6F2A">
        <w:t xml:space="preserve"> 12 (2011) 2825–2830.</w:t>
      </w:r>
    </w:p>
    <w:p w14:paraId="7D5BBB23" w14:textId="77777777" w:rsidR="00003A2E" w:rsidRPr="003D6F2A" w:rsidRDefault="008F030F">
      <w:pPr>
        <w:pStyle w:val="BodyText"/>
        <w:ind w:firstLine="259"/>
        <w:jc w:val="both"/>
      </w:pPr>
      <w:r w:rsidRPr="003D6F2A">
        <w:t xml:space="preserve">[20] C. Ying, A. Klein, E. Christiansen, E. Real, K. Murphy, F. Hutter, NAS-Bench-101: Towards reproducible neural architecture search, </w:t>
      </w:r>
      <w:r w:rsidRPr="003D6F2A">
        <w:rPr>
          <w:i/>
          <w:iCs/>
        </w:rPr>
        <w:t>ICML</w:t>
      </w:r>
      <w:r w:rsidRPr="003D6F2A">
        <w:t xml:space="preserve"> (2019) 7105–7114.</w:t>
      </w:r>
    </w:p>
    <w:p w14:paraId="43272F7E" w14:textId="77777777" w:rsidR="00003A2E" w:rsidRPr="003D6F2A" w:rsidRDefault="008F030F">
      <w:pPr>
        <w:pStyle w:val="BodyText"/>
        <w:ind w:firstLine="259"/>
        <w:jc w:val="both"/>
      </w:pPr>
      <w:r w:rsidRPr="003D6F2A">
        <w:t xml:space="preserve">[21] R.S. Olson, W. La Cava, P. Orzechowski, R.J. Urbanowicz, J.H. Moore, PMLB: a large benchmark suite for machine learning evaluation and comparison, </w:t>
      </w:r>
      <w:r w:rsidRPr="003D6F2A">
        <w:rPr>
          <w:i/>
          <w:iCs/>
        </w:rPr>
        <w:t>BioData Mining</w:t>
      </w:r>
      <w:r w:rsidRPr="003D6F2A">
        <w:t xml:space="preserve"> 10 (2017) 36.</w:t>
      </w:r>
    </w:p>
    <w:p w14:paraId="5155BF54" w14:textId="77777777" w:rsidR="00003A2E" w:rsidRPr="003D6F2A" w:rsidRDefault="008F030F">
      <w:pPr>
        <w:pStyle w:val="BodyText"/>
        <w:ind w:firstLine="259"/>
        <w:jc w:val="both"/>
      </w:pPr>
      <w:r w:rsidRPr="003D6F2A">
        <w:t xml:space="preserve">[22] I. Gulrajani, D. Lopez-Paz, In Search of Lost Domain Generalization, </w:t>
      </w:r>
      <w:r w:rsidRPr="003D6F2A">
        <w:rPr>
          <w:i/>
          <w:iCs/>
        </w:rPr>
        <w:t>ICLR</w:t>
      </w:r>
      <w:r w:rsidRPr="003D6F2A">
        <w:t xml:space="preserve"> (2021), arXiv:2007.01434.</w:t>
      </w:r>
    </w:p>
    <w:p w14:paraId="6199C916" w14:textId="77777777" w:rsidR="00003A2E" w:rsidRPr="003D6F2A" w:rsidRDefault="008F030F">
      <w:pPr>
        <w:pStyle w:val="BodyText"/>
        <w:ind w:firstLine="259"/>
        <w:jc w:val="both"/>
      </w:pPr>
      <w:r w:rsidRPr="003D6F2A">
        <w:lastRenderedPageBreak/>
        <w:t xml:space="preserve">[23] K. Zhou, Z. Liu, Y. Qiao, T. Xiang, C.C. Loy, Domain Generalization: A Survey, </w:t>
      </w:r>
      <w:r w:rsidRPr="003D6F2A">
        <w:rPr>
          <w:i/>
          <w:iCs/>
        </w:rPr>
        <w:t>IEEE Transactions on Pattern Analysis and Machine Intelligence</w:t>
      </w:r>
      <w:r w:rsidRPr="003D6F2A">
        <w:t xml:space="preserve"> 45(4) (2023) 4396–4415.</w:t>
      </w:r>
    </w:p>
    <w:p w14:paraId="63C44D72" w14:textId="77777777" w:rsidR="00003A2E" w:rsidRPr="003D6F2A" w:rsidRDefault="008F030F">
      <w:pPr>
        <w:pStyle w:val="BodyText"/>
        <w:ind w:firstLine="259"/>
        <w:jc w:val="both"/>
      </w:pPr>
      <w:r w:rsidRPr="003D6F2A">
        <w:t xml:space="preserve">[24] X. Bouthillier et al., Accounting for variance in machine learning benchmarks, </w:t>
      </w:r>
      <w:r w:rsidRPr="003D6F2A">
        <w:rPr>
          <w:i/>
          <w:iCs/>
        </w:rPr>
        <w:t>Proceedings of MLSys</w:t>
      </w:r>
      <w:r w:rsidRPr="003D6F2A">
        <w:t xml:space="preserve"> 3 (2021).</w:t>
      </w:r>
    </w:p>
    <w:p w14:paraId="7CDC034C" w14:textId="77777777" w:rsidR="00003A2E" w:rsidRPr="003D6F2A" w:rsidRDefault="008F030F">
      <w:pPr>
        <w:pStyle w:val="BodyText"/>
        <w:ind w:firstLine="259"/>
        <w:jc w:val="both"/>
      </w:pPr>
      <w:r w:rsidRPr="003D6F2A">
        <w:t xml:space="preserve">[25] C. Strobl, A.-L. Boulesteix, A. Zeileis, T. Hothorn, Bias in random forest variable importance measures, </w:t>
      </w:r>
      <w:r w:rsidRPr="003D6F2A">
        <w:rPr>
          <w:i/>
          <w:iCs/>
        </w:rPr>
        <w:t>BMC Bioinformatics</w:t>
      </w:r>
      <w:r w:rsidRPr="003D6F2A">
        <w:t xml:space="preserve"> 8 (2007) 25.</w:t>
      </w:r>
    </w:p>
    <w:p w14:paraId="1F77889A" w14:textId="77777777" w:rsidR="00003A2E" w:rsidRPr="003D6F2A" w:rsidRDefault="008F030F">
      <w:pPr>
        <w:pStyle w:val="BodyText"/>
        <w:ind w:firstLine="259"/>
        <w:jc w:val="both"/>
      </w:pPr>
      <w:r w:rsidRPr="003D6F2A">
        <w:t xml:space="preserve">[26] M. Dehghani, A. Arnab, L. Beyer, A. Vaswani, J. Uszkoreit, The Efficiency Misnomer, </w:t>
      </w:r>
      <w:r w:rsidRPr="003D6F2A">
        <w:rPr>
          <w:i/>
          <w:iCs/>
        </w:rPr>
        <w:t>ICLR</w:t>
      </w:r>
      <w:r w:rsidRPr="003D6F2A">
        <w:t xml:space="preserve"> (2022), arXiv:2110.12894.</w:t>
      </w:r>
    </w:p>
    <w:p w14:paraId="47C03783" w14:textId="77777777" w:rsidR="00003A2E" w:rsidRPr="003D6F2A" w:rsidRDefault="008F030F">
      <w:pPr>
        <w:pStyle w:val="BodyText"/>
        <w:ind w:firstLine="259"/>
        <w:jc w:val="both"/>
      </w:pPr>
      <w:r w:rsidRPr="003D6F2A">
        <w:t xml:space="preserve">[27] S. Williams, A. Waterman, D. Patterson, Roofline: An insightful visual performance model for multicore architectures, </w:t>
      </w:r>
      <w:r w:rsidRPr="003D6F2A">
        <w:rPr>
          <w:i/>
          <w:iCs/>
        </w:rPr>
        <w:t>Communications of the ACM</w:t>
      </w:r>
      <w:r w:rsidRPr="003D6F2A">
        <w:t xml:space="preserve"> 52(4) (2009) 65–76.</w:t>
      </w:r>
    </w:p>
    <w:p w14:paraId="341E85F1" w14:textId="77777777" w:rsidR="00003A2E" w:rsidRPr="003D6F2A" w:rsidRDefault="008F030F">
      <w:pPr>
        <w:pStyle w:val="BodyText"/>
        <w:ind w:firstLine="259"/>
        <w:jc w:val="both"/>
      </w:pPr>
      <w:r w:rsidRPr="003D6F2A">
        <w:t xml:space="preserve">[28] S. Hong, H. Kim, An integrated GPU power and performance model, </w:t>
      </w:r>
      <w:r w:rsidRPr="003D6F2A">
        <w:rPr>
          <w:i/>
          <w:iCs/>
        </w:rPr>
        <w:t>ACM SIGARCH Computer Architecture News</w:t>
      </w:r>
      <w:r w:rsidRPr="003D6F2A">
        <w:t xml:space="preserve"> 38(3) (2010) 280–289.</w:t>
      </w:r>
    </w:p>
    <w:p w14:paraId="120530DE" w14:textId="77777777" w:rsidR="00003A2E" w:rsidRPr="003D6F2A" w:rsidRDefault="008F030F">
      <w:pPr>
        <w:pStyle w:val="BodyText"/>
        <w:ind w:firstLine="259"/>
        <w:jc w:val="both"/>
      </w:pPr>
      <w:r w:rsidRPr="003D6F2A">
        <w:t>[29] A. Lacoste, A. Luccioni, V. Schmidt, T. Dandres, Quantifying the Carbon Emissions of Machine Learning, arXiv:1910.09700 (2019).</w:t>
      </w:r>
    </w:p>
    <w:p w14:paraId="6C305E9B" w14:textId="77777777" w:rsidR="00003A2E" w:rsidRPr="003D6F2A" w:rsidRDefault="008F030F">
      <w:pPr>
        <w:pStyle w:val="BodyText"/>
        <w:ind w:firstLine="259"/>
        <w:jc w:val="both"/>
      </w:pPr>
      <w:r w:rsidRPr="003D6F2A">
        <w:t xml:space="preserve">[30] R. Desislavov, F. Martínez-Plumed, J. Hernández-Orallo, Trends in AI inference energy consumption: Beyond the performance-vs-parameter laws of deep learning, </w:t>
      </w:r>
      <w:r w:rsidRPr="003D6F2A">
        <w:rPr>
          <w:i/>
          <w:iCs/>
        </w:rPr>
        <w:t>Sustainable Computing: Informatics and Systems</w:t>
      </w:r>
      <w:r w:rsidRPr="003D6F2A">
        <w:t xml:space="preserve"> 38 (2023) 100857.</w:t>
      </w:r>
    </w:p>
    <w:p w14:paraId="16AA55B9" w14:textId="77777777" w:rsidR="00003A2E" w:rsidRPr="003D6F2A" w:rsidRDefault="008F030F">
      <w:pPr>
        <w:pStyle w:val="BodyText"/>
        <w:ind w:firstLine="259"/>
        <w:jc w:val="both"/>
      </w:pPr>
      <w:r w:rsidRPr="003D6F2A">
        <w:t>[31] C. Li, A. Tsourdos, W. Guo, A transistor operations model for deep learning energy consumption scaling law, arXiv:2205.15062 (2022).</w:t>
      </w:r>
    </w:p>
    <w:p w14:paraId="1FA765F6" w14:textId="77777777" w:rsidR="00003A2E" w:rsidRPr="003D6F2A" w:rsidRDefault="008F030F">
      <w:pPr>
        <w:pStyle w:val="BodyText"/>
        <w:ind w:firstLine="259"/>
        <w:jc w:val="both"/>
      </w:pPr>
      <w:r w:rsidRPr="003D6F2A">
        <w:t xml:space="preserve">[32] C. Lyu, M. Nourazar, B. Goossens, Predicting inference time and energy consumption in deep learning using MLPs, </w:t>
      </w:r>
      <w:r w:rsidRPr="003D6F2A">
        <w:rPr>
          <w:i/>
          <w:iCs/>
        </w:rPr>
        <w:t>IEEE ISPA</w:t>
      </w:r>
      <w:r w:rsidRPr="003D6F2A">
        <w:t xml:space="preserve"> (2024) 990–996.</w:t>
      </w:r>
    </w:p>
    <w:p w14:paraId="73FF5A57" w14:textId="77777777" w:rsidR="00003A2E" w:rsidRPr="003D6F2A" w:rsidRDefault="008F030F">
      <w:pPr>
        <w:pStyle w:val="BodyText"/>
        <w:ind w:firstLine="259"/>
        <w:jc w:val="both"/>
      </w:pPr>
      <w:r w:rsidRPr="003D6F2A">
        <w:t>[33] A. Oliveira-Filho et al., Phoeni6: A systematic approach for evaluating the energy consumption of neural networks, arXiv:2502.17734 (2025).</w:t>
      </w:r>
    </w:p>
    <w:p w14:paraId="2639C2DA" w14:textId="77777777" w:rsidR="00003A2E" w:rsidRPr="003D6F2A" w:rsidRDefault="008F030F">
      <w:pPr>
        <w:pStyle w:val="BodyText"/>
        <w:ind w:firstLine="259"/>
        <w:jc w:val="both"/>
      </w:pPr>
      <w:r w:rsidRPr="003D6F2A">
        <w:t xml:space="preserve">[34] S. Kaufman, S. Rosset, C. Perlich, O. Stitelman, Leakage in data mining: formulation, detection, and avoidance, </w:t>
      </w:r>
      <w:r w:rsidRPr="003D6F2A">
        <w:rPr>
          <w:i/>
          <w:iCs/>
        </w:rPr>
        <w:t>ACM Transactions on Knowledge Discovery from Data</w:t>
      </w:r>
      <w:r w:rsidRPr="003D6F2A">
        <w:t xml:space="preserve"> 6(4) (2012), Article 15.</w:t>
      </w:r>
    </w:p>
    <w:p w14:paraId="10F4F9CB" w14:textId="77777777" w:rsidR="00003A2E" w:rsidRPr="003D6F2A" w:rsidRDefault="008F030F">
      <w:pPr>
        <w:pStyle w:val="BodyText"/>
        <w:ind w:firstLine="259"/>
        <w:jc w:val="both"/>
      </w:pPr>
      <w:r w:rsidRPr="003D6F2A">
        <w:t xml:space="preserve">[35] M.G. Kendall, A new measure of rank correlation, </w:t>
      </w:r>
      <w:r w:rsidRPr="003D6F2A">
        <w:rPr>
          <w:i/>
          <w:iCs/>
        </w:rPr>
        <w:t>Biometrika</w:t>
      </w:r>
      <w:r w:rsidRPr="003D6F2A">
        <w:t xml:space="preserve"> 30(1/2) (1938) 81–93.</w:t>
      </w:r>
      <w:bookmarkEnd w:id="37"/>
    </w:p>
    <w:sectPr w:rsidR="00003A2E" w:rsidRPr="003D6F2A" w:rsidSect="00C16FAC">
      <w:footerReference w:type="default" r:id="rId16"/>
      <w:pgSz w:w="12240" w:h="15840"/>
      <w:pgMar w:top="1037" w:right="1152" w:bottom="1037" w:left="1152"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87C77" w14:textId="77777777" w:rsidR="00DF0D32" w:rsidRDefault="00DF0D32">
      <w:pPr>
        <w:spacing w:after="0" w:line="240" w:lineRule="auto"/>
      </w:pPr>
      <w:r>
        <w:separator/>
      </w:r>
    </w:p>
  </w:endnote>
  <w:endnote w:type="continuationSeparator" w:id="0">
    <w:p w14:paraId="764544DB" w14:textId="77777777" w:rsidR="00DF0D32" w:rsidRDefault="00DF0D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B894E" w14:textId="77777777" w:rsidR="00003A2E" w:rsidRDefault="008F030F">
    <w:pPr>
      <w:pStyle w:val="Footer"/>
      <w:jc w:val="center"/>
    </w:pPr>
    <w:r>
      <w:rPr>
        <w:sz w:val="18"/>
      </w:rPr>
      <w:fldChar w:fldCharType="begin"/>
    </w:r>
    <w:r>
      <w:rPr>
        <w:sz w:val="18"/>
      </w:rPr>
      <w:instrText xml:space="preserve"> PAGE </w:instrText>
    </w:r>
    <w:r>
      <w:rPr>
        <w:sz w:val="18"/>
      </w:rPr>
      <w:fldChar w:fldCharType="separate"/>
    </w:r>
    <w:r w:rsidR="004D0A4B">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4E81B" w14:textId="77777777" w:rsidR="00DF0D32" w:rsidRDefault="00DF0D32">
      <w:r>
        <w:separator/>
      </w:r>
    </w:p>
  </w:footnote>
  <w:footnote w:type="continuationSeparator" w:id="0">
    <w:p w14:paraId="7324844E" w14:textId="77777777" w:rsidR="00DF0D32" w:rsidRDefault="00DF0D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D59C60C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00A991"/>
    <w:multiLevelType w:val="multilevel"/>
    <w:tmpl w:val="9124B7F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1" w15:restartNumberingAfterBreak="0">
    <w:nsid w:val="00A99531"/>
    <w:multiLevelType w:val="multilevel"/>
    <w:tmpl w:val="8E1C3398"/>
    <w:lvl w:ilvl="0">
      <w:start w:val="1"/>
      <w:numFmt w:val="lowerRoman"/>
      <w:lvlText w:val="(%1)"/>
      <w:lvlJc w:val="left"/>
      <w:pPr>
        <w:ind w:left="0" w:hanging="480"/>
      </w:pPr>
    </w:lvl>
    <w:lvl w:ilvl="1">
      <w:start w:val="1"/>
      <w:numFmt w:val="lowerRoman"/>
      <w:lvlText w:val="(%2)"/>
      <w:lvlJc w:val="left"/>
      <w:pPr>
        <w:ind w:left="720" w:hanging="480"/>
      </w:pPr>
    </w:lvl>
    <w:lvl w:ilvl="2">
      <w:start w:val="1"/>
      <w:numFmt w:val="lowerRoman"/>
      <w:lvlText w:val="(%3)"/>
      <w:lvlJc w:val="left"/>
      <w:pPr>
        <w:ind w:left="1440" w:hanging="480"/>
      </w:pPr>
    </w:lvl>
    <w:lvl w:ilvl="3">
      <w:start w:val="1"/>
      <w:numFmt w:val="lowerRoman"/>
      <w:lvlText w:val="(%4)"/>
      <w:lvlJc w:val="left"/>
      <w:pPr>
        <w:ind w:left="2160" w:hanging="480"/>
      </w:pPr>
    </w:lvl>
    <w:lvl w:ilvl="4">
      <w:start w:val="1"/>
      <w:numFmt w:val="lowerRoman"/>
      <w:lvlText w:val="(%5)"/>
      <w:lvlJc w:val="left"/>
      <w:pPr>
        <w:ind w:left="2880" w:hanging="480"/>
      </w:pPr>
    </w:lvl>
    <w:lvl w:ilvl="5">
      <w:start w:val="1"/>
      <w:numFmt w:val="lowerRoman"/>
      <w:lvlText w:val="(%6)"/>
      <w:lvlJc w:val="left"/>
      <w:pPr>
        <w:ind w:left="3600" w:hanging="480"/>
      </w:pPr>
    </w:lvl>
    <w:lvl w:ilvl="6">
      <w:start w:val="1"/>
      <w:numFmt w:val="lowerRoman"/>
      <w:lvlText w:val="(%7)"/>
      <w:lvlJc w:val="left"/>
      <w:pPr>
        <w:ind w:left="4320" w:hanging="480"/>
      </w:pPr>
    </w:lvl>
    <w:lvl w:ilvl="7">
      <w:start w:val="1"/>
      <w:numFmt w:val="lowerRoman"/>
      <w:lvlText w:val="(%8)"/>
      <w:lvlJc w:val="left"/>
      <w:pPr>
        <w:ind w:left="5040" w:hanging="480"/>
      </w:pPr>
    </w:lvl>
    <w:lvl w:ilvl="8">
      <w:start w:val="1"/>
      <w:numFmt w:val="lowerRoman"/>
      <w:lvlText w:val="(%9)"/>
      <w:lvlJc w:val="left"/>
      <w:pPr>
        <w:ind w:left="5760" w:hanging="480"/>
      </w:pPr>
    </w:lvl>
  </w:abstractNum>
  <w:abstractNum w:abstractNumId="12" w15:restartNumberingAfterBreak="0">
    <w:nsid w:val="43066C91"/>
    <w:multiLevelType w:val="multilevel"/>
    <w:tmpl w:val="910C0BA6"/>
    <w:lvl w:ilvl="0">
      <w:start w:val="1"/>
      <w:numFmt w:val="lowerRoman"/>
      <w:lvlText w:val="%1."/>
      <w:lvlJc w:val="right"/>
      <w:pPr>
        <w:ind w:left="960" w:hanging="360"/>
      </w:pPr>
    </w:lvl>
    <w:lvl w:ilvl="1">
      <w:numFmt w:val="bullet"/>
      <w:lvlText w:val="–"/>
      <w:lvlJc w:val="left"/>
      <w:pPr>
        <w:ind w:left="1800" w:hanging="480"/>
      </w:pPr>
    </w:lvl>
    <w:lvl w:ilvl="2">
      <w:numFmt w:val="bullet"/>
      <w:lvlText w:val="•"/>
      <w:lvlJc w:val="left"/>
      <w:pPr>
        <w:ind w:left="2520" w:hanging="480"/>
      </w:pPr>
    </w:lvl>
    <w:lvl w:ilvl="3">
      <w:numFmt w:val="bullet"/>
      <w:lvlText w:val="–"/>
      <w:lvlJc w:val="left"/>
      <w:pPr>
        <w:ind w:left="3240" w:hanging="480"/>
      </w:pPr>
    </w:lvl>
    <w:lvl w:ilvl="4">
      <w:numFmt w:val="bullet"/>
      <w:lvlText w:val="•"/>
      <w:lvlJc w:val="left"/>
      <w:pPr>
        <w:ind w:left="3960" w:hanging="480"/>
      </w:pPr>
    </w:lvl>
    <w:lvl w:ilvl="5">
      <w:numFmt w:val="bullet"/>
      <w:lvlText w:val="–"/>
      <w:lvlJc w:val="left"/>
      <w:pPr>
        <w:ind w:left="4680" w:hanging="480"/>
      </w:pPr>
    </w:lvl>
    <w:lvl w:ilvl="6">
      <w:numFmt w:val="bullet"/>
      <w:lvlText w:val="•"/>
      <w:lvlJc w:val="left"/>
      <w:pPr>
        <w:ind w:left="5400" w:hanging="480"/>
      </w:pPr>
    </w:lvl>
    <w:lvl w:ilvl="7">
      <w:numFmt w:val="bullet"/>
      <w:lvlText w:val="–"/>
      <w:lvlJc w:val="left"/>
      <w:pPr>
        <w:ind w:left="6120" w:hanging="480"/>
      </w:pPr>
    </w:lvl>
    <w:lvl w:ilvl="8">
      <w:numFmt w:val="bullet"/>
      <w:lvlText w:val="•"/>
      <w:lvlJc w:val="left"/>
      <w:pPr>
        <w:ind w:left="6840" w:hanging="480"/>
      </w:pPr>
    </w:lvl>
  </w:abstractNum>
  <w:num w:numId="1" w16cid:durableId="564461875">
    <w:abstractNumId w:val="8"/>
  </w:num>
  <w:num w:numId="2" w16cid:durableId="1326976614">
    <w:abstractNumId w:val="6"/>
  </w:num>
  <w:num w:numId="3" w16cid:durableId="1817917869">
    <w:abstractNumId w:val="5"/>
  </w:num>
  <w:num w:numId="4" w16cid:durableId="1115715601">
    <w:abstractNumId w:val="4"/>
  </w:num>
  <w:num w:numId="5" w16cid:durableId="1007560157">
    <w:abstractNumId w:val="7"/>
  </w:num>
  <w:num w:numId="6" w16cid:durableId="1366709158">
    <w:abstractNumId w:val="3"/>
  </w:num>
  <w:num w:numId="7" w16cid:durableId="1264454513">
    <w:abstractNumId w:val="2"/>
  </w:num>
  <w:num w:numId="8" w16cid:durableId="852886571">
    <w:abstractNumId w:val="1"/>
  </w:num>
  <w:num w:numId="9" w16cid:durableId="882058957">
    <w:abstractNumId w:val="0"/>
  </w:num>
  <w:num w:numId="10" w16cid:durableId="672493594">
    <w:abstractNumId w:val="9"/>
  </w:num>
  <w:num w:numId="11" w16cid:durableId="47607872">
    <w:abstractNumId w:val="10"/>
  </w:num>
  <w:num w:numId="12" w16cid:durableId="19269195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23776274">
    <w:abstractNumId w:val="10"/>
  </w:num>
  <w:num w:numId="14" w16cid:durableId="124645796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A2E"/>
    <w:rsid w:val="00034616"/>
    <w:rsid w:val="000501A6"/>
    <w:rsid w:val="0006063C"/>
    <w:rsid w:val="000A31FB"/>
    <w:rsid w:val="0015074B"/>
    <w:rsid w:val="001C110D"/>
    <w:rsid w:val="0020617F"/>
    <w:rsid w:val="0029639D"/>
    <w:rsid w:val="002A2380"/>
    <w:rsid w:val="002D37CE"/>
    <w:rsid w:val="00326F90"/>
    <w:rsid w:val="0033247F"/>
    <w:rsid w:val="00352F65"/>
    <w:rsid w:val="00387ADB"/>
    <w:rsid w:val="003D6F2A"/>
    <w:rsid w:val="00451E79"/>
    <w:rsid w:val="00455DFF"/>
    <w:rsid w:val="00474FBF"/>
    <w:rsid w:val="004D0A4B"/>
    <w:rsid w:val="004E64F7"/>
    <w:rsid w:val="005739AB"/>
    <w:rsid w:val="005A4DFA"/>
    <w:rsid w:val="0068349A"/>
    <w:rsid w:val="006A1731"/>
    <w:rsid w:val="006F7072"/>
    <w:rsid w:val="007F7DD8"/>
    <w:rsid w:val="008065A0"/>
    <w:rsid w:val="00834F45"/>
    <w:rsid w:val="008B53C4"/>
    <w:rsid w:val="008B58D1"/>
    <w:rsid w:val="008C7A74"/>
    <w:rsid w:val="008F030F"/>
    <w:rsid w:val="00933C2E"/>
    <w:rsid w:val="00AA1D8D"/>
    <w:rsid w:val="00AD497A"/>
    <w:rsid w:val="00AE6F0E"/>
    <w:rsid w:val="00B47730"/>
    <w:rsid w:val="00C051B8"/>
    <w:rsid w:val="00C16FAC"/>
    <w:rsid w:val="00C5760B"/>
    <w:rsid w:val="00C63CBB"/>
    <w:rsid w:val="00CB0664"/>
    <w:rsid w:val="00CD299B"/>
    <w:rsid w:val="00D16886"/>
    <w:rsid w:val="00D44ABD"/>
    <w:rsid w:val="00D91ACE"/>
    <w:rsid w:val="00DA2078"/>
    <w:rsid w:val="00DC0AC6"/>
    <w:rsid w:val="00DF0D32"/>
    <w:rsid w:val="00E06632"/>
    <w:rsid w:val="00E45D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F1926F"/>
  <w15:docId w15:val="{7E1E20B2-AB2E-43F5-913F-6AFF05587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styleId="PlaceholderText">
    <w:name w:val="Placeholder Text"/>
    <w:basedOn w:val="DefaultParagraphFont"/>
    <w:uiPriority w:val="99"/>
    <w:semiHidden/>
    <w:rsid w:val="004D0A4B"/>
    <w:rPr>
      <w:color w:val="666666"/>
    </w:rPr>
  </w:style>
  <w:style w:type="character" w:styleId="LineNumber">
    <w:name w:val="line number"/>
    <w:basedOn w:val="DefaultParagraphFont"/>
    <w:uiPriority w:val="99"/>
    <w:semiHidden/>
    <w:unhideWhenUsed/>
    <w:rsid w:val="00C16F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50E2272-2892-3344-9BFE-2B6340134BB4}">
  <we:reference id="WA200001361" version="2.129.3.0" store="Omex" storeType="OMEX"/>
  <we:alternateReferences>
    <we:reference id="WA200001361" version="2.129.3.0" store="WA200001361" storeType="OMEX"/>
  </we:alternateReferences>
  <we:properties>
    <we:property name="paperpal-document-id" value="&quot;9d14a2cb-c6ae-453c-84d9-e1b8466867a8&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1405</TotalTime>
  <Pages>1</Pages>
  <Words>8935</Words>
  <Characters>50930</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CAL-ENERGY: Calibration- and Domain-Aware A Priori Prediction of Neural Network Training Energy</vt:lpstr>
    </vt:vector>
  </TitlesOfParts>
  <Manager/>
  <Company/>
  <LinksUpToDate>false</LinksUpToDate>
  <CharactersWithSpaces>59746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CAL-ENERGY: Calibration- and Domain-Aware A Priori Prediction of Neural Network Training Energy</dc:title>
  <dc:subject>Journal manuscript for Sustainable Computing: Informatics and Systems</dc:subject>
  <dc:creator>Vanessa Atta-Fynn; Kofi Sarpong Adu-Manu</dc:creator>
  <cp:keywords>training-energy prediction; sustainable computing; Green AI; domain generalization; neural architecture search; energy-aware scheduling</cp:keywords>
  <dc:description/>
  <cp:lastModifiedBy>Vanessa Atta-Fynn</cp:lastModifiedBy>
  <cp:revision>2</cp:revision>
  <dcterms:created xsi:type="dcterms:W3CDTF">2026-09-21T20:15:00Z</dcterms:created>
  <dcterms:modified xsi:type="dcterms:W3CDTF">2026-10-05T09:29:00Z</dcterms:modified>
</cp:coreProperties>
</file>