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from neural-architecture-search surrogates to analytical power laws, demonstrate the utility of pre-execution estimates, but their targets, architecture scopes, measurement instruments, and evaluation settings differ substantially, and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gradient-boosted regression (XGBoost), grouped data splitting, direct-versus-decomposed output modelling, and explicit tests of architecture- and hardware-domain shift. CAL-GATE complements the predictor by assessing whether a candidate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directly measured four-epoch energy labels. Within-family prediction achieves Kendall’s τ of 0.932 and 0.851, with MAPE of 9.6% and 5.9%, for BUTTER-E and EC-NAS, respectively. Dataset descriptors are critical for BUTTER-E, whereas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pilot recalibration does not repair shifts caused by missing workload descriptors. The study therefore contributes a reproducible framework for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[5,8,9,11,13].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[6,7,36,37] to analytical power laws [31,38,40] and node-load regression [41]. EC-NAS augments NAS-Bench-101 [20] with measured energy data and a surrogate model so that search procedures can evaluate energy-performance trade-offs without exhaustively training every candidate [6]. Gratia et al. embed a random-forest carbon predictor in a genetic architecture search [7], del Rey et al. regress energy on architecture and GPU specifications with kernel ridge regression [36], and Mayaki and Charpenay fit per-operation power laws for Transformer, LSTM, and GRU training [38]. Liao et al. use pre-execution task metadata and symbolic regression to estimate GPU training power-curve components across ResNet, VGG, MobileNet, ViT, and BERT workloads [9]. Collectively, these studies establish the value of prediction for sustainable computing, while also showing that the predicted quantity varies across total energy, per-epoch energy, carbon, and power-curve components [6,7,9,36,38].</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[6,7,36,37,40], several refit the predictor for each new device [31,38,42], and Liao et al. are, to our knowledge, the only authors to test transfer to a different architecture family [9]; as of October 2026, we are not aware of an a priori training-energy predictor evaluated on unseen hardware without target-device data. That cross-family test reported peak-phase energy error rising from 3.76% for ResNet-50 to 21.95% for ViT and 20.84% for BERT [9].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[36]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the ML Emissions Calculator estimates carbon from hardware type, runtime, and location [29], whereas Zeus combines measurement with adaptive control of recurring DNN jobs [11].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[39]. Published a priori training-energy predictors take their labels mainly from software estimators [6,37,38] or GPU power interfaces [9,36]; node-level power is used in BUTTER-E [14] and by Newkirk et al. [41],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optimisation-oriented systems should be distinguished from stand-alone a priori prediction. EC-NAS and Gratia et al. use energy estimates to search for low-energy architectures [6,7]; Zeus adapts recurring jobs using measurements obtained during execution [11]; and He et al. combine offline prediction with online correction for GPU/workload configuration selection, which requires one epoch of the target job at default settings [8]. CAL-ENERGY addresses the preceding estimation stage: it produces a pre-execution estimate of total training energy together with an applicability status that can subsequently inform optimisation,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[6], Gratia et al. a random forest for training carbon [7], del Rey et al. kernel ridge regression over architecture and GPU specifications [36], and Betello et al. a transformer predictor of cumulative per-epoch energy across three GPUs [37]. Analytical and semi-empirical models derive energy from counted work with few fitted coefficients: per-operation power laws [38], a roofline-style law over FLOPs and memory traffic [40], transistor-operation counts [31], and the cache-aware linear model of Tripp et al., which shows that energy per FLOP changes as the working set moves across cache levels [14]. Newkirk et al. regress H100 node power on effective FLOPs per node [41]. Inference-energy predictors fall outside this scope but inform representation design: NeuralPower models layer-level power and latency and recomposes inference energy [12], and SDEnergy combines graph-based network encoding with device features and reports 5.35% MAPE for inference energy [13].</w:t>
      </w:r>
    </w:p>
    <w:p w14:paraId="53280AF8" w14:textId="3C6BCCAD" w:rsidR="00003A2E" w:rsidRPr="003D6F2A" w:rsidRDefault="00000000">
      <w:pPr>
        <w:pStyle w:val="BodyText"/>
        <w:ind w:firstLine="259"/>
        <w:jc w:val="both"/>
      </w:pPr>
      <w:r>
        <w:t>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They report mean relative errors of 2.67% for valley energy, 8.42% for valley duration, 5.16% for peak power, and 3.64% for peak duration, with a supplementary RTX 2080 Ti evaluation (2.12% MRE for valley energy) for which refitting is not stated [9]. In their source-to-target test, a model fitted on ResNet-50 predicts ResNet-50 valley-phase energy with 2.63% MRE, rising to 7.65–7.80% for other ResNets and to 9.88% and 9.66% for ViT and BERT, while peak-phase energy error rises from 3.76% to 21.95% and 20.84% [9].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[7], whereas He et al. use KNN-XGBoost prediction followed by lightweight online search to refine GPU configurations after one epoch of the target job [8]. The predictor of Gratia et al. is a priori; that of He et al. depends on telemetry from the target run and is therefore treated here as an adjacent method rather than an a priori comparator [8]. Table 1 compares the methods by target, representation, hardware, ground truth, and evaluation setting, separating a priori training-energy predictors from adjacent methods, while Fig. 2 summarises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[6]</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[7]</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[36]</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[37]</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[38]</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[9]</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[41]</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[14]</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[13]</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[8]</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3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[6]</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[36]</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[37]</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[41]</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[14]</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[13]</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[8]</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[6];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3.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3.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[9], and we are not aware of an a priori predictor evaluated on unseen hardware without target-device data, least of all when training budgets and measurement instruments also change [6,7,13,31,36–38].</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optimisation, but it can also support scheduling and compute-budgeting decisions when no optimisation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1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1. CAL-ENERGY workflow from pre-execution metadata to applicability-aware energy predi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1. CAL-ENERGY workflow from pre-execution metadata to applicability-aware energy prediction. </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[21], but the smallest, 505_tecator, was used by its authors to estimate per-run setup and tear-down overheads and has no standardized energy records [14]; it therefore contributes 37,055 MLP training runs on 12 datasets, with node-level power read from the HPE Integrated Lights-Out (iLO) management chip at 1-minute intervals and integrated over each run [14]. EC-NAS contributes 2,532 unique CNN architectures with training energy measured by Carbontracker over four epochs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Model selection is performed before the main experiments by comparing linear regression, Random Forest, XGBoost, and a feed-forward neural network within each benchmark family, using that family’s final feature set and grouped splits (Section 3.6). XGBoost is retained because it achieves the lowest MAPE and the highest R² and Kendall’s τ in both families and has the shortest fitting time among the nonlinear candidates. The implementation uses XGBRegressor with 300 trees, a maximum depth of 6, and a learning rate of 0.1, with all other hyperparameters at their library defaults and no tuning [17].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[34].</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[17].</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Xₜᵣₐᵢₙ, applicability threshold δ, known family/hardware labels, and an optional labelled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b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[6]. Model selection compares linear regression on the full feature set, Random Forest [16], XGBoost [17],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[18].</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large-sample intervals for τ,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[6];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[14]. The proxy used here largely re-encodes network size (Table 8), whereas the effect reported by Tripp et al. depends on working-set size relative to each cache level of the specific CPU or GPU and was established by in-sample fit [14]; the negative result therefore applies to this proxy, not to memory effects in general. In contrast, adding dataset descriptors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two intervals for each family: the large-sample interval for τ at the 80/20 test sizes, and the cluster-bootstrap interval obtained by resampling test groups. The bootstrap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large-sample and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700"/>
        <w:gridCol w:w="1700"/>
        <w:gridCol w:w="2150"/>
        <w:gridCol w:w="2150"/>
        <w:gridCol w:w="2150"/>
      </w:tblGrid>
      <w:tr>
        <w:trPr>
          <w:cantSplit/>
          <w:tblHeader/>
          <w:jc w:val="center"/>
        </w:trPr>
        <w:tc>
          <w:tcPr>
            <w:tcW w:w="1700" w:type="dxa"/>
            <w:tcMar>
              <w:top w:w="70" w:type="dxa"/>
              <w:left w:w="70" w:type="dxa"/>
              <w:bottom w:w="70" w:type="dxa"/>
              <w:right w:w="70" w:type="dxa"/>
            </w:tcMar>
            <w:vAlign w:val="center"/>
          </w:tcPr>
          <w:p>
            <w:pPr>
              <w:spacing w:after="0" w:line="240" w:lineRule="auto"/>
            </w:pPr>
            <w:r>
              <w:rPr>
                <w:b/>
                <w:sz w:val="16"/>
              </w:rPr>
              <w:t xml:space="preserve">Family</w:t>
            </w:r>
          </w:p>
        </w:tc>
        <w:tc>
          <w:tcPr>
            <w:tcW w:w="1700" w:type="dxa"/>
            <w:tcMar>
              <w:top w:w="70" w:type="dxa"/>
              <w:left w:w="70" w:type="dxa"/>
              <w:bottom w:w="70" w:type="dxa"/>
              <w:right w:w="70" w:type="dxa"/>
            </w:tcMar>
            <w:vAlign w:val="center"/>
          </w:tcPr>
          <w:p>
            <w:pPr>
              <w:spacing w:after="0" w:line="240" w:lineRule="auto"/>
            </w:pPr>
            <w:r>
              <w:rPr>
                <w:b/>
                <w:sz w:val="16"/>
              </w:rPr>
              <w:t xml:space="preserve">CAL-ENERGY τ</w:t>
            </w:r>
          </w:p>
        </w:tc>
        <w:tc>
          <w:tcPr>
            <w:tcW w:w="2150" w:type="dxa"/>
            <w:tcMar>
              <w:top w:w="70" w:type="dxa"/>
              <w:left w:w="70" w:type="dxa"/>
              <w:bottom w:w="70" w:type="dxa"/>
              <w:right w:w="70" w:type="dxa"/>
            </w:tcMar>
            <w:vAlign w:val="center"/>
          </w:tcPr>
          <w:p>
            <w:pPr>
              <w:spacing w:after="0" w:line="240" w:lineRule="auto"/>
            </w:pPr>
            <w:r>
              <w:rPr>
                <w:b/>
                <w:sz w:val="16"/>
              </w:rPr>
              <w:t xml:space="preserve">Large-sample 95% CI (τ)</w:t>
            </w:r>
          </w:p>
        </w:tc>
        <w:tc>
          <w:tcPr>
            <w:tcW w:w="21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1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700" w:type="dxa"/>
            <w:tcMar>
              <w:top w:w="70" w:type="dxa"/>
              <w:left w:w="70" w:type="dxa"/>
              <w:bottom w:w="70" w:type="dxa"/>
              <w:right w:w="70" w:type="dxa"/>
            </w:tcMar>
            <w:vAlign w:val="center"/>
          </w:tcPr>
          <w:p>
            <w:pPr>
              <w:spacing w:after="0" w:line="240" w:lineRule="auto"/>
            </w:pPr>
            <w:r>
              <w:rPr>
                <w:sz w:val="16"/>
              </w:rPr>
              <w:t xml:space="preserve">BUTTER-E</w:t>
            </w:r>
          </w:p>
        </w:tc>
        <w:tc>
          <w:tcPr>
            <w:tcW w:w="1700" w:type="dxa"/>
            <w:tcMar>
              <w:top w:w="70" w:type="dxa"/>
              <w:left w:w="70" w:type="dxa"/>
              <w:bottom w:w="70" w:type="dxa"/>
              <w:right w:w="70" w:type="dxa"/>
            </w:tcMar>
            <w:vAlign w:val="center"/>
          </w:tcPr>
          <w:p>
            <w:pPr>
              <w:spacing w:after="0" w:line="240" w:lineRule="auto"/>
            </w:pPr>
            <w:r>
              <w:rPr>
                <w:sz w:val="16"/>
              </w:rPr>
              <w:t xml:space="preserve">0.932</w:t>
            </w:r>
          </w:p>
        </w:tc>
        <w:tc>
          <w:tcPr>
            <w:tcW w:w="2150" w:type="dxa"/>
            <w:tcMar>
              <w:top w:w="70" w:type="dxa"/>
              <w:left w:w="70" w:type="dxa"/>
              <w:bottom w:w="70" w:type="dxa"/>
              <w:right w:w="70" w:type="dxa"/>
            </w:tcMar>
            <w:vAlign w:val="center"/>
          </w:tcPr>
          <w:p>
            <w:pPr>
              <w:spacing w:after="0" w:line="240" w:lineRule="auto"/>
            </w:pPr>
            <w:r>
              <w:rPr>
                <w:sz w:val="16"/>
              </w:rPr>
              <w:t xml:space="preserve">0.917–0.948</w:t>
            </w:r>
          </w:p>
        </w:tc>
        <w:tc>
          <w:tcPr>
            <w:tcW w:w="2150" w:type="dxa"/>
            <w:tcMar>
              <w:top w:w="70" w:type="dxa"/>
              <w:left w:w="70" w:type="dxa"/>
              <w:bottom w:w="70" w:type="dxa"/>
              <w:right w:w="70" w:type="dxa"/>
            </w:tcMar>
            <w:vAlign w:val="center"/>
          </w:tcPr>
          <w:p>
            <w:pPr>
              <w:spacing w:after="0" w:line="240" w:lineRule="auto"/>
            </w:pPr>
            <w:r>
              <w:rPr>
                <w:sz w:val="16"/>
              </w:rPr>
              <w:t xml:space="preserve">0.928–0.937</w:t>
            </w:r>
          </w:p>
        </w:tc>
        <w:tc>
          <w:tcPr>
            <w:tcW w:w="21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700" w:type="dxa"/>
            <w:tcMar>
              <w:top w:w="70" w:type="dxa"/>
              <w:left w:w="70" w:type="dxa"/>
              <w:bottom w:w="70" w:type="dxa"/>
              <w:right w:w="70" w:type="dxa"/>
            </w:tcMar>
            <w:vAlign w:val="center"/>
          </w:tcPr>
          <w:p>
            <w:pPr>
              <w:spacing w:after="0" w:line="240" w:lineRule="auto"/>
            </w:pPr>
            <w:r>
              <w:rPr>
                <w:sz w:val="16"/>
              </w:rPr>
              <w:t xml:space="preserve">EC-NAS</w:t>
            </w:r>
          </w:p>
        </w:tc>
        <w:tc>
          <w:tcPr>
            <w:tcW w:w="1700" w:type="dxa"/>
            <w:tcMar>
              <w:top w:w="70" w:type="dxa"/>
              <w:left w:w="70" w:type="dxa"/>
              <w:bottom w:w="70" w:type="dxa"/>
              <w:right w:w="70" w:type="dxa"/>
            </w:tcMar>
            <w:vAlign w:val="center"/>
          </w:tcPr>
          <w:p>
            <w:pPr>
              <w:spacing w:after="0" w:line="240" w:lineRule="auto"/>
            </w:pPr>
            <w:r>
              <w:rPr>
                <w:sz w:val="16"/>
              </w:rPr>
              <w:t xml:space="preserve">0.851</w:t>
            </w:r>
          </w:p>
        </w:tc>
        <w:tc>
          <w:tcPr>
            <w:tcW w:w="2150" w:type="dxa"/>
            <w:tcMar>
              <w:top w:w="70" w:type="dxa"/>
              <w:left w:w="70" w:type="dxa"/>
              <w:bottom w:w="70" w:type="dxa"/>
              <w:right w:w="70" w:type="dxa"/>
            </w:tcMar>
            <w:vAlign w:val="center"/>
          </w:tcPr>
          <w:p>
            <w:pPr>
              <w:spacing w:after="0" w:line="240" w:lineRule="auto"/>
            </w:pPr>
            <w:r>
              <w:rPr>
                <w:sz w:val="16"/>
              </w:rPr>
              <w:t xml:space="preserve">0.793–0.909</w:t>
            </w:r>
          </w:p>
        </w:tc>
        <w:tc>
          <w:tcPr>
            <w:tcW w:w="2150" w:type="dxa"/>
            <w:tcMar>
              <w:top w:w="70" w:type="dxa"/>
              <w:left w:w="70" w:type="dxa"/>
              <w:bottom w:w="70" w:type="dxa"/>
              <w:right w:w="70" w:type="dxa"/>
            </w:tcMar>
            <w:vAlign w:val="center"/>
          </w:tcPr>
          <w:p>
            <w:pPr>
              <w:spacing w:after="0" w:line="240" w:lineRule="auto"/>
            </w:pPr>
            <w:r>
              <w:rPr>
                <w:sz w:val="16"/>
              </w:rPr>
              <w:t xml:space="preserve">0.832–0.867</w:t>
            </w:r>
          </w:p>
        </w:tc>
        <w:tc>
          <w:tcPr>
            <w:tcW w:w="21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[24],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[22,23],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0.867) despite poor absolute fit (R² = −3.743), RTX 3090 is weaker on both criteria,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[27,28]. Existing multi-device a priori predictors obtain device coverage either by refitting for each platform [31,38,42] or by including device descriptors in a model fitted on several GPUs [36,37];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[14,40].</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[25],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[6,12–14,26,30–33,40].</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[9], whereas CAL-ENERGY’s MAPE rises from 5.9–9.6% within family to 83.9–673.0% between the MLP and CNN benchmarks (Tables 7 and 11). The larger degradation here is consistent with the larger shift, since the two benchmarks also differ in training budget and measurement instrument. Within the CNN family, del Rey et al. [36] and GREEN [37]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[13];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[7] and He et al. [8] demonstrate how predictive models can be embedded within optimisation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 Pilot recalibration also corresponds to the per-device refitting used by existing multi-platform predictors [31,38,42],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favourable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[6,14].</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[9], and a priori predictors covering Transformers or recurrent networks have otherwise been evaluated within family only [37,38,40,41];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[6]. This design is sufficient to expose scale mismatch, but it is too narrow to establish a general hardware-transfer law across vendors, generations, or utilization regimes, a limitation shared with most published a priori predictors, which are evaluated on NVIDIA GPUs [6,9,36–38,41].</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performance-modelling principles [27,28]; roofline-style and cache-aware training-energy models provide a starting point [14,40].</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[9],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[6,14]. The project repository (MIT License) contains the BUTTER-E energy and metadata files and EC-NAS records used in this study, the processed feature tables for both benchmarks, the feature-construction and experiment scripts (scripts/build_features.py and scripts/run_experiments.py) with their configuration file (config/experiment_config.yaml) and package requirements, the analysis notebooks, and the result tables, including the per-dataset leave-one-dataset-out results.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et al.,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pPr>
        <w:pStyle w:val="BodyText"/>
        <w:ind w:firstLine="259"/>
        <w:jc w:val="both"/>
      </w:pPr>
      <w:r>
        <w:t xml:space="preserve">[6]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[7]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14:paraId="00AB3A5B" w14:textId="77777777" w:rsidR="00003A2E" w:rsidRPr="003D6F2A" w:rsidRDefault="00000000">
      <w:pPr>
        <w:pStyle w:val="BodyText"/>
        <w:ind w:firstLine="259"/>
        <w:jc w:val="both"/>
      </w:pPr>
      <w:r>
        <w:t xml:space="preserve">[8]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[9] X. Liao, Y. Li, S. Zhang, X. Wei, J. Hu, Predicting GPU Training Energy Consumption in Data Centers Using Task Metadata via Symbolic Regression, </w:t>
      </w:r>
      <w:r>
        <w:rPr>
          <w:i/>
          <w:iCs/>
        </w:rPr>
        <w:t>Energies</w:t>
      </w:r>
      <w:r>
        <w:t xml:space="preserve"> 19(2) (2026) 448. https://doi.org/10.3390/en19020448.</w:t>
      </w:r>
    </w:p>
    <w:p w14:paraId="1476AD66" w14:textId="77777777" w:rsidR="00003A2E" w:rsidRPr="003D6F2A" w:rsidRDefault="00000000">
      <w:pPr>
        <w:pStyle w:val="BodyText"/>
        <w:ind w:firstLine="259"/>
        <w:jc w:val="both"/>
      </w:pPr>
      <w:r>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000000">
      <w:pPr>
        <w:pStyle w:val="BodyText"/>
        <w:ind w:firstLine="259"/>
        <w:jc w:val="both"/>
      </w:pPr>
      <w:r>
        <w:t xml:space="preserve">[11] J. You, J.-W. Chung, M. Chowdhury, Zeus: Understanding and Optimizing GPU Energy Consumption of DNN Training, </w:t>
      </w:r>
      <w:r>
        <w:rPr>
          <w:i/>
          <w:iCs/>
        </w:rPr>
        <w:t>USENIX NSDI</w:t>
      </w:r>
      <w:r>
        <w:t xml:space="preserve"> (2023) 119–139.</w:t>
      </w:r>
    </w:p>
    <w:p w14:paraId="6143A9EB" w14:textId="77777777" w:rsidR="00003A2E" w:rsidRPr="003D6F2A" w:rsidRDefault="00000000">
      <w:pPr>
        <w:pStyle w:val="BodyText"/>
        <w:ind w:firstLine="259"/>
        <w:jc w:val="both"/>
      </w:pPr>
      <w:r>
        <w:t xml:space="preserve">[12] E. Cai, D.-C. Juan, D. Stamoulis, D. Marculescu, NeuralPower: Predict and Deploy Energy-Efficient Convolutional Neural Networks, </w:t>
      </w:r>
      <w:r>
        <w:rPr>
          <w:i/>
          <w:iCs/>
        </w:rPr>
        <w:t>Proceedings of Machine Learning Research</w:t>
      </w:r>
      <w:r>
        <w:t xml:space="preserve"> 77 (2017) 622–637.</w:t>
      </w:r>
    </w:p>
    <w:p w14:paraId="7BDA7502" w14:textId="77777777" w:rsidR="00003A2E" w:rsidRPr="003D6F2A" w:rsidRDefault="00000000">
      <w:pPr>
        <w:pStyle w:val="BodyText"/>
        <w:ind w:firstLine="259"/>
        <w:jc w:val="both"/>
      </w:pPr>
      <w:r>
        <w:t xml:space="preserve">[13] C. Guo, S. Wang, R. Xie, J. Song, Estimating energy consumption of neural networks with joint Structure-Device encoding, </w:t>
      </w:r>
      <w:r>
        <w:rPr>
          <w:i/>
          <w:iCs/>
        </w:rPr>
        <w:t>Sustainable Computing: Informatics and Systems</w:t>
      </w:r>
      <w:r>
        <w:t xml:space="preserve"> 45 (2025) 101062. https://doi.org/10.1016/j.suscom.2024.101062.</w:t>
      </w:r>
    </w:p>
    <w:p w14:paraId="06C7C95D" w14:textId="77777777" w:rsidR="00003A2E" w:rsidRPr="003D6F2A" w:rsidRDefault="00000000">
      <w:pPr>
        <w:pStyle w:val="BodyText"/>
        <w:ind w:firstLine="259"/>
        <w:jc w:val="both"/>
      </w:pPr>
      <w:r>
        <w:t>[14] C.E. Tripp et al., Measuring the Energy Consumption and Efficiency of Deep Neural Networks: An Empirical Analysis and Design Recommendations, arXiv:2403.08151 (2024).</w:t>
      </w:r>
    </w:p>
    <w:p w14:paraId="39849D06" w14:textId="77777777" w:rsidR="00003A2E" w:rsidRPr="003D6F2A" w:rsidRDefault="00000000">
      <w:pPr>
        <w:pStyle w:val="BodyText"/>
        <w:ind w:firstLine="259"/>
        <w:jc w:val="both"/>
      </w:pPr>
      <w:r>
        <w:t xml:space="preserve">[15] R.J. Hyndman, A.B. Koehler, Another look at measures of forecast accuracy, </w:t>
      </w:r>
      <w:r>
        <w:rPr>
          <w:i/>
          <w:iCs/>
        </w:rPr>
        <w:t>International Journal of Forecasting</w:t>
      </w:r>
      <w:r>
        <w:t xml:space="preserve"> 22(4) (2006) 679–688.</w:t>
      </w:r>
    </w:p>
    <w:p w14:paraId="2F88B769" w14:textId="77777777" w:rsidR="00003A2E" w:rsidRPr="003D6F2A" w:rsidRDefault="00000000">
      <w:pPr>
        <w:pStyle w:val="BodyText"/>
        <w:ind w:firstLine="259"/>
        <w:jc w:val="both"/>
      </w:pPr>
      <w:r>
        <w:t xml:space="preserve">[16] L. Breiman, Random forests, </w:t>
      </w:r>
      <w:r>
        <w:rPr>
          <w:i/>
          <w:iCs/>
        </w:rPr>
        <w:t>Machine Learning</w:t>
      </w:r>
      <w:r>
        <w:t xml:space="preserve"> 45 (2001) 5–32. https://doi.org/10.1023/A:1010933404324.</w:t>
      </w:r>
    </w:p>
    <w:p w14:paraId="2AF114E2" w14:textId="77777777" w:rsidR="00003A2E" w:rsidRPr="003D6F2A" w:rsidRDefault="00000000">
      <w:pPr>
        <w:pStyle w:val="BodyText"/>
        <w:ind w:firstLine="259"/>
        <w:jc w:val="both"/>
      </w:pPr>
      <w:r>
        <w:t xml:space="preserve">[17] T. Chen, C. Guestrin, XGBoost: A scalable tree boosting system, </w:t>
      </w:r>
      <w:r>
        <w:rPr>
          <w:i/>
          <w:iCs/>
        </w:rPr>
        <w:t>Proceedings of ACM KDD</w:t>
      </w:r>
      <w:r>
        <w:t xml:space="preserve"> (2016) 785–794.</w:t>
      </w:r>
    </w:p>
    <w:p w14:paraId="7DBADE7E" w14:textId="77777777" w:rsidR="00003A2E" w:rsidRPr="003D6F2A" w:rsidRDefault="00000000">
      <w:pPr>
        <w:pStyle w:val="BodyText"/>
        <w:ind w:firstLine="259"/>
        <w:jc w:val="both"/>
      </w:pPr>
      <w:r>
        <w:t xml:space="preserve">[18] L. Grinsztajn, E. Oyallon, G. Varoquaux, Why do tree-based models still outperform deep learning on typical tabular data?, </w:t>
      </w:r>
      <w:r>
        <w:rPr>
          <w:i/>
          <w:iCs/>
        </w:rPr>
        <w:t>NeurIPS Datasets and Benchmarks</w:t>
      </w:r>
      <w:r>
        <w:t xml:space="preserve"> (2022).</w:t>
      </w:r>
    </w:p>
    <w:p w14:paraId="04F6710D" w14:textId="77777777" w:rsidR="00003A2E" w:rsidRPr="003D6F2A" w:rsidRDefault="00000000">
      <w:pPr>
        <w:pStyle w:val="BodyText"/>
        <w:ind w:firstLine="259"/>
        <w:jc w:val="both"/>
      </w:pPr>
      <w:r>
        <w:t xml:space="preserve">[19] F. Pedregosa et al., Scikit-learn: Machine Learning in Python, </w:t>
      </w:r>
      <w:r>
        <w:rPr>
          <w:i/>
          <w:iCs/>
        </w:rPr>
        <w:t>Journal of Machine Learning Research</w:t>
      </w:r>
      <w:r>
        <w:t xml:space="preserve"> 12 (2011) 2825–2830.</w:t>
      </w:r>
    </w:p>
    <w:p w14:paraId="7D5BBB23" w14:textId="77777777" w:rsidR="00003A2E" w:rsidRPr="003D6F2A" w:rsidRDefault="00000000">
      <w:pPr>
        <w:pStyle w:val="BodyText"/>
        <w:ind w:firstLine="259"/>
        <w:jc w:val="both"/>
      </w:pPr>
      <w:r>
        <w:t xml:space="preserve">[20] C. Ying, A. Klein, E. Christiansen, E. Real, K. Murphy, F. Hutter, NAS-Bench-101: Towards reproducible neural architecture search, </w:t>
      </w:r>
      <w:r>
        <w:rPr>
          <w:i/>
          <w:iCs/>
        </w:rPr>
        <w:t>ICML</w:t>
      </w:r>
      <w:r>
        <w:t xml:space="preserve"> (2019) 7105–7114.</w:t>
      </w:r>
    </w:p>
    <w:p w14:paraId="43272F7E" w14:textId="77777777" w:rsidR="00003A2E" w:rsidRPr="003D6F2A" w:rsidRDefault="00000000">
      <w:pPr>
        <w:pStyle w:val="BodyText"/>
        <w:ind w:firstLine="259"/>
        <w:jc w:val="both"/>
      </w:pPr>
      <w:r>
        <w:t xml:space="preserve">[21] R.S. Olson, W. La Cava, P. Orzechowski, R.J. Urbanowicz, J.H. Moore, PMLB: a large benchmark suite for machine learning evaluation and comparison, </w:t>
      </w:r>
      <w:r>
        <w:rPr>
          <w:i/>
          <w:iCs/>
        </w:rPr>
        <w:t>BioData Mining</w:t>
      </w:r>
      <w:r>
        <w:t xml:space="preserve"> 10 (2017) 36.</w:t>
      </w:r>
    </w:p>
    <w:p w14:paraId="5155BF54" w14:textId="77777777" w:rsidR="00003A2E" w:rsidRPr="003D6F2A" w:rsidRDefault="00000000">
      <w:pPr>
        <w:pStyle w:val="BodyText"/>
        <w:ind w:firstLine="259"/>
        <w:jc w:val="both"/>
      </w:pPr>
      <w:r>
        <w:t xml:space="preserve">[22]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[23] K. Zhou, Z. Liu, Y. Qiao, T. Xiang, C.C. Loy, Domain Generalization: A Survey, </w:t>
      </w:r>
      <w:r>
        <w:rPr>
          <w:i/>
          <w:iCs/>
        </w:rPr>
        <w:t>IEEE Transactions on Pattern Analysis and Machine Intelligence</w:t>
      </w:r>
      <w:r>
        <w:t xml:space="preserve"> 45(4) (2023) 4396–4415.</w:t>
      </w:r>
    </w:p>
    <w:p w14:paraId="63C44D72" w14:textId="77777777" w:rsidR="00003A2E" w:rsidRPr="003D6F2A" w:rsidRDefault="00000000">
      <w:pPr>
        <w:pStyle w:val="BodyText"/>
        <w:ind w:firstLine="259"/>
        <w:jc w:val="both"/>
      </w:pPr>
      <w:r>
        <w:t xml:space="preserve">[24] X. Bouthillier et al., Accounting for variance in machine learning benchmarks, </w:t>
      </w:r>
      <w:r>
        <w:rPr>
          <w:i/>
          <w:iCs/>
        </w:rPr>
        <w:t>Proceedings of MLSys</w:t>
      </w:r>
      <w:r>
        <w:t xml:space="preserve"> 3 (2021).</w:t>
      </w:r>
    </w:p>
    <w:p w14:paraId="7CDC034C" w14:textId="77777777" w:rsidR="00003A2E" w:rsidRPr="003D6F2A" w:rsidRDefault="00000000">
      <w:pPr>
        <w:pStyle w:val="BodyText"/>
        <w:ind w:firstLine="259"/>
        <w:jc w:val="both"/>
      </w:pPr>
      <w:r>
        <w:t xml:space="preserve">[25]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[26] M. Dehghani, A. Arnab, L. Beyer, A. Vaswani, J. Uszkoreit, The Efficiency Misnomer, </w:t>
      </w:r>
      <w:r>
        <w:rPr>
          <w:i/>
          <w:iCs/>
        </w:rPr>
        <w:t>ICLR</w:t>
      </w:r>
      <w:r>
        <w:t xml:space="preserve"> (2022), arXiv:2110.12894.</w:t>
      </w:r>
    </w:p>
    <w:p w14:paraId="47C03783" w14:textId="77777777" w:rsidR="00003A2E" w:rsidRPr="003D6F2A" w:rsidRDefault="00000000">
      <w:pPr>
        <w:pStyle w:val="BodyText"/>
        <w:ind w:firstLine="259"/>
        <w:jc w:val="both"/>
      </w:pPr>
      <w:r>
        <w:t xml:space="preserve">[27]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[28] S. Hong, H. Kim, An integrated GPU power and performance model, </w:t>
      </w:r>
      <w:r>
        <w:rPr>
          <w:i/>
          <w:iCs/>
        </w:rPr>
        <w:t>ACM SIGARCH Computer Architecture News</w:t>
      </w:r>
      <w:r>
        <w:t xml:space="preserve"> 38(3) (2010) 280–289.</w:t>
      </w:r>
    </w:p>
    <w:p w14:paraId="120530DE" w14:textId="77777777" w:rsidR="00003A2E" w:rsidRPr="003D6F2A" w:rsidRDefault="00000000">
      <w:pPr>
        <w:pStyle w:val="BodyText"/>
        <w:ind w:firstLine="259"/>
        <w:jc w:val="both"/>
      </w:pPr>
      <w:r>
        <w:t>[29] A. Lacoste, A. Luccioni, V. Schmidt, T. Dandres, Quantifying the Carbon Emissions of Machine Learning, arXiv:1910.09700 (2019).</w:t>
      </w:r>
    </w:p>
    <w:p w14:paraId="6C305E9B" w14:textId="77777777" w:rsidR="00003A2E" w:rsidRPr="003D6F2A" w:rsidRDefault="00000000">
      <w:pPr>
        <w:pStyle w:val="BodyText"/>
        <w:ind w:firstLine="259"/>
        <w:jc w:val="both"/>
      </w:pPr>
      <w:r>
        <w:t xml:space="preserve">[30] R. Desislavov, F. Martínez-Plumed, J. Hernández-Orallo, Trends in AI inference energy consumption: Beyond the performance-vs-parameter laws of deep learning, </w:t>
      </w:r>
      <w:r>
        <w:rPr>
          <w:i/>
          <w:iCs/>
        </w:rPr>
        <w:t>Sustainable Computing: Informatics and Systems</w:t>
      </w:r>
      <w:r>
        <w:t xml:space="preserve"> 38 (2023) 100857.</w:t>
      </w:r>
    </w:p>
    <w:p>
      <w:pPr>
        <w:pStyle w:val="BodyText"/>
        <w:ind w:firstLine="259"/>
        <w:jc w:val="both"/>
      </w:pPr>
      <w:r>
        <w:t xml:space="preserve">[31]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14:paraId="1FA765F6" w14:textId="77777777" w:rsidR="00003A2E" w:rsidRPr="003D6F2A" w:rsidRDefault="00000000">
      <w:pPr>
        <w:pStyle w:val="BodyText"/>
        <w:ind w:firstLine="259"/>
        <w:jc w:val="both"/>
      </w:pPr>
      <w:r>
        <w:t xml:space="preserve">[32] C. Lyu, M. Nourazar, B. Goossens, Predicting inference time and energy consumption in deep learning using MLPs, </w:t>
      </w:r>
      <w:r>
        <w:rPr>
          <w:i/>
          <w:iCs/>
        </w:rPr>
        <w:t>IEEE ISPA</w:t>
      </w:r>
      <w:r>
        <w:t xml:space="preserve"> (2024) 990–996.</w:t>
      </w:r>
    </w:p>
    <w:p w14:paraId="73FF5A57" w14:textId="77777777" w:rsidR="00003A2E" w:rsidRPr="003D6F2A" w:rsidRDefault="00000000">
      <w:pPr>
        <w:pStyle w:val="BodyText"/>
        <w:ind w:firstLine="259"/>
        <w:jc w:val="both"/>
      </w:pPr>
      <w:r>
        <w:t>[33] A. Oliveira-Filho et al., Phoeni6: A systematic approach for evaluating the energy consumption of neural networks, arXiv:2502.17734 (2025).</w:t>
      </w:r>
    </w:p>
    <w:p w14:paraId="2639C2DA" w14:textId="77777777" w:rsidR="00003A2E" w:rsidRPr="003D6F2A" w:rsidRDefault="00000000">
      <w:pPr>
        <w:pStyle w:val="BodyText"/>
        <w:ind w:firstLine="259"/>
        <w:jc w:val="both"/>
      </w:pPr>
      <w:r>
        <w:t xml:space="preserve">[34] S. Kaufman, S. Rosset, C. Perlich, O. Stitelman, Leakage in data mining: formulation, detection, and avoidance, </w:t>
      </w:r>
      <w:r>
        <w:rPr>
          <w:i/>
          <w:iCs/>
        </w:rPr>
        <w:t>ACM Transactions on Knowledge Discovery from Data</w:t>
      </w:r>
      <w:r>
        <w:t xml:space="preserve"> 6(4) (2012), Article 15.</w:t>
      </w:r>
    </w:p>
    <w:p w14:paraId="10F4F9CB" w14:textId="77777777" w:rsidR="00003A2E" w:rsidRPr="003D6F2A" w:rsidRDefault="00000000">
      <w:pPr>
        <w:pStyle w:val="BodyText"/>
        <w:ind w:firstLine="259"/>
        <w:jc w:val="both"/>
      </w:pPr>
      <w:r>
        <w:t xml:space="preserve">[35] M.G. Kendall, A new measure of rank correlation, </w:t>
      </w:r>
      <w:r>
        <w:rPr>
          <w:i/>
          <w:iCs/>
        </w:rPr>
        <w:t>Biometrika</w:t>
      </w:r>
      <w:r>
        <w:t xml:space="preserve"> 30(1/2) (1938) 81–93.</w:t>
      </w:r>
      <w:bookmarkEnd w:id="37"/>
    </w:p>
    <w:p>
      <w:pPr>
        <w:pStyle w:val="BodyText"/>
        <w:ind w:firstLine="259"/>
        <w:jc w:val="both"/>
      </w:pPr>
      <w:r>
        <w:t xml:space="preserve">[36] S. del Rey, L. Cruz, X. Franch, S. Martínez-Fernández, Estimating deep learning energy consumption based on model architecture and training environment, </w:t>
      </w:r>
      <w:r>
        <w:rPr>
          <w:i/>
          <w:iCs/>
        </w:rPr>
        <w:t xml:space="preserve">Computer Standards &amp; Interfaces</w:t>
      </w:r>
      <w:r>
        <w:t xml:space="preserve"> 99 (2026) 104170. https://doi.org/10.1016/j.csi.2026.104170.</w:t>
      </w:r>
    </w:p>
    <w:p>
      <w:pPr>
        <w:pStyle w:val="BodyText"/>
        <w:ind w:firstLine="259"/>
        <w:jc w:val="both"/>
      </w:pPr>
      <w:r>
        <w:t xml:space="preserve">[37] F. Betello, A. Purificato, V. Vineis, G. Tolomei, F. Silvestri, One search fits all: Pareto-optimal eco-friendly model selection, arXiv:2505.01468 (2025).</w:t>
      </w:r>
    </w:p>
    <w:p>
      <w:pPr>
        <w:pStyle w:val="BodyText"/>
        <w:ind w:firstLine="259"/>
        <w:jc w:val="both"/>
      </w:pPr>
      <w:r>
        <w:t xml:space="preserve">[38]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[39] C. Rodriguez, L. Degioanni, L. Kameni, R. Vidal, G. Neglia, Evaluating the energy consumption of machine learning: Systematic literature review and experiments, arXiv:2408.15128 (2024).</w:t>
      </w:r>
    </w:p>
    <w:p>
      <w:pPr>
        <w:pStyle w:val="BodyText"/>
        <w:ind w:firstLine="259"/>
        <w:jc w:val="both"/>
      </w:pPr>
      <w:r>
        <w:t xml:space="preserve">[40] M.Z.A. Mayaki, The energy consumption of Transformer fine-tuning: A roofline-inspired scaling model, arXiv:2606.23546 (2026).</w:t>
      </w:r>
    </w:p>
    <w:p>
      <w:pPr>
        <w:pStyle w:val="BodyText"/>
        <w:ind w:firstLine="259"/>
        <w:jc w:val="both"/>
      </w:pPr>
      <w:r>
        <w:t xml:space="preserve">[41]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pPr>
        <w:pStyle w:val="BodyText"/>
        <w:ind w:firstLine="259"/>
        <w:jc w:val="both"/>
      </w:pPr>
      <w:r>
        <w:t xml:space="preserve">[42]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