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79D4" w14:textId="77777777" w:rsidR="00207F6F" w:rsidRPr="00B9640D" w:rsidRDefault="00000000">
      <w:pPr>
        <w:pStyle w:val="Heading1"/>
        <w:rPr>
          <w:color w:val="auto"/>
        </w:rPr>
      </w:pPr>
      <w:bookmarkStart w:id="0" w:name="highlights"/>
      <w:r w:rsidRPr="00B9640D">
        <w:rPr>
          <w:color w:val="auto"/>
        </w:rPr>
        <w:t>Highlights</w:t>
      </w:r>
    </w:p>
    <w:p w14:paraId="57788E3C" w14:textId="77777777" w:rsidR="00207F6F" w:rsidRDefault="00000000">
      <w:pPr>
        <w:pStyle w:val="Compact"/>
        <w:numPr>
          <w:ilvl w:val="0"/>
          <w:numId w:val="2"/>
        </w:numPr>
      </w:pPr>
      <w:r>
        <w:t xml:space="preserve">Predicts </w:t>
      </w:r>
      <w:proofErr w:type="gramStart"/>
      <w:r>
        <w:t>the training</w:t>
      </w:r>
      <w:proofErr w:type="gramEnd"/>
      <w:r>
        <w:t xml:space="preserve"> energy from pre-execution metadata for MLP and CNN benchmarks.</w:t>
      </w:r>
    </w:p>
    <w:p w14:paraId="46F573EE" w14:textId="77777777" w:rsidR="00207F6F" w:rsidRDefault="00000000">
      <w:pPr>
        <w:pStyle w:val="Compact"/>
        <w:numPr>
          <w:ilvl w:val="0"/>
          <w:numId w:val="2"/>
        </w:numPr>
      </w:pPr>
      <w:r>
        <w:t>Separates interpolation accuracy from architecture and hardware domain shifts.</w:t>
      </w:r>
    </w:p>
    <w:p w14:paraId="516D4D06" w14:textId="77777777" w:rsidR="00207F6F" w:rsidRDefault="00000000">
      <w:pPr>
        <w:pStyle w:val="Compact"/>
        <w:numPr>
          <w:ilvl w:val="0"/>
          <w:numId w:val="2"/>
        </w:numPr>
      </w:pPr>
      <w:r>
        <w:t>Dataset-scale features lifted the MLP R² from 0.087 to 0.971.</w:t>
      </w:r>
    </w:p>
    <w:p w14:paraId="6930B7AB" w14:textId="77777777" w:rsidR="00207F6F" w:rsidRDefault="00000000">
      <w:pPr>
        <w:pStyle w:val="Compact"/>
        <w:numPr>
          <w:ilvl w:val="0"/>
          <w:numId w:val="2"/>
        </w:numPr>
      </w:pPr>
      <w:r>
        <w:t>Five pilot runs cut held-out-GPU MAPE from 87.0% to 9.3%.</w:t>
      </w:r>
    </w:p>
    <w:p w14:paraId="0D0308D2" w14:textId="77777777" w:rsidR="00207F6F" w:rsidRDefault="00000000">
      <w:pPr>
        <w:pStyle w:val="Compact"/>
        <w:numPr>
          <w:ilvl w:val="0"/>
          <w:numId w:val="2"/>
        </w:numPr>
      </w:pPr>
      <w:r>
        <w:t>CAL-GATE flags unsupported domains before the estimates are treated as calibrated.</w:t>
      </w:r>
      <w:bookmarkEnd w:id="0"/>
    </w:p>
    <w:sectPr w:rsidR="00207F6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5B6DC" w14:textId="77777777" w:rsidR="005C46F9" w:rsidRDefault="005C46F9">
      <w:pPr>
        <w:spacing w:after="0"/>
      </w:pPr>
      <w:r>
        <w:separator/>
      </w:r>
    </w:p>
  </w:endnote>
  <w:endnote w:type="continuationSeparator" w:id="0">
    <w:p w14:paraId="1548F86A" w14:textId="77777777" w:rsidR="005C46F9" w:rsidRDefault="005C46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D00D" w14:textId="77777777" w:rsidR="005C46F9" w:rsidRDefault="005C46F9">
      <w:r>
        <w:separator/>
      </w:r>
    </w:p>
  </w:footnote>
  <w:footnote w:type="continuationSeparator" w:id="0">
    <w:p w14:paraId="4515C3B5" w14:textId="77777777" w:rsidR="005C46F9" w:rsidRDefault="005C4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5246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3202B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52337964">
    <w:abstractNumId w:val="0"/>
  </w:num>
  <w:num w:numId="2" w16cid:durableId="198708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F6F"/>
    <w:rsid w:val="00207F6F"/>
    <w:rsid w:val="005C46F9"/>
    <w:rsid w:val="00B9640D"/>
    <w:rsid w:val="00F3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2809"/>
  <w15:docId w15:val="{E15751F4-3D6F-4407-A9FD-76CC3EB6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Vanessa Atta-Fynn</cp:lastModifiedBy>
  <cp:revision>2</cp:revision>
  <dcterms:created xsi:type="dcterms:W3CDTF">2026-10-04T21:48:00Z</dcterms:created>
  <dcterms:modified xsi:type="dcterms:W3CDTF">2026-10-04T23:07:00Z</dcterms:modified>
</cp:coreProperties>
</file>