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2C246" w14:textId="77777777" w:rsidR="008A7CF4" w:rsidRPr="006C032B" w:rsidRDefault="0082039F" w:rsidP="00AC40F3">
      <w:pPr>
        <w:spacing w:line="240" w:lineRule="auto"/>
        <w:ind w:firstLine="0"/>
        <w:contextualSpacing/>
        <w:jc w:val="center"/>
        <w:rPr>
          <w:rFonts w:ascii="Arial" w:hAnsi="Arial"/>
          <w:sz w:val="28"/>
          <w:szCs w:val="20"/>
        </w:rPr>
      </w:pPr>
      <w:r w:rsidRPr="006C032B">
        <w:rPr>
          <w:rFonts w:ascii="Arial" w:hAnsi="Arial"/>
          <w:sz w:val="28"/>
          <w:szCs w:val="20"/>
        </w:rPr>
        <w:t xml:space="preserve">Lightweight </w:t>
      </w:r>
      <w:proofErr w:type="spellStart"/>
      <w:r w:rsidRPr="006C032B">
        <w:rPr>
          <w:rFonts w:ascii="Arial" w:hAnsi="Arial"/>
          <w:sz w:val="28"/>
          <w:szCs w:val="20"/>
        </w:rPr>
        <w:t>transcriptomics</w:t>
      </w:r>
      <w:proofErr w:type="spellEnd"/>
    </w:p>
    <w:p w14:paraId="3E752136" w14:textId="423CD677" w:rsidR="0082039F" w:rsidRDefault="008A7CF4" w:rsidP="00AC40F3">
      <w:pPr>
        <w:spacing w:line="240" w:lineRule="auto"/>
        <w:ind w:firstLine="0"/>
        <w:contextualSpacing/>
        <w:jc w:val="center"/>
        <w:rPr>
          <w:rFonts w:ascii="Arial" w:hAnsi="Arial"/>
          <w:sz w:val="28"/>
          <w:szCs w:val="20"/>
        </w:rPr>
      </w:pPr>
      <w:r w:rsidRPr="00675C00">
        <w:rPr>
          <w:rFonts w:ascii="Arial" w:hAnsi="Arial"/>
          <w:sz w:val="28"/>
          <w:szCs w:val="20"/>
        </w:rPr>
        <w:t>Supplemental Information</w:t>
      </w:r>
    </w:p>
    <w:p w14:paraId="322E0644" w14:textId="77777777" w:rsidR="00966958" w:rsidRDefault="00966958" w:rsidP="00AC40F3">
      <w:pPr>
        <w:spacing w:line="240" w:lineRule="auto"/>
        <w:ind w:firstLine="0"/>
        <w:contextualSpacing/>
        <w:jc w:val="center"/>
        <w:rPr>
          <w:rFonts w:ascii="Arial" w:hAnsi="Arial"/>
          <w:sz w:val="28"/>
          <w:szCs w:val="20"/>
        </w:rPr>
      </w:pPr>
    </w:p>
    <w:p w14:paraId="1F927FDA" w14:textId="3D573911" w:rsidR="00AC40F3" w:rsidRPr="00675C00" w:rsidRDefault="00AC40F3" w:rsidP="00AC40F3">
      <w:pPr>
        <w:spacing w:line="240" w:lineRule="auto"/>
        <w:ind w:firstLine="0"/>
        <w:contextualSpacing/>
        <w:jc w:val="center"/>
        <w:rPr>
          <w:rFonts w:ascii="Arial" w:hAnsi="Arial"/>
          <w:sz w:val="28"/>
          <w:szCs w:val="20"/>
        </w:rPr>
      </w:pPr>
      <w:proofErr w:type="spellStart"/>
      <w:r>
        <w:rPr>
          <w:rFonts w:ascii="Arial" w:hAnsi="Arial"/>
        </w:rPr>
        <w:t>Surojit</w:t>
      </w:r>
      <w:proofErr w:type="spellEnd"/>
      <w:r>
        <w:rPr>
          <w:rFonts w:ascii="Arial" w:hAnsi="Arial"/>
        </w:rPr>
        <w:t xml:space="preserve"> Biswas, Konstantin </w:t>
      </w:r>
      <w:proofErr w:type="spellStart"/>
      <w:r>
        <w:rPr>
          <w:rFonts w:ascii="Arial" w:hAnsi="Arial"/>
        </w:rPr>
        <w:t>Kerner</w:t>
      </w:r>
      <w:proofErr w:type="spellEnd"/>
      <w:r>
        <w:rPr>
          <w:rFonts w:ascii="Arial" w:hAnsi="Arial"/>
        </w:rPr>
        <w:t xml:space="preserve">, </w:t>
      </w:r>
      <w:r w:rsidRPr="001D7889">
        <w:rPr>
          <w:rFonts w:ascii="Arial" w:hAnsi="Arial" w:cs="Arial"/>
          <w:bCs/>
        </w:rPr>
        <w:t>Paulo José</w:t>
      </w:r>
      <w:r w:rsidRPr="001D7889">
        <w:rPr>
          <w:rFonts w:ascii="Arial" w:hAnsi="Arial" w:cs="Arial"/>
        </w:rPr>
        <w:t xml:space="preserve"> Pereira Lima </w:t>
      </w:r>
      <w:r w:rsidRPr="001D7889">
        <w:rPr>
          <w:rFonts w:ascii="Arial" w:hAnsi="Arial" w:cs="Arial"/>
          <w:bCs/>
        </w:rPr>
        <w:t>Teixeira</w:t>
      </w:r>
      <w:r>
        <w:rPr>
          <w:rFonts w:ascii="Arial" w:hAnsi="Arial" w:cs="Arial"/>
          <w:bCs/>
        </w:rPr>
        <w:t xml:space="preserve">, Jeffery L. </w:t>
      </w:r>
      <w:proofErr w:type="spellStart"/>
      <w:r>
        <w:rPr>
          <w:rFonts w:ascii="Arial" w:hAnsi="Arial" w:cs="Arial"/>
          <w:bCs/>
        </w:rPr>
        <w:t>Dangl</w:t>
      </w:r>
      <w:proofErr w:type="spellEnd"/>
      <w:r>
        <w:rPr>
          <w:rFonts w:ascii="Arial" w:hAnsi="Arial" w:cs="Arial"/>
          <w:bCs/>
        </w:rPr>
        <w:t xml:space="preserve">, Vladimir </w:t>
      </w:r>
      <w:proofErr w:type="spellStart"/>
      <w:r>
        <w:rPr>
          <w:rFonts w:ascii="Arial" w:hAnsi="Arial" w:cs="Arial"/>
          <w:bCs/>
        </w:rPr>
        <w:t>Jojic</w:t>
      </w:r>
      <w:proofErr w:type="spellEnd"/>
      <w:r>
        <w:rPr>
          <w:rFonts w:ascii="Arial" w:hAnsi="Arial" w:cs="Arial"/>
          <w:bCs/>
        </w:rPr>
        <w:t xml:space="preserve">, Philip A. </w:t>
      </w:r>
      <w:proofErr w:type="spellStart"/>
      <w:r>
        <w:rPr>
          <w:rFonts w:ascii="Arial" w:hAnsi="Arial" w:cs="Arial"/>
          <w:bCs/>
        </w:rPr>
        <w:t>Wigge</w:t>
      </w:r>
      <w:proofErr w:type="spellEnd"/>
    </w:p>
    <w:p w14:paraId="5D831663" w14:textId="2DB83567" w:rsidR="008A7CF4" w:rsidRPr="008A7CF4" w:rsidRDefault="008A7CF4" w:rsidP="00AC40F3">
      <w:pPr>
        <w:spacing w:line="240" w:lineRule="auto"/>
        <w:ind w:firstLine="0"/>
        <w:contextualSpacing/>
        <w:jc w:val="center"/>
        <w:rPr>
          <w:rFonts w:ascii="Arial" w:hAnsi="Arial" w:cs="Arial"/>
        </w:rPr>
      </w:pPr>
    </w:p>
    <w:p w14:paraId="6205AC59" w14:textId="17130273" w:rsidR="00BA5E3D" w:rsidRPr="00BA5E3D" w:rsidRDefault="00BA5E3D" w:rsidP="00BA5E3D">
      <w:pPr>
        <w:pStyle w:val="NormalWeb"/>
        <w:spacing w:before="0" w:beforeAutospacing="0" w:after="0" w:afterAutospacing="0"/>
        <w:jc w:val="both"/>
        <w:rPr>
          <w:rFonts w:ascii="Arial" w:hAnsi="Arial" w:cs="Arial"/>
          <w:b/>
          <w:sz w:val="22"/>
          <w:szCs w:val="22"/>
        </w:rPr>
      </w:pPr>
      <w:r>
        <w:rPr>
          <w:rFonts w:ascii="Arial" w:hAnsi="Arial" w:cs="Arial"/>
          <w:b/>
          <w:sz w:val="22"/>
          <w:szCs w:val="22"/>
        </w:rPr>
        <w:t>Supplemental Note 1</w:t>
      </w:r>
      <w:r w:rsidR="007C18C9">
        <w:rPr>
          <w:rFonts w:ascii="Arial" w:hAnsi="Arial" w:cs="Arial"/>
          <w:b/>
          <w:sz w:val="22"/>
          <w:szCs w:val="22"/>
        </w:rPr>
        <w:t xml:space="preserve"> - Characterization of</w:t>
      </w:r>
    </w:p>
    <w:p w14:paraId="0A86FCC4" w14:textId="77EC61E2" w:rsidR="00BA5E3D" w:rsidRDefault="00BA5E3D" w:rsidP="00BA5E3D">
      <w:pPr>
        <w:pStyle w:val="NormalWeb"/>
        <w:spacing w:before="0" w:beforeAutospacing="0" w:after="0" w:afterAutospacing="0"/>
        <w:ind w:firstLine="720"/>
        <w:jc w:val="both"/>
        <w:rPr>
          <w:rFonts w:ascii="Arial" w:hAnsi="Arial" w:cs="Arial"/>
          <w:sz w:val="22"/>
          <w:szCs w:val="22"/>
        </w:rPr>
      </w:pPr>
      <w:r w:rsidRPr="00C415BC">
        <w:rPr>
          <w:rFonts w:ascii="Arial" w:hAnsi="Arial" w:cs="Arial"/>
          <w:sz w:val="22"/>
          <w:szCs w:val="22"/>
        </w:rPr>
        <w:t xml:space="preserve">We manually annotated metadata for </w:t>
      </w:r>
      <w:r>
        <w:rPr>
          <w:rFonts w:ascii="Arial" w:hAnsi="Arial" w:cs="Arial"/>
          <w:sz w:val="22"/>
          <w:szCs w:val="22"/>
        </w:rPr>
        <w:t>1,626 (62.6</w:t>
      </w:r>
      <w:r w:rsidRPr="00C415BC">
        <w:rPr>
          <w:rFonts w:ascii="Arial" w:hAnsi="Arial" w:cs="Arial"/>
          <w:sz w:val="22"/>
          <w:szCs w:val="22"/>
        </w:rPr>
        <w:t xml:space="preserve">%, </w:t>
      </w:r>
      <w:r>
        <w:rPr>
          <w:rFonts w:ascii="Arial" w:hAnsi="Arial" w:cs="Arial"/>
          <w:i/>
          <w:sz w:val="22"/>
          <w:szCs w:val="22"/>
        </w:rPr>
        <w:t>A. thaliana</w:t>
      </w:r>
      <w:r>
        <w:rPr>
          <w:rFonts w:ascii="Arial" w:hAnsi="Arial" w:cs="Arial"/>
          <w:sz w:val="22"/>
          <w:szCs w:val="22"/>
        </w:rPr>
        <w:t>) and 6,682 (32.1</w:t>
      </w:r>
      <w:r w:rsidRPr="00C415BC">
        <w:rPr>
          <w:rFonts w:ascii="Arial" w:hAnsi="Arial" w:cs="Arial"/>
          <w:sz w:val="22"/>
          <w:szCs w:val="22"/>
        </w:rPr>
        <w:t xml:space="preserve">%, </w:t>
      </w:r>
      <w:r>
        <w:rPr>
          <w:rFonts w:ascii="Arial" w:hAnsi="Arial" w:cs="Arial"/>
          <w:i/>
          <w:sz w:val="22"/>
          <w:szCs w:val="22"/>
        </w:rPr>
        <w:t xml:space="preserve">M. </w:t>
      </w:r>
      <w:proofErr w:type="spellStart"/>
      <w:r w:rsidRPr="00512A6E">
        <w:rPr>
          <w:rFonts w:ascii="Arial" w:hAnsi="Arial" w:cs="Arial"/>
          <w:i/>
          <w:sz w:val="22"/>
          <w:szCs w:val="22"/>
        </w:rPr>
        <w:t>musculus</w:t>
      </w:r>
      <w:proofErr w:type="spellEnd"/>
      <w:r>
        <w:rPr>
          <w:rFonts w:ascii="Arial" w:hAnsi="Arial" w:cs="Arial"/>
          <w:sz w:val="22"/>
          <w:szCs w:val="22"/>
        </w:rPr>
        <w:t xml:space="preserve">) </w:t>
      </w:r>
      <w:r w:rsidRPr="00512A6E">
        <w:rPr>
          <w:rFonts w:ascii="Arial" w:hAnsi="Arial" w:cs="Arial"/>
          <w:sz w:val="22"/>
          <w:szCs w:val="22"/>
        </w:rPr>
        <w:t>of</w:t>
      </w:r>
      <w:r w:rsidRPr="00C415BC">
        <w:rPr>
          <w:rFonts w:ascii="Arial" w:hAnsi="Arial" w:cs="Arial"/>
          <w:sz w:val="22"/>
          <w:szCs w:val="22"/>
        </w:rPr>
        <w:t xml:space="preserve"> the </w:t>
      </w:r>
      <w:r>
        <w:rPr>
          <w:rFonts w:ascii="Arial" w:hAnsi="Arial" w:cs="Arial"/>
          <w:sz w:val="22"/>
          <w:szCs w:val="22"/>
        </w:rPr>
        <w:t>training</w:t>
      </w:r>
      <w:r w:rsidRPr="00C415BC">
        <w:rPr>
          <w:rFonts w:ascii="Arial" w:hAnsi="Arial" w:cs="Arial"/>
          <w:sz w:val="22"/>
          <w:szCs w:val="22"/>
        </w:rPr>
        <w:t xml:space="preserve"> </w:t>
      </w:r>
      <w:proofErr w:type="spellStart"/>
      <w:r w:rsidRPr="00C415BC">
        <w:rPr>
          <w:rFonts w:ascii="Arial" w:hAnsi="Arial" w:cs="Arial"/>
          <w:sz w:val="22"/>
          <w:szCs w:val="22"/>
        </w:rPr>
        <w:t>tra</w:t>
      </w:r>
      <w:r>
        <w:rPr>
          <w:rFonts w:ascii="Arial" w:hAnsi="Arial" w:cs="Arial"/>
          <w:sz w:val="22"/>
          <w:szCs w:val="22"/>
        </w:rPr>
        <w:t>nscriptomes</w:t>
      </w:r>
      <w:proofErr w:type="spellEnd"/>
      <w:r>
        <w:rPr>
          <w:rFonts w:ascii="Arial" w:hAnsi="Arial" w:cs="Arial"/>
          <w:sz w:val="22"/>
          <w:szCs w:val="22"/>
        </w:rPr>
        <w:t xml:space="preserve"> for both organisms, and found that the </w:t>
      </w:r>
      <w:r w:rsidRPr="00C415BC">
        <w:rPr>
          <w:rFonts w:ascii="Arial" w:hAnsi="Arial" w:cs="Arial"/>
          <w:sz w:val="22"/>
          <w:szCs w:val="22"/>
        </w:rPr>
        <w:t xml:space="preserve">major drivers of variation were tissue and developmental stage (Figure </w:t>
      </w:r>
      <w:r>
        <w:rPr>
          <w:rFonts w:ascii="Arial" w:hAnsi="Arial" w:cs="Arial"/>
          <w:sz w:val="22"/>
          <w:szCs w:val="22"/>
        </w:rPr>
        <w:t>1a-b</w:t>
      </w:r>
      <w:r w:rsidR="00455479">
        <w:rPr>
          <w:rFonts w:ascii="Arial" w:hAnsi="Arial" w:cs="Arial"/>
          <w:sz w:val="22"/>
          <w:szCs w:val="22"/>
        </w:rPr>
        <w:t>, main text</w:t>
      </w:r>
      <w:r w:rsidRPr="00C415BC">
        <w:rPr>
          <w:rFonts w:ascii="Arial" w:hAnsi="Arial" w:cs="Arial"/>
          <w:sz w:val="22"/>
          <w:szCs w:val="22"/>
        </w:rPr>
        <w:t>).</w:t>
      </w:r>
      <w:r>
        <w:rPr>
          <w:rFonts w:ascii="Arial" w:hAnsi="Arial" w:cs="Arial"/>
          <w:sz w:val="22"/>
          <w:szCs w:val="22"/>
        </w:rPr>
        <w:t xml:space="preserve"> The first three principal components of our training collection</w:t>
      </w:r>
      <w:r w:rsidRPr="00C415BC">
        <w:rPr>
          <w:rFonts w:ascii="Arial" w:hAnsi="Arial" w:cs="Arial"/>
          <w:sz w:val="22"/>
          <w:szCs w:val="22"/>
        </w:rPr>
        <w:t xml:space="preserve"> explained a substantial proportion of </w:t>
      </w:r>
      <w:r>
        <w:rPr>
          <w:rFonts w:ascii="Arial" w:hAnsi="Arial" w:cs="Arial"/>
          <w:sz w:val="22"/>
          <w:szCs w:val="22"/>
        </w:rPr>
        <w:t>expression variation for each organism (43.1%</w:t>
      </w:r>
      <w:r w:rsidRPr="00C415BC">
        <w:rPr>
          <w:rFonts w:ascii="Arial" w:hAnsi="Arial" w:cs="Arial"/>
          <w:sz w:val="22"/>
          <w:szCs w:val="22"/>
        </w:rPr>
        <w:t xml:space="preserve"> </w:t>
      </w:r>
      <w:r>
        <w:rPr>
          <w:rFonts w:ascii="Arial" w:hAnsi="Arial" w:cs="Arial"/>
          <w:i/>
          <w:sz w:val="22"/>
          <w:szCs w:val="22"/>
        </w:rPr>
        <w:t>A. thaliana</w:t>
      </w:r>
      <w:r>
        <w:rPr>
          <w:rFonts w:ascii="Arial" w:hAnsi="Arial" w:cs="Arial"/>
          <w:sz w:val="22"/>
          <w:szCs w:val="22"/>
        </w:rPr>
        <w:t>, 39.3%</w:t>
      </w:r>
      <w:r w:rsidRPr="00C415BC">
        <w:rPr>
          <w:rFonts w:ascii="Arial" w:hAnsi="Arial" w:cs="Arial"/>
          <w:sz w:val="22"/>
          <w:szCs w:val="22"/>
        </w:rPr>
        <w:t xml:space="preserve"> </w:t>
      </w:r>
      <w:r>
        <w:rPr>
          <w:rFonts w:ascii="Arial" w:hAnsi="Arial" w:cs="Arial"/>
          <w:i/>
          <w:sz w:val="22"/>
          <w:szCs w:val="22"/>
        </w:rPr>
        <w:t xml:space="preserve">M. </w:t>
      </w:r>
      <w:proofErr w:type="spellStart"/>
      <w:r>
        <w:rPr>
          <w:rFonts w:ascii="Arial" w:hAnsi="Arial" w:cs="Arial"/>
          <w:i/>
          <w:sz w:val="22"/>
          <w:szCs w:val="22"/>
        </w:rPr>
        <w:t>musculus</w:t>
      </w:r>
      <w:proofErr w:type="spellEnd"/>
      <w:r w:rsidRPr="00C415BC">
        <w:rPr>
          <w:rFonts w:ascii="Arial" w:hAnsi="Arial" w:cs="Arial"/>
          <w:sz w:val="22"/>
          <w:szCs w:val="22"/>
        </w:rPr>
        <w:t xml:space="preserve">). </w:t>
      </w:r>
      <w:r w:rsidRPr="00043545">
        <w:rPr>
          <w:rFonts w:ascii="Arial" w:hAnsi="Arial" w:cs="Arial"/>
          <w:sz w:val="22"/>
          <w:szCs w:val="22"/>
        </w:rPr>
        <w:t>For A. thaliana PC1 was primarily aligned with the physical axis of the plant, with above ground, photosynthetic tissues having lower PC1 scores and below ground, root tissues having higher PC1 scores.</w:t>
      </w:r>
      <w:r>
        <w:rPr>
          <w:rFonts w:ascii="Arial" w:hAnsi="Arial" w:cs="Arial"/>
          <w:sz w:val="22"/>
          <w:szCs w:val="22"/>
        </w:rPr>
        <w:t xml:space="preserve"> </w:t>
      </w:r>
      <w:r w:rsidRPr="00BE605B">
        <w:rPr>
          <w:rFonts w:ascii="Arial" w:hAnsi="Arial" w:cs="Arial"/>
          <w:sz w:val="22"/>
          <w:szCs w:val="22"/>
        </w:rPr>
        <w:t>Interestingly, samples found intermediate to the major below</w:t>
      </w:r>
      <w:r w:rsidR="007C18C9">
        <w:rPr>
          <w:rFonts w:ascii="Arial" w:hAnsi="Arial" w:cs="Arial"/>
          <w:sz w:val="22"/>
          <w:szCs w:val="22"/>
        </w:rPr>
        <w:t>- and above-</w:t>
      </w:r>
      <w:r w:rsidRPr="00BE605B">
        <w:rPr>
          <w:rFonts w:ascii="Arial" w:hAnsi="Arial" w:cs="Arial"/>
          <w:sz w:val="22"/>
          <w:szCs w:val="22"/>
        </w:rPr>
        <w:t xml:space="preserve">ground tissue clusters consisted of seedlings grown in constant darkness or mutant seedlings (e.g. det1, </w:t>
      </w:r>
      <w:proofErr w:type="spellStart"/>
      <w:r w:rsidRPr="00BE605B">
        <w:rPr>
          <w:rFonts w:ascii="Arial" w:hAnsi="Arial" w:cs="Arial"/>
          <w:sz w:val="22"/>
          <w:szCs w:val="22"/>
        </w:rPr>
        <w:t>pif</w:t>
      </w:r>
      <w:proofErr w:type="spellEnd"/>
      <w:r w:rsidRPr="00BE605B">
        <w:rPr>
          <w:rFonts w:ascii="Arial" w:hAnsi="Arial" w:cs="Arial"/>
          <w:sz w:val="22"/>
          <w:szCs w:val="22"/>
        </w:rPr>
        <w:t xml:space="preserve">, </w:t>
      </w:r>
      <w:proofErr w:type="spellStart"/>
      <w:r w:rsidRPr="00BE605B">
        <w:rPr>
          <w:rFonts w:ascii="Arial" w:hAnsi="Arial" w:cs="Arial"/>
          <w:sz w:val="22"/>
          <w:szCs w:val="22"/>
        </w:rPr>
        <w:t>phy</w:t>
      </w:r>
      <w:proofErr w:type="spellEnd"/>
      <w:r w:rsidRPr="00BE605B">
        <w:rPr>
          <w:rFonts w:ascii="Arial" w:hAnsi="Arial" w:cs="Arial"/>
          <w:sz w:val="22"/>
          <w:szCs w:val="22"/>
        </w:rPr>
        <w:t xml:space="preserve">) compromised for </w:t>
      </w:r>
      <w:proofErr w:type="spellStart"/>
      <w:r w:rsidRPr="00BE605B">
        <w:rPr>
          <w:rFonts w:ascii="Arial" w:hAnsi="Arial" w:cs="Arial"/>
          <w:sz w:val="22"/>
          <w:szCs w:val="22"/>
        </w:rPr>
        <w:t>photomorphogenesis</w:t>
      </w:r>
      <w:proofErr w:type="spellEnd"/>
      <w:r w:rsidRPr="00BE605B">
        <w:rPr>
          <w:rFonts w:ascii="Arial" w:hAnsi="Arial" w:cs="Arial"/>
          <w:sz w:val="22"/>
          <w:szCs w:val="22"/>
        </w:rPr>
        <w:t>. Thus, PC1 can also be considered to align with light perception and signaling.</w:t>
      </w:r>
      <w:r w:rsidRPr="00C415BC">
        <w:rPr>
          <w:rFonts w:ascii="Arial" w:hAnsi="Arial" w:cs="Arial"/>
          <w:sz w:val="22"/>
          <w:szCs w:val="22"/>
        </w:rPr>
        <w:t xml:space="preserve"> By contrast, PC2 represented a developmental axis, with more embryonic tissues (seeds, endosperms) having lower PC2 scores, and more developed tissues having higher PC2 scores</w:t>
      </w:r>
      <w:r w:rsidR="00455479">
        <w:rPr>
          <w:rFonts w:ascii="Arial" w:hAnsi="Arial" w:cs="Arial"/>
          <w:sz w:val="22"/>
          <w:szCs w:val="22"/>
        </w:rPr>
        <w:t xml:space="preserve"> (Figure 1a, main text)</w:t>
      </w:r>
      <w:r w:rsidRPr="00C415BC">
        <w:rPr>
          <w:rFonts w:ascii="Arial" w:hAnsi="Arial" w:cs="Arial"/>
          <w:sz w:val="22"/>
          <w:szCs w:val="22"/>
        </w:rPr>
        <w:t>.</w:t>
      </w:r>
      <w:r>
        <w:rPr>
          <w:rFonts w:ascii="Arial" w:hAnsi="Arial" w:cs="Arial"/>
          <w:sz w:val="22"/>
          <w:szCs w:val="22"/>
        </w:rPr>
        <w:t xml:space="preserve"> </w:t>
      </w:r>
    </w:p>
    <w:p w14:paraId="779B9C21" w14:textId="338D61F4" w:rsidR="00BA5E3D" w:rsidRDefault="00BA5E3D" w:rsidP="00BA5E3D">
      <w:pPr>
        <w:pStyle w:val="NormalWeb"/>
        <w:spacing w:before="0" w:beforeAutospacing="0" w:after="0" w:afterAutospacing="0"/>
        <w:ind w:firstLine="720"/>
        <w:jc w:val="both"/>
        <w:rPr>
          <w:rFonts w:ascii="Arial" w:hAnsi="Arial" w:cs="Arial"/>
          <w:sz w:val="22"/>
          <w:szCs w:val="22"/>
        </w:rPr>
      </w:pPr>
      <w:r>
        <w:rPr>
          <w:rFonts w:ascii="Arial" w:hAnsi="Arial" w:cs="Arial"/>
          <w:sz w:val="22"/>
          <w:szCs w:val="22"/>
        </w:rPr>
        <w:t xml:space="preserve">For </w:t>
      </w:r>
      <w:r>
        <w:rPr>
          <w:rFonts w:ascii="Arial" w:hAnsi="Arial" w:cs="Arial"/>
          <w:i/>
          <w:sz w:val="22"/>
          <w:szCs w:val="22"/>
        </w:rPr>
        <w:t xml:space="preserve">M. </w:t>
      </w:r>
      <w:proofErr w:type="spellStart"/>
      <w:r>
        <w:rPr>
          <w:rFonts w:ascii="Arial" w:hAnsi="Arial" w:cs="Arial"/>
          <w:i/>
          <w:sz w:val="22"/>
          <w:szCs w:val="22"/>
        </w:rPr>
        <w:t>musculus</w:t>
      </w:r>
      <w:proofErr w:type="spellEnd"/>
      <w:r>
        <w:rPr>
          <w:rFonts w:ascii="Arial" w:hAnsi="Arial" w:cs="Arial"/>
          <w:i/>
          <w:sz w:val="22"/>
          <w:szCs w:val="22"/>
        </w:rPr>
        <w:t xml:space="preserve">, </w:t>
      </w:r>
      <w:r w:rsidRPr="00E90228">
        <w:rPr>
          <w:rFonts w:ascii="Arial" w:hAnsi="Arial" w:cs="Arial"/>
          <w:sz w:val="22"/>
          <w:szCs w:val="22"/>
        </w:rPr>
        <w:t xml:space="preserve">PC1 described a </w:t>
      </w:r>
      <w:proofErr w:type="spellStart"/>
      <w:r w:rsidRPr="00E90228">
        <w:rPr>
          <w:rFonts w:ascii="Arial" w:hAnsi="Arial" w:cs="Arial"/>
          <w:sz w:val="22"/>
          <w:szCs w:val="22"/>
        </w:rPr>
        <w:t>hematopoetic</w:t>
      </w:r>
      <w:proofErr w:type="spellEnd"/>
      <w:r w:rsidRPr="00E90228">
        <w:rPr>
          <w:rFonts w:ascii="Arial" w:hAnsi="Arial" w:cs="Arial"/>
          <w:sz w:val="22"/>
          <w:szCs w:val="22"/>
        </w:rPr>
        <w:t xml:space="preserve">-nervous system axis. Cardiovascular, digestive, respiratory, urinary and connective tissues were found intermediate along this axis, </w:t>
      </w:r>
      <w:proofErr w:type="gramStart"/>
      <w:r w:rsidRPr="00E90228">
        <w:rPr>
          <w:rFonts w:ascii="Arial" w:hAnsi="Arial" w:cs="Arial"/>
          <w:sz w:val="22"/>
          <w:szCs w:val="22"/>
        </w:rPr>
        <w:t>and</w:t>
      </w:r>
      <w:proofErr w:type="gramEnd"/>
      <w:r w:rsidRPr="00E90228">
        <w:rPr>
          <w:rFonts w:ascii="Arial" w:hAnsi="Arial" w:cs="Arial"/>
          <w:sz w:val="22"/>
          <w:szCs w:val="22"/>
        </w:rPr>
        <w:t xml:space="preserve"> with the exception of liver tissue, were not differentiable along the first three PCs. Interestingly, as observed for </w:t>
      </w:r>
      <w:r w:rsidRPr="000670A2">
        <w:rPr>
          <w:rFonts w:ascii="Arial" w:hAnsi="Arial" w:cs="Arial"/>
          <w:i/>
          <w:sz w:val="22"/>
          <w:szCs w:val="22"/>
        </w:rPr>
        <w:t>A. thaliana</w:t>
      </w:r>
      <w:r w:rsidRPr="00E90228">
        <w:rPr>
          <w:rFonts w:ascii="Arial" w:hAnsi="Arial" w:cs="Arial"/>
          <w:sz w:val="22"/>
          <w:szCs w:val="22"/>
        </w:rPr>
        <w:t xml:space="preserve">, PC2 represented a developmental axis, with general </w:t>
      </w:r>
      <w:r>
        <w:rPr>
          <w:rFonts w:ascii="Arial" w:hAnsi="Arial" w:cs="Arial"/>
          <w:sz w:val="22"/>
          <w:szCs w:val="22"/>
        </w:rPr>
        <w:t>“</w:t>
      </w:r>
      <w:proofErr w:type="spellStart"/>
      <w:r w:rsidRPr="00E90228">
        <w:rPr>
          <w:rFonts w:ascii="Arial" w:hAnsi="Arial" w:cs="Arial"/>
          <w:sz w:val="22"/>
          <w:szCs w:val="22"/>
        </w:rPr>
        <w:t>stemness</w:t>
      </w:r>
      <w:proofErr w:type="spellEnd"/>
      <w:r>
        <w:rPr>
          <w:rFonts w:ascii="Arial" w:hAnsi="Arial" w:cs="Arial"/>
          <w:sz w:val="22"/>
          <w:szCs w:val="22"/>
        </w:rPr>
        <w:t>”</w:t>
      </w:r>
      <w:r w:rsidRPr="00E90228">
        <w:rPr>
          <w:rFonts w:ascii="Arial" w:hAnsi="Arial" w:cs="Arial"/>
          <w:sz w:val="22"/>
          <w:szCs w:val="22"/>
        </w:rPr>
        <w:t xml:space="preserve"> decreasing with increasing PC2 score. Consistent with this trend, nervous tissue from embryos and postnatal mice had consistently lower PC2 scores than mature nervous tissue. </w:t>
      </w:r>
      <w:r>
        <w:rPr>
          <w:rFonts w:ascii="Arial" w:hAnsi="Arial" w:cs="Arial"/>
          <w:sz w:val="22"/>
          <w:szCs w:val="22"/>
        </w:rPr>
        <w:t>We</w:t>
      </w:r>
      <w:r w:rsidRPr="00E90228">
        <w:rPr>
          <w:rFonts w:ascii="Arial" w:hAnsi="Arial" w:cs="Arial"/>
          <w:sz w:val="22"/>
          <w:szCs w:val="22"/>
        </w:rPr>
        <w:t xml:space="preserve"> did not find any significant correlation between </w:t>
      </w:r>
      <w:proofErr w:type="spellStart"/>
      <w:r>
        <w:rPr>
          <w:rFonts w:ascii="Arial" w:hAnsi="Arial" w:cs="Arial"/>
          <w:i/>
          <w:sz w:val="22"/>
          <w:szCs w:val="22"/>
        </w:rPr>
        <w:t>Xist</w:t>
      </w:r>
      <w:proofErr w:type="spellEnd"/>
      <w:r w:rsidRPr="00E90228">
        <w:rPr>
          <w:rFonts w:ascii="Arial" w:hAnsi="Arial" w:cs="Arial"/>
          <w:sz w:val="22"/>
          <w:szCs w:val="22"/>
        </w:rPr>
        <w:t xml:space="preserve"> expression and any of the top twenty PCs, suggesting that sex was not a major driver of global gene expression relative to tissue and developmental context. This is consistent with findings reported </w:t>
      </w:r>
      <w:r>
        <w:rPr>
          <w:rFonts w:ascii="Arial" w:hAnsi="Arial" w:cs="Arial"/>
          <w:sz w:val="22"/>
          <w:szCs w:val="22"/>
        </w:rPr>
        <w:t xml:space="preserve">in Crowley </w:t>
      </w:r>
      <w:r>
        <w:rPr>
          <w:rFonts w:ascii="Arial" w:hAnsi="Arial" w:cs="Arial"/>
          <w:i/>
          <w:sz w:val="22"/>
          <w:szCs w:val="22"/>
        </w:rPr>
        <w:t xml:space="preserve">et al. </w:t>
      </w:r>
      <w:r>
        <w:rPr>
          <w:rFonts w:ascii="Arial" w:hAnsi="Arial" w:cs="Arial"/>
          <w:sz w:val="22"/>
          <w:szCs w:val="22"/>
        </w:rPr>
        <w:t>(2015)</w:t>
      </w:r>
      <w:r w:rsidR="00367A12">
        <w:rPr>
          <w:rFonts w:ascii="Arial" w:hAnsi="Arial" w:cs="Arial"/>
          <w:sz w:val="22"/>
          <w:szCs w:val="22"/>
        </w:rPr>
        <w:fldChar w:fldCharType="begin" w:fldLock="1"/>
      </w:r>
      <w:r w:rsidR="00367A12">
        <w:rPr>
          <w:rFonts w:ascii="Arial" w:hAnsi="Arial" w:cs="Arial"/>
          <w:sz w:val="22"/>
          <w:szCs w:val="22"/>
        </w:rPr>
        <w:instrText>ADDIN CSL_CITATION { "citationItems" : [ { "id" : "ITEM-1", "itemData" : { "DOI" : "10.1038/ng.3222", "ISSN" : "1061-4036", "author" : [ { "dropping-particle" : "", "family" : "Crowley", "given" : "James J", "non-dropping-particle" : "", "parse-names" : false, "suffix" : "" }, { "dropping-particle" : "", "family" : "Zhabotynsky", "given" : "Vasyl", "non-dropping-particle" : "", "parse-names" : false, "suffix" : "" }, { "dropping-particle" : "", "family" : "Sun", "given" : "Wei", "non-dropping-particle" : "", "parse-names" : false, "suffix" : "" }, { "dropping-particle" : "", "family" : "Huang", "given" : "Shunping", "non-dropping-particle" : "", "parse-names" : false, "suffix" : "" }, { "dropping-particle" : "", "family" : "Pakatci", "given" : "Isa Kemal", "non-dropping-particle" : "", "parse-names" : false, "suffix" : "" }, { "dropping-particle" : "", "family" : "Kim", "given" : "Yunjung", "non-dropping-particle" : "", "parse-names" : false, "suffix" : "" }, { "dropping-particle" : "", "family" : "Wang", "given" : "Jeremy R", "non-dropping-particle" : "", "parse-names" : false, "suffix" : "" }, { "dropping-particle" : "", "family" : "Morgan", "given" : "Andrew P", "non-dropping-particle" : "", "parse-names" : false, "suffix" : "" }, { "dropping-particle" : "", "family" : "Calaway", "given" : "John D", "non-dropping-particle" : "", "parse-names" : false, "suffix" : "" }, { "dropping-particle" : "", "family" : "Aylor", "given" : "David L", "non-dropping-particle" : "", "parse-names" : false, "suffix" : "" }, { "dropping-particle" : "", "family" : "Yun", "given" : "Zaining", "non-dropping-particle" : "", "parse-names" : false, "suffix" : "" }, { "dropping-particle" : "", "family" : "Bell", "given" : "Timothy a", "non-dropping-particle" : "", "parse-names" : false, "suffix" : "" }, { "dropping-particle" : "", "family" : "Buus", "given" : "Ryan J", "non-dropping-particle" : "", "parse-names" : false, "suffix" : "" }, { "dropping-particle" : "", "family" : "Calaway", "given" : "Mark E", "non-dropping-particle" : "", "parse-names" : false, "suffix" : "" }, { "dropping-particle" : "", "family" : "Didion", "given" : "John P", "non-dropping-particle" : "", "parse-names" : false, "suffix" : "" }, { "dropping-particle" : "", "family" : "Gooch", "given" : "Terry J", "non-dropping-particle" : "", "parse-names" : false, "suffix" : "" }, { "dropping-particle" : "", "family" : "Hansen", "given" : "Stephanie D", "non-dropping-particle" : "", "parse-names" : false, "suffix" : "" }, { "dropping-particle" : "", "family" : "Robinson", "given" : "Nashiya N", "non-dropping-particle" : "", "parse-names" : false, "suffix" : "" }, { "dropping-particle" : "", "family" : "Shaw", "given" : "Ginger D", "non-dropping-particle" : "", "parse-names" : false, "suffix" : "" }, { "dropping-particle" : "", "family" : "Spence", "given" : "Jason S", "non-dropping-particle" : "", "parse-names" : false, "suffix" : "" }, { "dropping-particle" : "", "family" : "Quackenbush", "given" : "Corey R", "non-dropping-particle" : "", "parse-names" : false, "suffix" : "" }, { "dropping-particle" : "", "family" : "Barrick", "given" : "Cordelia J", "non-dropping-particle" : "", "parse-names" : false, "suffix" : "" }, { "dropping-particle" : "", "family" : "Nonneman", "given" : "Randal J", "non-dropping-particle" : "", "parse-names" : false, "suffix" : "" }, { "dropping-particle" : "", "family" : "Kim", "given" : "Kyungsu", "non-dropping-particle" : "", "parse-names" : false, "suffix" : "" }, { "dropping-particle" : "", "family" : "Xenakis", "given" : "James", "non-dropping-particle" : "", "parse-names" : false, "suffix" : "" }, { "dropping-particle" : "", "family" : "Xie", "given" : "Yuying", "non-dropping-particle" : "", "parse-names" : false, "suffix" : "" }, { "dropping-particle" : "", "family" : "Valdar", "given" : "William", "non-dropping-particle" : "", "parse-names" : false, "suffix" : "" }, { "dropping-particle" : "", "family" : "Lenarcic", "given" : "Alan B", "non-dropping-particle" : "", "parse-names" : false, "suffix" : "" }, { "dropping-particle" : "", "family" : "Wang", "given" : "Wei", "non-dropping-particle" : "", "parse-names" : false, "suffix" : "" }, { "dropping-particle" : "", "family" : "Welsh", "given" : "Catherine E", "non-dropping-particle" : "", "parse-names" : false, "suffix" : "" }, { "dropping-particle" : "", "family" : "Fu", "given" : "Chen-Ping", "non-dropping-particle" : "", "parse-names" : false, "suffix" : "" }, { "dropping-particle" : "", "family" : "Zhang", "given" : "Zhaojun", "non-dropping-particle" : "", "parse-names" : false, "suffix" : "" }, { "dropping-particle" : "", "family" : "Holt", "given" : "James", "non-dropping-particle" : "", "parse-names" : false, "suffix" : "" }, { "dropping-particle" : "", "family" : "Guo", "given" : "Zhishan", "non-dropping-particle" : "", "parse-names" : false, "suffix" : "" }, { "dropping-particle" : "", "family" : "Threadgill", "given" : "David W", "non-dropping-particle" : "", "parse-names" : false, "suffix" : "" }, { "dropping-particle" : "", "family" : "Tarantino", "given" : "Lisa M", "non-dropping-particle" : "", "parse-names" : false, "suffix" : "" }, { "dropping-particle" : "", "family" : "Miller", "given" : "Darla R", "non-dropping-particle" : "", "parse-names" : false, "suffix" : "" }, { "dropping-particle" : "", "family" : "Zou", "given" : "Fei", "non-dropping-particle" : "", "parse-names" : false, "suffix" : "" }, { "dropping-particle" : "", "family" : "McMillan", "given" : "Leonard", "non-dropping-particle" : "", "parse-names" : false, "suffix" : "" }, { "dropping-particle" : "", "family" : "Sullivan", "given" : "Patrick F", "non-dropping-particle" : "", "parse-names" : false, "suffix" : "" }, { "dropping-particle" : "", "family" : "Pardo-Manuel de Villena", "given" : "Fernando", "non-dropping-particle" : "", "parse-names" : false, "suffix" : "" } ], "container-title" : "Nature Genetics", "id" : "ITEM-1", "issue" : "4", "issued" : { "date-parts" : [ [ "2015" ] ] }, "title" : "Analyses of allele-specific gene expression in highly divergent mouse crosses identifies pervasive allelic imbalance", "type" : "article-journal", "volume" : "47" }, "uris" : [ "http://www.mendeley.com/documents/?uuid=f797b405-a146-4cc1-a012-6af19f6a0c98" ] } ], "mendeley" : { "formattedCitation" : "&lt;sup&gt;1&lt;/sup&gt;", "plainTextFormattedCitation" : "1" }, "properties" : { "noteIndex" : 0 }, "schema" : "https://github.com/citation-style-language/schema/raw/master/csl-citation.json" }</w:instrText>
      </w:r>
      <w:r w:rsidR="00367A12">
        <w:rPr>
          <w:rFonts w:ascii="Arial" w:hAnsi="Arial" w:cs="Arial"/>
          <w:sz w:val="22"/>
          <w:szCs w:val="22"/>
        </w:rPr>
        <w:fldChar w:fldCharType="separate"/>
      </w:r>
      <w:r w:rsidR="00367A12" w:rsidRPr="00367A12">
        <w:rPr>
          <w:rFonts w:ascii="Arial" w:hAnsi="Arial" w:cs="Arial"/>
          <w:noProof/>
          <w:sz w:val="22"/>
          <w:szCs w:val="22"/>
          <w:vertAlign w:val="superscript"/>
        </w:rPr>
        <w:t>1</w:t>
      </w:r>
      <w:r w:rsidR="00367A12">
        <w:rPr>
          <w:rFonts w:ascii="Arial" w:hAnsi="Arial" w:cs="Arial"/>
          <w:sz w:val="22"/>
          <w:szCs w:val="22"/>
        </w:rPr>
        <w:fldChar w:fldCharType="end"/>
      </w:r>
      <w:r>
        <w:rPr>
          <w:rFonts w:ascii="Arial" w:hAnsi="Arial" w:cs="Arial"/>
          <w:sz w:val="22"/>
          <w:szCs w:val="22"/>
        </w:rPr>
        <w:t xml:space="preserve">. </w:t>
      </w:r>
    </w:p>
    <w:p w14:paraId="27C18F48" w14:textId="77777777" w:rsidR="00BA5E3D" w:rsidRDefault="00BA5E3D" w:rsidP="00BA5E3D">
      <w:pPr>
        <w:pStyle w:val="NormalWeb"/>
        <w:spacing w:before="0" w:beforeAutospacing="0" w:after="0" w:afterAutospacing="0"/>
        <w:ind w:firstLine="720"/>
        <w:jc w:val="both"/>
        <w:rPr>
          <w:rFonts w:ascii="Arial" w:hAnsi="Arial" w:cs="Arial"/>
          <w:sz w:val="22"/>
          <w:szCs w:val="22"/>
        </w:rPr>
      </w:pPr>
      <w:r w:rsidRPr="00533BCF">
        <w:rPr>
          <w:rFonts w:ascii="Arial" w:hAnsi="Arial" w:cs="Arial"/>
          <w:sz w:val="22"/>
          <w:szCs w:val="22"/>
        </w:rPr>
        <w:t xml:space="preserve">To further assess the </w:t>
      </w:r>
      <w:r>
        <w:rPr>
          <w:rFonts w:ascii="Arial" w:hAnsi="Arial" w:cs="Arial"/>
          <w:sz w:val="22"/>
          <w:szCs w:val="22"/>
        </w:rPr>
        <w:t>quality</w:t>
      </w:r>
      <w:r w:rsidRPr="00533BCF">
        <w:rPr>
          <w:rFonts w:ascii="Arial" w:hAnsi="Arial" w:cs="Arial"/>
          <w:sz w:val="22"/>
          <w:szCs w:val="22"/>
        </w:rPr>
        <w:t xml:space="preserve"> and representativeness of our </w:t>
      </w:r>
      <w:r>
        <w:rPr>
          <w:rFonts w:ascii="Arial" w:hAnsi="Arial" w:cs="Arial"/>
          <w:sz w:val="22"/>
          <w:szCs w:val="22"/>
        </w:rPr>
        <w:t>training collection</w:t>
      </w:r>
      <w:r w:rsidRPr="00533BCF">
        <w:rPr>
          <w:rFonts w:ascii="Arial" w:hAnsi="Arial" w:cs="Arial"/>
          <w:sz w:val="22"/>
          <w:szCs w:val="22"/>
        </w:rPr>
        <w:t>, we examined the distribution of SRA submissions across the expression space, compared inter-submission variabil</w:t>
      </w:r>
      <w:r>
        <w:rPr>
          <w:rFonts w:ascii="Arial" w:hAnsi="Arial" w:cs="Arial"/>
          <w:sz w:val="22"/>
          <w:szCs w:val="22"/>
        </w:rPr>
        <w:t>ity within and between tissues,</w:t>
      </w:r>
      <w:r w:rsidRPr="00533BCF">
        <w:rPr>
          <w:rFonts w:ascii="Arial" w:hAnsi="Arial" w:cs="Arial"/>
          <w:sz w:val="22"/>
          <w:szCs w:val="22"/>
        </w:rPr>
        <w:t xml:space="preserve"> inspected expression correlations among genes with well established regulatory relationships</w:t>
      </w:r>
      <w:r>
        <w:rPr>
          <w:rFonts w:ascii="Arial" w:hAnsi="Arial" w:cs="Arial"/>
          <w:sz w:val="22"/>
          <w:szCs w:val="22"/>
        </w:rPr>
        <w:t xml:space="preserve">, and </w:t>
      </w:r>
      <w:r w:rsidRPr="00533BCF">
        <w:rPr>
          <w:rFonts w:ascii="Arial" w:hAnsi="Arial" w:cs="Arial"/>
          <w:sz w:val="22"/>
          <w:szCs w:val="22"/>
        </w:rPr>
        <w:t xml:space="preserve">assessed the evolution of the </w:t>
      </w:r>
      <w:bookmarkStart w:id="0" w:name="_GoBack"/>
      <w:r w:rsidRPr="00533BCF">
        <w:rPr>
          <w:rFonts w:ascii="Arial" w:hAnsi="Arial" w:cs="Arial"/>
          <w:sz w:val="22"/>
          <w:szCs w:val="22"/>
        </w:rPr>
        <w:t xml:space="preserve">expression space across time. Technical variation due to differences in laboratory procedures </w:t>
      </w:r>
      <w:bookmarkEnd w:id="0"/>
      <w:r w:rsidRPr="00533BCF">
        <w:rPr>
          <w:rFonts w:ascii="Arial" w:hAnsi="Arial" w:cs="Arial"/>
          <w:sz w:val="22"/>
          <w:szCs w:val="22"/>
        </w:rPr>
        <w:t>across labs is difficult assess since this requires two different labs to perform the same, equivalently aimed experiment. Nevertheless, for both organisms, each tissue or development specific cluster was supported by multiple submissions</w:t>
      </w:r>
      <w:r>
        <w:rPr>
          <w:rFonts w:ascii="Arial" w:hAnsi="Arial" w:cs="Arial"/>
          <w:sz w:val="22"/>
          <w:szCs w:val="22"/>
        </w:rPr>
        <w:t>,</w:t>
      </w:r>
      <w:r w:rsidRPr="00533BCF">
        <w:rPr>
          <w:rFonts w:ascii="Arial" w:hAnsi="Arial" w:cs="Arial"/>
          <w:sz w:val="22"/>
          <w:szCs w:val="22"/>
        </w:rPr>
        <w:t xml:space="preserve"> and importantly, inter-submission variability within a tissue or developmental context was significantly smaller than inter-tissue/d</w:t>
      </w:r>
      <w:r>
        <w:rPr>
          <w:rFonts w:ascii="Arial" w:hAnsi="Arial" w:cs="Arial"/>
          <w:sz w:val="22"/>
          <w:szCs w:val="22"/>
        </w:rPr>
        <w:t xml:space="preserve">evelopmental stage variability (p-value </w:t>
      </w:r>
      <w:r w:rsidRPr="00533BCF">
        <w:rPr>
          <w:rFonts w:ascii="Arial" w:hAnsi="Arial" w:cs="Arial"/>
          <w:sz w:val="22"/>
          <w:szCs w:val="22"/>
        </w:rPr>
        <w:t xml:space="preserve">= 1.23e-16, </w:t>
      </w:r>
      <w:r>
        <w:rPr>
          <w:rFonts w:ascii="Arial" w:hAnsi="Arial" w:cs="Arial"/>
          <w:sz w:val="22"/>
          <w:szCs w:val="22"/>
        </w:rPr>
        <w:t>F-</w:t>
      </w:r>
      <w:r w:rsidRPr="00533BCF">
        <w:rPr>
          <w:rFonts w:ascii="Arial" w:hAnsi="Arial" w:cs="Arial"/>
          <w:sz w:val="22"/>
          <w:szCs w:val="22"/>
        </w:rPr>
        <w:t>test</w:t>
      </w:r>
      <w:r>
        <w:rPr>
          <w:rFonts w:ascii="Arial" w:hAnsi="Arial" w:cs="Arial"/>
          <w:sz w:val="22"/>
          <w:szCs w:val="22"/>
        </w:rPr>
        <w:t xml:space="preserve">; </w:t>
      </w:r>
      <w:r>
        <w:rPr>
          <w:rFonts w:ascii="Arial" w:hAnsi="Arial" w:cs="Arial"/>
          <w:sz w:val="22"/>
          <w:szCs w:val="22"/>
          <w:highlight w:val="yellow"/>
        </w:rPr>
        <w:t>SI Figure 1</w:t>
      </w:r>
      <w:r w:rsidRPr="00DB6F63">
        <w:rPr>
          <w:rFonts w:ascii="Arial" w:hAnsi="Arial" w:cs="Arial"/>
          <w:sz w:val="22"/>
          <w:szCs w:val="22"/>
          <w:highlight w:val="yellow"/>
        </w:rPr>
        <w:t>a</w:t>
      </w:r>
      <w:r w:rsidRPr="00533BCF">
        <w:rPr>
          <w:rFonts w:ascii="Arial" w:hAnsi="Arial" w:cs="Arial"/>
          <w:sz w:val="22"/>
          <w:szCs w:val="22"/>
        </w:rPr>
        <w:t xml:space="preserve">). </w:t>
      </w:r>
      <w:r>
        <w:rPr>
          <w:rFonts w:ascii="Arial" w:hAnsi="Arial" w:cs="Arial"/>
          <w:sz w:val="22"/>
          <w:szCs w:val="22"/>
        </w:rPr>
        <w:t>W</w:t>
      </w:r>
      <w:r w:rsidRPr="00533BCF">
        <w:rPr>
          <w:rFonts w:ascii="Arial" w:hAnsi="Arial" w:cs="Arial"/>
          <w:sz w:val="22"/>
          <w:szCs w:val="22"/>
        </w:rPr>
        <w:t xml:space="preserve">e </w:t>
      </w:r>
      <w:r>
        <w:rPr>
          <w:rFonts w:ascii="Arial" w:hAnsi="Arial" w:cs="Arial"/>
          <w:sz w:val="22"/>
          <w:szCs w:val="22"/>
        </w:rPr>
        <w:t xml:space="preserve">also </w:t>
      </w:r>
      <w:r w:rsidRPr="00533BCF">
        <w:rPr>
          <w:rFonts w:ascii="Arial" w:hAnsi="Arial" w:cs="Arial"/>
          <w:sz w:val="22"/>
          <w:szCs w:val="22"/>
        </w:rPr>
        <w:t xml:space="preserve">compared the expression of </w:t>
      </w:r>
      <w:r>
        <w:rPr>
          <w:rFonts w:ascii="Arial" w:hAnsi="Arial" w:cs="Arial"/>
          <w:i/>
          <w:sz w:val="22"/>
          <w:szCs w:val="22"/>
        </w:rPr>
        <w:t>ELF3</w:t>
      </w:r>
      <w:r>
        <w:rPr>
          <w:rFonts w:ascii="Arial" w:hAnsi="Arial" w:cs="Arial"/>
          <w:sz w:val="22"/>
          <w:szCs w:val="22"/>
        </w:rPr>
        <w:t xml:space="preserve">, </w:t>
      </w:r>
      <w:r>
        <w:rPr>
          <w:rFonts w:ascii="Arial" w:hAnsi="Arial" w:cs="Arial"/>
          <w:i/>
          <w:sz w:val="22"/>
          <w:szCs w:val="22"/>
        </w:rPr>
        <w:t>LHY</w:t>
      </w:r>
      <w:r>
        <w:rPr>
          <w:rFonts w:ascii="Arial" w:hAnsi="Arial" w:cs="Arial"/>
          <w:sz w:val="22"/>
          <w:szCs w:val="22"/>
        </w:rPr>
        <w:t xml:space="preserve">, and </w:t>
      </w:r>
      <w:r>
        <w:rPr>
          <w:rFonts w:ascii="Arial" w:hAnsi="Arial" w:cs="Arial"/>
          <w:i/>
          <w:sz w:val="22"/>
          <w:szCs w:val="22"/>
        </w:rPr>
        <w:t>TOC1</w:t>
      </w:r>
      <w:r w:rsidRPr="00533BCF">
        <w:rPr>
          <w:rFonts w:ascii="Arial" w:hAnsi="Arial" w:cs="Arial"/>
          <w:sz w:val="22"/>
          <w:szCs w:val="22"/>
        </w:rPr>
        <w:t xml:space="preserve"> -- early and late elements of the </w:t>
      </w:r>
      <w:r>
        <w:rPr>
          <w:rFonts w:ascii="Arial" w:hAnsi="Arial" w:cs="Arial"/>
          <w:i/>
          <w:sz w:val="22"/>
          <w:szCs w:val="22"/>
        </w:rPr>
        <w:t>A. thaliana</w:t>
      </w:r>
      <w:r w:rsidRPr="00533BCF">
        <w:rPr>
          <w:rFonts w:ascii="Arial" w:hAnsi="Arial" w:cs="Arial"/>
          <w:sz w:val="22"/>
          <w:szCs w:val="22"/>
        </w:rPr>
        <w:t xml:space="preserve"> circadian clock -- and found strong correlation in their expression with a direction and magnitude that fit</w:t>
      </w:r>
      <w:r>
        <w:rPr>
          <w:rFonts w:ascii="Arial" w:hAnsi="Arial" w:cs="Arial"/>
          <w:sz w:val="22"/>
          <w:szCs w:val="22"/>
        </w:rPr>
        <w:t xml:space="preserve"> established expectations (</w:t>
      </w:r>
      <w:r>
        <w:rPr>
          <w:rFonts w:ascii="Arial" w:hAnsi="Arial" w:cs="Arial"/>
          <w:sz w:val="22"/>
          <w:szCs w:val="22"/>
          <w:highlight w:val="yellow"/>
        </w:rPr>
        <w:t>SI Figure 1b</w:t>
      </w:r>
      <w:r>
        <w:rPr>
          <w:rFonts w:ascii="Arial" w:hAnsi="Arial" w:cs="Arial"/>
          <w:sz w:val="22"/>
          <w:szCs w:val="22"/>
        </w:rPr>
        <w:t xml:space="preserve">). </w:t>
      </w:r>
    </w:p>
    <w:p w14:paraId="47A28935" w14:textId="77777777" w:rsidR="00BA5E3D" w:rsidRDefault="00BA5E3D" w:rsidP="00BA5E3D">
      <w:pPr>
        <w:pStyle w:val="NormalWeb"/>
        <w:spacing w:before="0" w:beforeAutospacing="0" w:after="0" w:afterAutospacing="0"/>
        <w:ind w:firstLine="720"/>
        <w:jc w:val="both"/>
        <w:rPr>
          <w:rFonts w:ascii="Arial" w:hAnsi="Arial" w:cs="Arial"/>
          <w:sz w:val="22"/>
          <w:szCs w:val="22"/>
        </w:rPr>
      </w:pPr>
      <w:r>
        <w:rPr>
          <w:rFonts w:ascii="Arial" w:hAnsi="Arial" w:cs="Arial"/>
          <w:sz w:val="22"/>
          <w:szCs w:val="22"/>
        </w:rPr>
        <w:t xml:space="preserve">We next performed a temporal rarefaction analysis. Specifically, we compared (measured by Pearson correlation) how past distributions of samples along each of the first 100 principal components compared to their present distribution. Figure 1d-e illustrate that the expression space stabilized 2-3 years ago, and that new </w:t>
      </w:r>
      <w:proofErr w:type="spellStart"/>
      <w:r>
        <w:rPr>
          <w:rFonts w:ascii="Arial" w:hAnsi="Arial" w:cs="Arial"/>
          <w:sz w:val="22"/>
          <w:szCs w:val="22"/>
        </w:rPr>
        <w:t>transcriptome</w:t>
      </w:r>
      <w:proofErr w:type="spellEnd"/>
      <w:r>
        <w:rPr>
          <w:rFonts w:ascii="Arial" w:hAnsi="Arial" w:cs="Arial"/>
          <w:sz w:val="22"/>
          <w:szCs w:val="22"/>
        </w:rPr>
        <w:t xml:space="preserve"> samples that are added to the SRA tend to fall within already established clusters. </w:t>
      </w:r>
      <w:r w:rsidRPr="00533BCF">
        <w:rPr>
          <w:rFonts w:ascii="Arial" w:hAnsi="Arial" w:cs="Arial"/>
          <w:sz w:val="22"/>
          <w:szCs w:val="22"/>
        </w:rPr>
        <w:t xml:space="preserve">We further note that the amount of </w:t>
      </w:r>
      <w:r w:rsidRPr="00533BCF">
        <w:rPr>
          <w:rFonts w:ascii="Arial" w:hAnsi="Arial" w:cs="Arial"/>
          <w:sz w:val="22"/>
          <w:szCs w:val="22"/>
        </w:rPr>
        <w:lastRenderedPageBreak/>
        <w:t xml:space="preserve">usable </w:t>
      </w:r>
      <w:proofErr w:type="spellStart"/>
      <w:r w:rsidRPr="00533BCF">
        <w:rPr>
          <w:rFonts w:ascii="Arial" w:hAnsi="Arial" w:cs="Arial"/>
          <w:sz w:val="22"/>
          <w:szCs w:val="22"/>
        </w:rPr>
        <w:t>transcriptomic</w:t>
      </w:r>
      <w:proofErr w:type="spellEnd"/>
      <w:r w:rsidRPr="00533BCF">
        <w:rPr>
          <w:rFonts w:ascii="Arial" w:hAnsi="Arial" w:cs="Arial"/>
          <w:sz w:val="22"/>
          <w:szCs w:val="22"/>
        </w:rPr>
        <w:t xml:space="preserve"> data deposited on the SRA, and hence the representativeness of our sample, is increasing exponentially (</w:t>
      </w:r>
      <w:r w:rsidRPr="006F16B2">
        <w:rPr>
          <w:rFonts w:ascii="Arial" w:hAnsi="Arial" w:cs="Arial"/>
          <w:sz w:val="22"/>
          <w:szCs w:val="22"/>
          <w:highlight w:val="yellow"/>
        </w:rPr>
        <w:t>SI Figure</w:t>
      </w:r>
      <w:r w:rsidRPr="00533BCF">
        <w:rPr>
          <w:rFonts w:ascii="Arial" w:hAnsi="Arial" w:cs="Arial"/>
          <w:sz w:val="22"/>
          <w:szCs w:val="22"/>
        </w:rPr>
        <w:t>).</w:t>
      </w:r>
    </w:p>
    <w:p w14:paraId="7C8DDEC5" w14:textId="77777777" w:rsidR="00BA5E3D" w:rsidRDefault="00BA5E3D" w:rsidP="0082039F">
      <w:pPr>
        <w:spacing w:line="240" w:lineRule="auto"/>
        <w:ind w:firstLine="0"/>
        <w:contextualSpacing/>
        <w:jc w:val="both"/>
        <w:rPr>
          <w:rFonts w:ascii="Arial" w:hAnsi="Arial"/>
          <w:b/>
          <w:sz w:val="28"/>
          <w:szCs w:val="20"/>
        </w:rPr>
      </w:pPr>
    </w:p>
    <w:p w14:paraId="4F68067E" w14:textId="3BC121BC" w:rsidR="0082039F" w:rsidRPr="0082039F" w:rsidRDefault="0082039F" w:rsidP="0082039F">
      <w:pPr>
        <w:spacing w:line="240" w:lineRule="auto"/>
        <w:ind w:firstLine="0"/>
        <w:contextualSpacing/>
        <w:jc w:val="both"/>
        <w:rPr>
          <w:rFonts w:ascii="Arial" w:hAnsi="Arial" w:cs="Arial"/>
          <w:b/>
          <w:sz w:val="24"/>
        </w:rPr>
      </w:pPr>
      <w:r w:rsidRPr="0082039F">
        <w:rPr>
          <w:rFonts w:ascii="Arial" w:hAnsi="Arial" w:cs="Arial"/>
          <w:b/>
          <w:sz w:val="24"/>
        </w:rPr>
        <w:t>Materials and Methods</w:t>
      </w:r>
    </w:p>
    <w:p w14:paraId="61955D6B" w14:textId="77777777" w:rsidR="0082039F" w:rsidRPr="0082039F" w:rsidRDefault="0082039F" w:rsidP="0082039F">
      <w:pPr>
        <w:spacing w:line="240" w:lineRule="auto"/>
        <w:ind w:firstLine="0"/>
        <w:contextualSpacing/>
        <w:jc w:val="both"/>
        <w:rPr>
          <w:rFonts w:ascii="Arial" w:hAnsi="Arial" w:cs="Arial"/>
          <w:b/>
          <w:sz w:val="24"/>
        </w:rPr>
      </w:pPr>
    </w:p>
    <w:p w14:paraId="6ED9D539" w14:textId="77777777" w:rsidR="0082039F" w:rsidRPr="0082039F" w:rsidRDefault="0082039F" w:rsidP="0082039F">
      <w:pPr>
        <w:spacing w:line="240" w:lineRule="auto"/>
        <w:ind w:firstLine="0"/>
        <w:contextualSpacing/>
        <w:jc w:val="both"/>
        <w:rPr>
          <w:rFonts w:ascii="Arial" w:hAnsi="Arial" w:cs="Arial"/>
          <w:b/>
        </w:rPr>
      </w:pPr>
      <w:r w:rsidRPr="0082039F">
        <w:rPr>
          <w:rFonts w:ascii="Arial" w:hAnsi="Arial" w:cs="Arial"/>
          <w:b/>
        </w:rPr>
        <w:t>Data acquisition and transcript quantification</w:t>
      </w:r>
    </w:p>
    <w:p w14:paraId="6D4EA17F" w14:textId="5D463F00" w:rsidR="0082039F" w:rsidRPr="001C4EE2" w:rsidRDefault="0082039F" w:rsidP="0082039F">
      <w:pPr>
        <w:spacing w:line="240" w:lineRule="auto"/>
        <w:ind w:firstLine="0"/>
        <w:contextualSpacing/>
        <w:jc w:val="both"/>
        <w:rPr>
          <w:rFonts w:ascii="Arial" w:hAnsi="Arial" w:cs="Arial"/>
        </w:rPr>
      </w:pPr>
      <w:r w:rsidRPr="0082039F">
        <w:rPr>
          <w:rFonts w:ascii="Arial" w:hAnsi="Arial" w:cs="Arial"/>
        </w:rPr>
        <w:t xml:space="preserve">Data acquisition and transcript quantification were managed using a custom script, srafish.pl. The srafish.pl algorithm and its dependencies are described below. Complete instructions for installing (including all dependencies) and using srafish.pl are available on our </w:t>
      </w:r>
      <w:proofErr w:type="spellStart"/>
      <w:r w:rsidRPr="0082039F">
        <w:rPr>
          <w:rFonts w:ascii="Arial" w:hAnsi="Arial" w:cs="Arial"/>
        </w:rPr>
        <w:t>GitHub</w:t>
      </w:r>
      <w:proofErr w:type="spellEnd"/>
      <w:r w:rsidRPr="0082039F">
        <w:rPr>
          <w:rFonts w:ascii="Arial" w:hAnsi="Arial" w:cs="Arial"/>
        </w:rPr>
        <w:t xml:space="preserve"> page: </w:t>
      </w:r>
      <w:hyperlink r:id="rId7" w:history="1">
        <w:r w:rsidRPr="0082039F">
          <w:rPr>
            <w:rStyle w:val="Hyperlink"/>
            <w:rFonts w:ascii="Arial" w:hAnsi="Arial" w:cs="Arial"/>
          </w:rPr>
          <w:t>https://github.com/surgebiswas/transcriptome_compression/tree/master/data_download</w:t>
        </w:r>
      </w:hyperlink>
      <w:r w:rsidRPr="0082039F">
        <w:rPr>
          <w:rFonts w:ascii="Arial" w:hAnsi="Arial" w:cs="Arial"/>
        </w:rPr>
        <w:t>.</w:t>
      </w:r>
    </w:p>
    <w:p w14:paraId="1D3B0589" w14:textId="62649D79" w:rsidR="0082039F" w:rsidRDefault="0082039F" w:rsidP="0082039F">
      <w:pPr>
        <w:pStyle w:val="Style1"/>
        <w:keepNext/>
        <w:spacing w:line="240" w:lineRule="auto"/>
        <w:ind w:firstLine="0"/>
        <w:contextualSpacing/>
        <w:jc w:val="center"/>
      </w:pPr>
      <w:r>
        <w:rPr>
          <w:noProof/>
        </w:rPr>
        <w:drawing>
          <wp:inline distT="0" distB="0" distL="0" distR="0" wp14:anchorId="0B954385" wp14:editId="0BF36AF2">
            <wp:extent cx="3889420" cy="4189081"/>
            <wp:effectExtent l="0" t="0" r="0" b="2540"/>
            <wp:docPr id="4" name="Picture 4" descr="Macintosh HD:Users:sbiswas:GitHub:transcriptome_compression:paper:srafish_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biswas:GitHub:transcriptome_compression:paper:srafish_workflow.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6794"/>
                    <a:stretch/>
                  </pic:blipFill>
                  <pic:spPr bwMode="auto">
                    <a:xfrm>
                      <a:off x="0" y="0"/>
                      <a:ext cx="3889839" cy="4189533"/>
                    </a:xfrm>
                    <a:prstGeom prst="rect">
                      <a:avLst/>
                    </a:prstGeom>
                    <a:noFill/>
                    <a:ln>
                      <a:noFill/>
                    </a:ln>
                    <a:extLst>
                      <a:ext uri="{53640926-AAD7-44d8-BBD7-CCE9431645EC}">
                        <a14:shadowObscured xmlns:a14="http://schemas.microsoft.com/office/drawing/2010/main"/>
                      </a:ext>
                    </a:extLst>
                  </pic:spPr>
                </pic:pic>
              </a:graphicData>
            </a:graphic>
          </wp:inline>
        </w:drawing>
      </w:r>
      <w:r w:rsidR="00110A74">
        <w:t>M</w:t>
      </w:r>
    </w:p>
    <w:p w14:paraId="1214F547" w14:textId="320BC1C2" w:rsidR="0082039F" w:rsidRPr="0082039F" w:rsidRDefault="0082039F" w:rsidP="0082039F">
      <w:pPr>
        <w:pStyle w:val="Caption"/>
        <w:jc w:val="center"/>
        <w:rPr>
          <w:rFonts w:ascii="Arial" w:hAnsi="Arial" w:cs="Arial"/>
          <w:b w:val="0"/>
        </w:rPr>
      </w:pPr>
      <w:proofErr w:type="gramStart"/>
      <w:r w:rsidRPr="0082039F">
        <w:rPr>
          <w:rFonts w:ascii="Arial" w:hAnsi="Arial" w:cs="Arial"/>
        </w:rPr>
        <w:t>Figure S</w:t>
      </w:r>
      <w:r w:rsidR="008A7CF4">
        <w:rPr>
          <w:rFonts w:ascii="Arial" w:hAnsi="Arial" w:cs="Arial"/>
        </w:rPr>
        <w:t>M</w:t>
      </w:r>
      <w:r w:rsidRPr="0082039F">
        <w:rPr>
          <w:rFonts w:ascii="Arial" w:hAnsi="Arial" w:cs="Arial"/>
        </w:rPr>
        <w:fldChar w:fldCharType="begin"/>
      </w:r>
      <w:r w:rsidRPr="0082039F">
        <w:rPr>
          <w:rFonts w:ascii="Arial" w:hAnsi="Arial" w:cs="Arial"/>
        </w:rPr>
        <w:instrText xml:space="preserve"> SEQ Figure \* ARABIC </w:instrText>
      </w:r>
      <w:r w:rsidRPr="0082039F">
        <w:rPr>
          <w:rFonts w:ascii="Arial" w:hAnsi="Arial" w:cs="Arial"/>
        </w:rPr>
        <w:fldChar w:fldCharType="separate"/>
      </w:r>
      <w:r w:rsidR="00011216">
        <w:rPr>
          <w:rFonts w:ascii="Arial" w:hAnsi="Arial" w:cs="Arial"/>
          <w:noProof/>
        </w:rPr>
        <w:t>1</w:t>
      </w:r>
      <w:r w:rsidRPr="0082039F">
        <w:rPr>
          <w:rFonts w:ascii="Arial" w:hAnsi="Arial" w:cs="Arial"/>
        </w:rPr>
        <w:fldChar w:fldCharType="end"/>
      </w:r>
      <w:r>
        <w:rPr>
          <w:rFonts w:ascii="Arial" w:hAnsi="Arial" w:cs="Arial"/>
        </w:rPr>
        <w:t>.</w:t>
      </w:r>
      <w:proofErr w:type="gramEnd"/>
      <w:r>
        <w:rPr>
          <w:rFonts w:ascii="Arial" w:hAnsi="Arial" w:cs="Arial"/>
        </w:rPr>
        <w:t xml:space="preserve"> </w:t>
      </w:r>
      <w:proofErr w:type="gramStart"/>
      <w:r>
        <w:rPr>
          <w:rFonts w:ascii="Arial" w:hAnsi="Arial" w:cs="Arial"/>
          <w:b w:val="0"/>
        </w:rPr>
        <w:t>Algorithmic</w:t>
      </w:r>
      <w:r w:rsidR="008A7CF4">
        <w:rPr>
          <w:rFonts w:ascii="Arial" w:hAnsi="Arial" w:cs="Arial"/>
          <w:b w:val="0"/>
        </w:rPr>
        <w:t xml:space="preserve"> workflow of data acquisition </w:t>
      </w:r>
      <w:r>
        <w:rPr>
          <w:rFonts w:ascii="Arial" w:hAnsi="Arial" w:cs="Arial"/>
          <w:b w:val="0"/>
        </w:rPr>
        <w:t>and quantification as implemented by srafish.pl.</w:t>
      </w:r>
      <w:proofErr w:type="gramEnd"/>
    </w:p>
    <w:p w14:paraId="4ED2D799" w14:textId="330AC40D" w:rsidR="00B42E45" w:rsidRDefault="00B42E45" w:rsidP="00B42E45">
      <w:pPr>
        <w:pStyle w:val="NormalWeb"/>
        <w:spacing w:before="0" w:beforeAutospacing="0" w:after="0" w:afterAutospacing="0"/>
        <w:ind w:firstLine="360"/>
        <w:jc w:val="both"/>
        <w:rPr>
          <w:rFonts w:ascii="Arial" w:hAnsi="Arial" w:cs="Arial"/>
          <w:sz w:val="22"/>
        </w:rPr>
      </w:pPr>
      <w:r w:rsidRPr="00B42E45">
        <w:rPr>
          <w:rFonts w:ascii="Arial" w:hAnsi="Arial" w:cs="Arial"/>
          <w:sz w:val="22"/>
        </w:rPr>
        <w:t>Figure S</w:t>
      </w:r>
      <w:r w:rsidR="008A7CF4">
        <w:rPr>
          <w:rFonts w:ascii="Arial" w:hAnsi="Arial" w:cs="Arial"/>
          <w:sz w:val="22"/>
        </w:rPr>
        <w:t>M</w:t>
      </w:r>
      <w:r w:rsidRPr="00B42E45">
        <w:rPr>
          <w:rFonts w:ascii="Arial" w:hAnsi="Arial" w:cs="Arial"/>
          <w:sz w:val="22"/>
        </w:rPr>
        <w:t xml:space="preserve">1 illustrates the workflow of srafish.pl. Briefly, after checking it meets certain quality requirements, srafish.pl uses the </w:t>
      </w:r>
      <w:proofErr w:type="spellStart"/>
      <w:r w:rsidRPr="00B42E45">
        <w:rPr>
          <w:rFonts w:ascii="Arial" w:hAnsi="Arial" w:cs="Arial"/>
          <w:sz w:val="22"/>
        </w:rPr>
        <w:t>ascp</w:t>
      </w:r>
      <w:proofErr w:type="spellEnd"/>
      <w:r w:rsidRPr="00B42E45">
        <w:rPr>
          <w:rFonts w:ascii="Arial" w:hAnsi="Arial" w:cs="Arial"/>
          <w:sz w:val="22"/>
        </w:rPr>
        <w:t xml:space="preserve"> </w:t>
      </w:r>
      <w:proofErr w:type="spellStart"/>
      <w:r w:rsidRPr="00B42E45">
        <w:rPr>
          <w:rFonts w:ascii="Arial" w:hAnsi="Arial" w:cs="Arial"/>
          <w:i/>
          <w:sz w:val="22"/>
        </w:rPr>
        <w:t>fasp</w:t>
      </w:r>
      <w:proofErr w:type="spellEnd"/>
      <w:r w:rsidRPr="00B42E45">
        <w:rPr>
          <w:rFonts w:ascii="Arial" w:hAnsi="Arial" w:cs="Arial"/>
          <w:i/>
          <w:sz w:val="22"/>
        </w:rPr>
        <w:t xml:space="preserve"> </w:t>
      </w:r>
      <w:r w:rsidRPr="00B42E45">
        <w:rPr>
          <w:rFonts w:ascii="Arial" w:hAnsi="Arial" w:cs="Arial"/>
          <w:sz w:val="22"/>
        </w:rPr>
        <w:t>transfer program to download the raw sequence read archive (.</w:t>
      </w:r>
      <w:proofErr w:type="spellStart"/>
      <w:r w:rsidRPr="00B42E45">
        <w:rPr>
          <w:rFonts w:ascii="Arial" w:hAnsi="Arial" w:cs="Arial"/>
          <w:sz w:val="22"/>
        </w:rPr>
        <w:t>sra</w:t>
      </w:r>
      <w:proofErr w:type="spellEnd"/>
      <w:r w:rsidRPr="00B42E45">
        <w:rPr>
          <w:rFonts w:ascii="Arial" w:hAnsi="Arial" w:cs="Arial"/>
          <w:sz w:val="22"/>
        </w:rPr>
        <w:t xml:space="preserve"> file) for an SRA RNA-</w:t>
      </w:r>
      <w:proofErr w:type="spellStart"/>
      <w:r w:rsidRPr="00B42E45">
        <w:rPr>
          <w:rFonts w:ascii="Arial" w:hAnsi="Arial" w:cs="Arial"/>
          <w:sz w:val="22"/>
        </w:rPr>
        <w:t>Seq</w:t>
      </w:r>
      <w:proofErr w:type="spellEnd"/>
      <w:r w:rsidRPr="00B42E45">
        <w:rPr>
          <w:rFonts w:ascii="Arial" w:hAnsi="Arial" w:cs="Arial"/>
          <w:sz w:val="22"/>
        </w:rPr>
        <w:t xml:space="preserve"> sample. Transfers made using </w:t>
      </w:r>
      <w:proofErr w:type="spellStart"/>
      <w:r w:rsidRPr="00B42E45">
        <w:rPr>
          <w:rFonts w:ascii="Arial" w:hAnsi="Arial" w:cs="Arial"/>
          <w:sz w:val="22"/>
        </w:rPr>
        <w:t>ascp</w:t>
      </w:r>
      <w:proofErr w:type="spellEnd"/>
      <w:r w:rsidRPr="00B42E45">
        <w:rPr>
          <w:rFonts w:ascii="Arial" w:hAnsi="Arial" w:cs="Arial"/>
          <w:sz w:val="22"/>
        </w:rPr>
        <w:t xml:space="preserve"> are substantially faster than traditional FTP. The .</w:t>
      </w:r>
      <w:proofErr w:type="spellStart"/>
      <w:r w:rsidRPr="00B42E45">
        <w:rPr>
          <w:rFonts w:ascii="Arial" w:hAnsi="Arial" w:cs="Arial"/>
          <w:sz w:val="22"/>
        </w:rPr>
        <w:t>sra</w:t>
      </w:r>
      <w:proofErr w:type="spellEnd"/>
      <w:r w:rsidRPr="00B42E45">
        <w:rPr>
          <w:rFonts w:ascii="Arial" w:hAnsi="Arial" w:cs="Arial"/>
          <w:sz w:val="22"/>
        </w:rPr>
        <w:t xml:space="preserve"> file is then unpacked to FASTQ format using the </w:t>
      </w:r>
      <w:proofErr w:type="spellStart"/>
      <w:r w:rsidRPr="00B42E45">
        <w:rPr>
          <w:rFonts w:ascii="Arial" w:hAnsi="Arial" w:cs="Arial"/>
          <w:sz w:val="22"/>
        </w:rPr>
        <w:t>fastq</w:t>
      </w:r>
      <w:proofErr w:type="spellEnd"/>
      <w:r w:rsidRPr="00B42E45">
        <w:rPr>
          <w:rFonts w:ascii="Arial" w:hAnsi="Arial" w:cs="Arial"/>
          <w:sz w:val="22"/>
        </w:rPr>
        <w:t>-dump program provided with the SRA Toolkit (NCBI). The raw FASTQ read data is then passed to Sailfish</w:t>
      </w:r>
      <w:r w:rsidRPr="00B42E45">
        <w:rPr>
          <w:rFonts w:ascii="Arial" w:hAnsi="Arial" w:cs="Arial"/>
          <w:sz w:val="22"/>
        </w:rPr>
        <w:fldChar w:fldCharType="begin" w:fldLock="1"/>
      </w:r>
      <w:r w:rsidR="00367A12">
        <w:rPr>
          <w:rFonts w:ascii="Arial" w:hAnsi="Arial" w:cs="Arial"/>
          <w:sz w:val="22"/>
        </w:rPr>
        <w:instrText>ADDIN CSL_CITATION { "citationItems" : [ { "id" : "ITEM-1", "itemData" : { "DOI" : "10.1038/nbt.2862", "ISBN" : "1308.3700", "ISSN" : "1546-1696", "PMID" : "24752080", "abstract" : "We introduce Sailfish, a computational method for quantifying the abundance of previously annotated RNA isoforms from RNA-seq data. Because Sailfish entirely avoids mapping reads, a time-consuming step in all current methods, it provides quantification estimates much faster than do existing approaches (typically 20 times faster) without loss of accuracy. By facilitating frequent reanalysis of data and reducing the need to optimize parameters, Sailfish exemplifies the potential of lightweight algorithms for efficiently processing sequencing reads.",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"container-title" : "Nature Biotechnology", "id" : "ITEM-1", "issue" : "5", "issued" : { "date-parts" : [ [ "2014" ] ] }, "page" : "462-4", "publisher" : "Nature Publishing Group", "title" : "Sailfish enables alignment-free isoform quantification from RNA-seq reads using lightweight algorithms.", "type" : "article-journal", "volume" : "32" }, "uris" : [ "http://www.mendeley.com/documents/?uuid=4cf065c0-d3d8-4707-9c1b-0f687173eb54" ] } ], "mendeley" : { "formattedCitation" : "&lt;sup&gt;2&lt;/sup&gt;", "plainTextFormattedCitation" : "2", "previouslyFormattedCitation" : "&lt;sup&gt;1&lt;/sup&gt;" }, "properties" : { "noteIndex" : 0 }, "schema" : "https://github.com/citation-style-language/schema/raw/master/csl-citation.json" }</w:instrText>
      </w:r>
      <w:r w:rsidRPr="00B42E45">
        <w:rPr>
          <w:rFonts w:ascii="Arial" w:hAnsi="Arial" w:cs="Arial"/>
          <w:sz w:val="22"/>
        </w:rPr>
        <w:fldChar w:fldCharType="separate"/>
      </w:r>
      <w:r w:rsidR="00367A12" w:rsidRPr="00367A12">
        <w:rPr>
          <w:rFonts w:ascii="Arial" w:hAnsi="Arial" w:cs="Arial"/>
          <w:noProof/>
          <w:sz w:val="22"/>
          <w:vertAlign w:val="superscript"/>
        </w:rPr>
        <w:t>2</w:t>
      </w:r>
      <w:r w:rsidRPr="00B42E45">
        <w:rPr>
          <w:rFonts w:ascii="Arial" w:hAnsi="Arial" w:cs="Arial"/>
          <w:sz w:val="22"/>
        </w:rPr>
        <w:fldChar w:fldCharType="end"/>
      </w:r>
      <w:r w:rsidRPr="00B42E45">
        <w:rPr>
          <w:rFonts w:ascii="Arial" w:hAnsi="Arial" w:cs="Arial"/>
          <w:sz w:val="22"/>
        </w:rPr>
        <w:t xml:space="preserve">, which uses a fast alignment-free algorithm to quantify transcript abundances. To preserve memory, files with more than 40 million reads for </w:t>
      </w:r>
      <w:r w:rsidRPr="00B42E45">
        <w:rPr>
          <w:rFonts w:ascii="Arial" w:hAnsi="Arial" w:cs="Arial"/>
          <w:i/>
          <w:sz w:val="22"/>
        </w:rPr>
        <w:t>A. thaliana</w:t>
      </w:r>
      <w:r w:rsidRPr="00B42E45">
        <w:rPr>
          <w:rFonts w:ascii="Arial" w:hAnsi="Arial" w:cs="Arial"/>
          <w:sz w:val="22"/>
        </w:rPr>
        <w:t xml:space="preserve"> and 70 million reads for </w:t>
      </w:r>
      <w:r w:rsidRPr="00B42E45">
        <w:rPr>
          <w:rFonts w:ascii="Arial" w:hAnsi="Arial" w:cs="Arial"/>
          <w:i/>
          <w:sz w:val="22"/>
        </w:rPr>
        <w:t xml:space="preserve">M. </w:t>
      </w:r>
      <w:proofErr w:type="spellStart"/>
      <w:r w:rsidRPr="00B42E45">
        <w:rPr>
          <w:rFonts w:ascii="Arial" w:hAnsi="Arial" w:cs="Arial"/>
          <w:i/>
          <w:sz w:val="22"/>
        </w:rPr>
        <w:t>musculus</w:t>
      </w:r>
      <w:proofErr w:type="spellEnd"/>
      <w:r w:rsidRPr="00B42E45">
        <w:rPr>
          <w:rFonts w:ascii="Arial" w:hAnsi="Arial" w:cs="Arial"/>
          <w:sz w:val="22"/>
        </w:rPr>
        <w:t xml:space="preserve"> are </w:t>
      </w:r>
      <w:proofErr w:type="spellStart"/>
      <w:r w:rsidRPr="00B42E45">
        <w:rPr>
          <w:rFonts w:ascii="Arial" w:hAnsi="Arial" w:cs="Arial"/>
          <w:sz w:val="22"/>
        </w:rPr>
        <w:t>downsampled</w:t>
      </w:r>
      <w:proofErr w:type="spellEnd"/>
      <w:r w:rsidRPr="00B42E45">
        <w:rPr>
          <w:rFonts w:ascii="Arial" w:hAnsi="Arial" w:cs="Arial"/>
          <w:sz w:val="22"/>
        </w:rPr>
        <w:t xml:space="preserve"> prior to running Sailfish. Samples with fewer than 4 million reads are not downloaded at all. This workflow is then iterated for each SRA RNA-</w:t>
      </w:r>
      <w:proofErr w:type="spellStart"/>
      <w:r w:rsidRPr="00B42E45">
        <w:rPr>
          <w:rFonts w:ascii="Arial" w:hAnsi="Arial" w:cs="Arial"/>
          <w:sz w:val="22"/>
        </w:rPr>
        <w:t>Seq</w:t>
      </w:r>
      <w:proofErr w:type="spellEnd"/>
      <w:r w:rsidRPr="00B42E45">
        <w:rPr>
          <w:rFonts w:ascii="Arial" w:hAnsi="Arial" w:cs="Arial"/>
          <w:sz w:val="22"/>
        </w:rPr>
        <w:t xml:space="preserve"> sample available for the organism of interest. </w:t>
      </w:r>
    </w:p>
    <w:p w14:paraId="7D2F14E2" w14:textId="1DCE271D" w:rsidR="00B42E45" w:rsidRDefault="00B42E45" w:rsidP="00B42E45">
      <w:pPr>
        <w:pStyle w:val="NormalWeb"/>
        <w:spacing w:before="0" w:beforeAutospacing="0" w:after="0" w:afterAutospacing="0"/>
        <w:ind w:firstLine="360"/>
        <w:rPr>
          <w:rFonts w:ascii="Arial" w:hAnsi="Arial" w:cs="Arial"/>
          <w:sz w:val="22"/>
          <w:szCs w:val="22"/>
        </w:rPr>
      </w:pPr>
      <w:r w:rsidRPr="00B42E45">
        <w:rPr>
          <w:rFonts w:ascii="Arial" w:hAnsi="Arial" w:cs="Arial"/>
          <w:sz w:val="22"/>
          <w:szCs w:val="22"/>
        </w:rPr>
        <w:t xml:space="preserve">The main inputs into srafish.pl are a query table, output directory, Sailfish index, and </w:t>
      </w:r>
      <w:proofErr w:type="spellStart"/>
      <w:r w:rsidRPr="00B42E45">
        <w:rPr>
          <w:rFonts w:ascii="Arial" w:hAnsi="Arial" w:cs="Arial"/>
          <w:sz w:val="22"/>
          <w:szCs w:val="22"/>
        </w:rPr>
        <w:t>ascp</w:t>
      </w:r>
      <w:proofErr w:type="spellEnd"/>
      <w:r w:rsidRPr="00B42E45">
        <w:rPr>
          <w:rFonts w:ascii="Arial" w:hAnsi="Arial" w:cs="Arial"/>
          <w:sz w:val="22"/>
          <w:szCs w:val="22"/>
        </w:rPr>
        <w:t xml:space="preserve"> SSH key, which </w:t>
      </w:r>
      <w:proofErr w:type="gramStart"/>
      <w:r w:rsidRPr="00B42E45">
        <w:rPr>
          <w:rFonts w:ascii="Arial" w:hAnsi="Arial" w:cs="Arial"/>
          <w:sz w:val="22"/>
          <w:szCs w:val="22"/>
        </w:rPr>
        <w:t>comes</w:t>
      </w:r>
      <w:proofErr w:type="gramEnd"/>
      <w:r w:rsidRPr="00B42E45">
        <w:rPr>
          <w:rFonts w:ascii="Arial" w:hAnsi="Arial" w:cs="Arial"/>
          <w:sz w:val="22"/>
          <w:szCs w:val="22"/>
        </w:rPr>
        <w:t xml:space="preserve"> with each download of the </w:t>
      </w:r>
      <w:proofErr w:type="spellStart"/>
      <w:r w:rsidRPr="00B42E45">
        <w:rPr>
          <w:rFonts w:ascii="Arial" w:hAnsi="Arial" w:cs="Arial"/>
          <w:sz w:val="22"/>
          <w:szCs w:val="22"/>
        </w:rPr>
        <w:t>aspera</w:t>
      </w:r>
      <w:proofErr w:type="spellEnd"/>
      <w:r w:rsidRPr="00B42E45">
        <w:rPr>
          <w:rFonts w:ascii="Arial" w:hAnsi="Arial" w:cs="Arial"/>
          <w:sz w:val="22"/>
          <w:szCs w:val="22"/>
        </w:rPr>
        <w:t xml:space="preserve"> </w:t>
      </w:r>
      <w:proofErr w:type="spellStart"/>
      <w:r w:rsidRPr="00B42E45">
        <w:rPr>
          <w:rFonts w:ascii="Arial" w:hAnsi="Arial" w:cs="Arial"/>
          <w:sz w:val="22"/>
          <w:szCs w:val="22"/>
        </w:rPr>
        <w:t>ascp</w:t>
      </w:r>
      <w:proofErr w:type="spellEnd"/>
      <w:r w:rsidRPr="00B42E45">
        <w:rPr>
          <w:rFonts w:ascii="Arial" w:hAnsi="Arial" w:cs="Arial"/>
          <w:sz w:val="22"/>
          <w:szCs w:val="22"/>
        </w:rPr>
        <w:t xml:space="preserve"> client. </w:t>
      </w:r>
      <w:proofErr w:type="gramStart"/>
      <w:r w:rsidRPr="00B42E45">
        <w:rPr>
          <w:rFonts w:ascii="Arial" w:hAnsi="Arial" w:cs="Arial"/>
          <w:sz w:val="22"/>
          <w:szCs w:val="22"/>
        </w:rPr>
        <w:t>srafish.pl</w:t>
      </w:r>
      <w:proofErr w:type="gramEnd"/>
      <w:r w:rsidRPr="00B42E45">
        <w:rPr>
          <w:rFonts w:ascii="Arial" w:hAnsi="Arial" w:cs="Arial"/>
          <w:sz w:val="22"/>
          <w:szCs w:val="22"/>
        </w:rPr>
        <w:t xml:space="preserve"> depends on Perl (v5.8.9 for Linux x86-64), the </w:t>
      </w:r>
      <w:proofErr w:type="spellStart"/>
      <w:r w:rsidRPr="00B42E45">
        <w:rPr>
          <w:rFonts w:ascii="Arial" w:hAnsi="Arial" w:cs="Arial"/>
          <w:sz w:val="22"/>
          <w:szCs w:val="22"/>
        </w:rPr>
        <w:t>aspera</w:t>
      </w:r>
      <w:proofErr w:type="spellEnd"/>
      <w:r w:rsidRPr="00B42E45">
        <w:rPr>
          <w:rFonts w:ascii="Arial" w:hAnsi="Arial" w:cs="Arial"/>
          <w:sz w:val="22"/>
          <w:szCs w:val="22"/>
        </w:rPr>
        <w:t xml:space="preserve"> </w:t>
      </w:r>
      <w:proofErr w:type="spellStart"/>
      <w:r w:rsidRPr="00B42E45">
        <w:rPr>
          <w:rFonts w:ascii="Arial" w:hAnsi="Arial" w:cs="Arial"/>
          <w:sz w:val="22"/>
          <w:szCs w:val="22"/>
        </w:rPr>
        <w:t>ascp</w:t>
      </w:r>
      <w:proofErr w:type="spellEnd"/>
      <w:r w:rsidRPr="00B42E45">
        <w:rPr>
          <w:rFonts w:ascii="Arial" w:hAnsi="Arial" w:cs="Arial"/>
          <w:sz w:val="22"/>
          <w:szCs w:val="22"/>
        </w:rPr>
        <w:t xml:space="preserve"> client (v3.5.4 for Linux x86-64), SRA Toolkit (v2.5.0 for </w:t>
      </w:r>
      <w:proofErr w:type="spellStart"/>
      <w:r w:rsidRPr="00B42E45">
        <w:rPr>
          <w:rFonts w:ascii="Arial" w:hAnsi="Arial" w:cs="Arial"/>
          <w:sz w:val="22"/>
          <w:szCs w:val="22"/>
        </w:rPr>
        <w:t>CentOS</w:t>
      </w:r>
      <w:proofErr w:type="spellEnd"/>
      <w:r w:rsidRPr="00B42E45">
        <w:rPr>
          <w:rFonts w:ascii="Arial" w:hAnsi="Arial" w:cs="Arial"/>
          <w:sz w:val="22"/>
          <w:szCs w:val="22"/>
        </w:rPr>
        <w:t xml:space="preserve"> Linux x86-64), and Sailfish (v0.6.3 for Linux x86-64). </w:t>
      </w:r>
    </w:p>
    <w:p w14:paraId="3CD42A9A" w14:textId="77777777" w:rsidR="00B42E45" w:rsidRPr="00B42E45" w:rsidRDefault="00B42E45" w:rsidP="00B42E45">
      <w:pPr>
        <w:pStyle w:val="NormalWeb"/>
        <w:spacing w:before="0" w:beforeAutospacing="0" w:after="0" w:afterAutospacing="0"/>
        <w:ind w:firstLine="360"/>
        <w:rPr>
          <w:rFonts w:ascii="Arial" w:hAnsi="Arial" w:cs="Arial"/>
          <w:sz w:val="22"/>
          <w:szCs w:val="22"/>
        </w:rPr>
      </w:pPr>
    </w:p>
    <w:p w14:paraId="5AB43E8E" w14:textId="592CA8C8" w:rsidR="00B42E45" w:rsidRDefault="008A7CF4" w:rsidP="008A7CF4">
      <w:pPr>
        <w:pStyle w:val="NormalWeb"/>
        <w:spacing w:before="0" w:beforeAutospacing="0" w:after="0" w:afterAutospacing="0"/>
        <w:jc w:val="both"/>
        <w:rPr>
          <w:rFonts w:ascii="Arial" w:hAnsi="Arial" w:cs="Arial"/>
          <w:b/>
          <w:sz w:val="22"/>
        </w:rPr>
      </w:pPr>
      <w:r>
        <w:rPr>
          <w:rFonts w:ascii="Arial" w:hAnsi="Arial" w:cs="Arial"/>
          <w:b/>
          <w:sz w:val="22"/>
        </w:rPr>
        <w:t>Query table construction</w:t>
      </w:r>
    </w:p>
    <w:p w14:paraId="45C11E7F" w14:textId="31AE8787" w:rsidR="008A7CF4" w:rsidRDefault="008A7CF4" w:rsidP="008A7CF4">
      <w:pPr>
        <w:pStyle w:val="NormalWeb"/>
        <w:spacing w:before="0" w:beforeAutospacing="0" w:after="0" w:afterAutospacing="0"/>
      </w:pPr>
      <w:r>
        <w:t>For each organism, using the following (Unix) commands, we first prepared a “query table” that contained all SRA sample ID's as well as various metadata required for the download:</w:t>
      </w:r>
    </w:p>
    <w:p w14:paraId="1CBBD491" w14:textId="77777777" w:rsidR="008A7CF4" w:rsidRDefault="008A7CF4" w:rsidP="008A7CF4">
      <w:pPr>
        <w:pStyle w:val="NormalWeb"/>
        <w:spacing w:before="0" w:beforeAutospacing="0" w:after="0" w:afterAutospacing="0"/>
      </w:pPr>
    </w:p>
    <w:p w14:paraId="7BA39FCA" w14:textId="77777777" w:rsidR="008A7CF4" w:rsidRPr="008A7CF4" w:rsidRDefault="008A7CF4" w:rsidP="008A7CF4">
      <w:pPr>
        <w:pStyle w:val="NormalWeb"/>
        <w:spacing w:before="0" w:beforeAutospacing="0" w:after="0" w:afterAutospacing="0"/>
        <w:rPr>
          <w:rFonts w:ascii="Courier New" w:hAnsi="Courier New" w:cs="Courier New"/>
          <w:sz w:val="18"/>
        </w:rPr>
      </w:pPr>
      <w:proofErr w:type="spellStart"/>
      <w:proofErr w:type="gramStart"/>
      <w:r w:rsidRPr="008A7CF4">
        <w:rPr>
          <w:rFonts w:ascii="Courier New" w:hAnsi="Courier New" w:cs="Courier New"/>
          <w:sz w:val="18"/>
        </w:rPr>
        <w:t>qt</w:t>
      </w:r>
      <w:proofErr w:type="gramEnd"/>
      <w:r w:rsidRPr="008A7CF4">
        <w:rPr>
          <w:rFonts w:ascii="Courier New" w:hAnsi="Courier New" w:cs="Courier New"/>
          <w:sz w:val="18"/>
        </w:rPr>
        <w:t>_name</w:t>
      </w:r>
      <w:proofErr w:type="spellEnd"/>
      <w:r w:rsidRPr="008A7CF4">
        <w:rPr>
          <w:rFonts w:ascii="Courier New" w:hAnsi="Courier New" w:cs="Courier New"/>
          <w:sz w:val="18"/>
        </w:rPr>
        <w:t>=&lt;</w:t>
      </w:r>
      <w:proofErr w:type="spellStart"/>
      <w:r w:rsidRPr="008A7CF4">
        <w:rPr>
          <w:rFonts w:ascii="Courier New" w:hAnsi="Courier New" w:cs="Courier New"/>
          <w:sz w:val="18"/>
        </w:rPr>
        <w:t>query_table_file_name</w:t>
      </w:r>
      <w:proofErr w:type="spellEnd"/>
      <w:r w:rsidRPr="008A7CF4">
        <w:rPr>
          <w:rFonts w:ascii="Courier New" w:hAnsi="Courier New" w:cs="Courier New"/>
          <w:sz w:val="18"/>
        </w:rPr>
        <w:t>&gt;</w:t>
      </w:r>
    </w:p>
    <w:p w14:paraId="4F36159F" w14:textId="77777777" w:rsidR="008A7CF4" w:rsidRPr="008A7CF4" w:rsidRDefault="008A7CF4" w:rsidP="008A7CF4">
      <w:pPr>
        <w:pStyle w:val="NormalWeb"/>
        <w:spacing w:before="0" w:beforeAutospacing="0" w:after="0" w:afterAutospacing="0"/>
        <w:rPr>
          <w:rFonts w:ascii="Courier New" w:hAnsi="Courier New" w:cs="Courier New"/>
          <w:sz w:val="18"/>
        </w:rPr>
      </w:pPr>
      <w:proofErr w:type="gramStart"/>
      <w:r w:rsidRPr="008A7CF4">
        <w:rPr>
          <w:rFonts w:ascii="Courier New" w:hAnsi="Courier New" w:cs="Courier New"/>
          <w:sz w:val="18"/>
        </w:rPr>
        <w:t>sra</w:t>
      </w:r>
      <w:proofErr w:type="gramEnd"/>
      <w:r w:rsidRPr="008A7CF4">
        <w:rPr>
          <w:rFonts w:ascii="Courier New" w:hAnsi="Courier New" w:cs="Courier New"/>
          <w:sz w:val="18"/>
        </w:rPr>
        <w:t>_url=http://trace.ncbi.nlm.nih.gov/Traces/sra/sra.cgi?save=efetch&amp;db=sra&amp;rettype=runinfo&amp;term=</w:t>
      </w:r>
    </w:p>
    <w:p w14:paraId="68E85DBC" w14:textId="77777777" w:rsidR="008A7CF4" w:rsidRPr="008A7CF4" w:rsidRDefault="008A7CF4" w:rsidP="008A7CF4">
      <w:pPr>
        <w:pStyle w:val="NormalWeb"/>
        <w:spacing w:before="0" w:beforeAutospacing="0" w:after="0" w:afterAutospacing="0"/>
        <w:rPr>
          <w:rFonts w:ascii="Courier New" w:hAnsi="Courier New" w:cs="Courier New"/>
          <w:sz w:val="18"/>
        </w:rPr>
      </w:pPr>
      <w:proofErr w:type="gramStart"/>
      <w:r w:rsidRPr="008A7CF4">
        <w:rPr>
          <w:rFonts w:ascii="Courier New" w:hAnsi="Courier New" w:cs="Courier New"/>
          <w:sz w:val="18"/>
        </w:rPr>
        <w:t>organism</w:t>
      </w:r>
      <w:proofErr w:type="gramEnd"/>
      <w:r w:rsidRPr="008A7CF4">
        <w:rPr>
          <w:rFonts w:ascii="Courier New" w:hAnsi="Courier New" w:cs="Courier New"/>
          <w:sz w:val="18"/>
        </w:rPr>
        <w:t>=&lt;</w:t>
      </w:r>
      <w:proofErr w:type="spellStart"/>
      <w:r w:rsidRPr="008A7CF4">
        <w:rPr>
          <w:rFonts w:ascii="Courier New" w:hAnsi="Courier New" w:cs="Courier New"/>
          <w:sz w:val="18"/>
        </w:rPr>
        <w:t>organism_name</w:t>
      </w:r>
      <w:proofErr w:type="spellEnd"/>
      <w:r w:rsidRPr="008A7CF4">
        <w:rPr>
          <w:rFonts w:ascii="Courier New" w:hAnsi="Courier New" w:cs="Courier New"/>
          <w:sz w:val="18"/>
        </w:rPr>
        <w:t>&gt;</w:t>
      </w:r>
    </w:p>
    <w:p w14:paraId="3560E17F" w14:textId="3AA12D47" w:rsidR="008A7CF4" w:rsidRPr="008A7CF4" w:rsidRDefault="008A7CF4" w:rsidP="008A7CF4">
      <w:pPr>
        <w:pStyle w:val="NormalWeb"/>
        <w:spacing w:before="0" w:beforeAutospacing="0" w:after="0" w:afterAutospacing="0"/>
        <w:rPr>
          <w:rFonts w:ascii="Courier New" w:hAnsi="Courier New" w:cs="Courier New"/>
          <w:sz w:val="18"/>
        </w:rPr>
      </w:pPr>
      <w:proofErr w:type="spellStart"/>
      <w:proofErr w:type="gramStart"/>
      <w:r w:rsidRPr="008A7CF4">
        <w:rPr>
          <w:rFonts w:ascii="Courier New" w:hAnsi="Courier New" w:cs="Courier New"/>
          <w:sz w:val="18"/>
        </w:rPr>
        <w:t>wget</w:t>
      </w:r>
      <w:proofErr w:type="spellEnd"/>
      <w:proofErr w:type="gramEnd"/>
      <w:r w:rsidRPr="008A7CF4">
        <w:rPr>
          <w:rFonts w:ascii="Courier New" w:hAnsi="Courier New" w:cs="Courier New"/>
          <w:sz w:val="18"/>
        </w:rPr>
        <w:t xml:space="preserve"> -O $</w:t>
      </w:r>
      <w:proofErr w:type="spellStart"/>
      <w:r w:rsidRPr="008A7CF4">
        <w:rPr>
          <w:rFonts w:ascii="Courier New" w:hAnsi="Courier New" w:cs="Courier New"/>
          <w:sz w:val="18"/>
        </w:rPr>
        <w:t>qt_name</w:t>
      </w:r>
      <w:proofErr w:type="spellEnd"/>
      <w:r w:rsidRPr="008A7CF4">
        <w:rPr>
          <w:rFonts w:ascii="Courier New" w:hAnsi="Courier New" w:cs="Courier New"/>
          <w:sz w:val="18"/>
        </w:rPr>
        <w:t xml:space="preserve"> ‘$</w:t>
      </w:r>
      <w:proofErr w:type="spellStart"/>
      <w:r w:rsidRPr="008A7CF4">
        <w:rPr>
          <w:rFonts w:ascii="Courier New" w:hAnsi="Courier New" w:cs="Courier New"/>
          <w:sz w:val="18"/>
        </w:rPr>
        <w:t>url</w:t>
      </w:r>
      <w:proofErr w:type="spellEnd"/>
      <w:r w:rsidRPr="008A7CF4">
        <w:rPr>
          <w:rFonts w:ascii="Courier New" w:hAnsi="Courier New" w:cs="Courier New"/>
          <w:sz w:val="18"/>
        </w:rPr>
        <w:t xml:space="preserve">($organism[Organism]) AND "strategy </w:t>
      </w:r>
      <w:proofErr w:type="spellStart"/>
      <w:r w:rsidRPr="008A7CF4">
        <w:rPr>
          <w:rFonts w:ascii="Courier New" w:hAnsi="Courier New" w:cs="Courier New"/>
          <w:sz w:val="18"/>
        </w:rPr>
        <w:t>rna</w:t>
      </w:r>
      <w:proofErr w:type="spellEnd"/>
      <w:r w:rsidRPr="008A7CF4">
        <w:rPr>
          <w:rFonts w:ascii="Courier New" w:hAnsi="Courier New" w:cs="Courier New"/>
          <w:sz w:val="18"/>
        </w:rPr>
        <w:t xml:space="preserve"> </w:t>
      </w:r>
      <w:proofErr w:type="spellStart"/>
      <w:r w:rsidRPr="008A7CF4">
        <w:rPr>
          <w:rFonts w:ascii="Courier New" w:hAnsi="Courier New" w:cs="Courier New"/>
          <w:sz w:val="18"/>
        </w:rPr>
        <w:t>seq</w:t>
      </w:r>
      <w:proofErr w:type="spellEnd"/>
      <w:r w:rsidRPr="008A7CF4">
        <w:rPr>
          <w:rFonts w:ascii="Courier New" w:hAnsi="Courier New" w:cs="Courier New"/>
          <w:sz w:val="18"/>
        </w:rPr>
        <w:t>"[Properties]’</w:t>
      </w:r>
    </w:p>
    <w:p w14:paraId="7B445D90" w14:textId="77777777" w:rsidR="008A7CF4" w:rsidRDefault="008A7CF4" w:rsidP="008A7CF4">
      <w:pPr>
        <w:pStyle w:val="NormalWeb"/>
        <w:spacing w:before="0" w:beforeAutospacing="0" w:after="0" w:afterAutospacing="0"/>
      </w:pPr>
    </w:p>
    <w:p w14:paraId="4D62C767" w14:textId="32704BBD" w:rsidR="008A7CF4" w:rsidRDefault="008A7CF4" w:rsidP="008A7CF4">
      <w:pPr>
        <w:pStyle w:val="NormalWeb"/>
        <w:spacing w:before="0" w:beforeAutospacing="0" w:after="0" w:afterAutospacing="0"/>
      </w:pPr>
      <w:r>
        <w:t xml:space="preserve">Where fields in between &lt;&gt; indicate input arguments. As an example, </w:t>
      </w:r>
    </w:p>
    <w:p w14:paraId="10A7299C" w14:textId="77777777" w:rsidR="008A7CF4" w:rsidRDefault="008A7CF4" w:rsidP="008A7CF4">
      <w:pPr>
        <w:pStyle w:val="NormalWeb"/>
        <w:spacing w:before="0" w:beforeAutospacing="0" w:after="0" w:afterAutospacing="0"/>
      </w:pPr>
    </w:p>
    <w:p w14:paraId="44E50265" w14:textId="77777777" w:rsidR="008A7CF4" w:rsidRPr="008A7CF4" w:rsidRDefault="008A7CF4" w:rsidP="008A7CF4">
      <w:pPr>
        <w:pStyle w:val="NormalWeb"/>
        <w:spacing w:before="0" w:beforeAutospacing="0" w:after="0" w:afterAutospacing="0"/>
        <w:rPr>
          <w:rFonts w:ascii="Courier New" w:hAnsi="Courier New" w:cs="Courier New"/>
          <w:sz w:val="18"/>
          <w:szCs w:val="18"/>
        </w:rPr>
      </w:pPr>
      <w:proofErr w:type="gramStart"/>
      <w:r w:rsidRPr="008A7CF4">
        <w:rPr>
          <w:rFonts w:ascii="Courier New" w:hAnsi="Courier New" w:cs="Courier New"/>
          <w:sz w:val="18"/>
          <w:szCs w:val="18"/>
        </w:rPr>
        <w:t>qt</w:t>
      </w:r>
      <w:proofErr w:type="gramEnd"/>
      <w:r w:rsidRPr="008A7CF4">
        <w:rPr>
          <w:rFonts w:ascii="Courier New" w:hAnsi="Courier New" w:cs="Courier New"/>
          <w:sz w:val="18"/>
          <w:szCs w:val="18"/>
        </w:rPr>
        <w:t>_name=Athaliana_query_table.csv</w:t>
      </w:r>
    </w:p>
    <w:p w14:paraId="2099C6A4" w14:textId="77777777" w:rsidR="008A7CF4" w:rsidRPr="008A7CF4" w:rsidRDefault="008A7CF4" w:rsidP="008A7CF4">
      <w:pPr>
        <w:pStyle w:val="NormalWeb"/>
        <w:spacing w:before="0" w:beforeAutospacing="0" w:after="0" w:afterAutospacing="0"/>
        <w:rPr>
          <w:rFonts w:ascii="Courier New" w:hAnsi="Courier New" w:cs="Courier New"/>
          <w:sz w:val="18"/>
          <w:szCs w:val="18"/>
        </w:rPr>
      </w:pPr>
      <w:proofErr w:type="gramStart"/>
      <w:r w:rsidRPr="008A7CF4">
        <w:rPr>
          <w:rFonts w:ascii="Courier New" w:hAnsi="Courier New" w:cs="Courier New"/>
          <w:sz w:val="18"/>
          <w:szCs w:val="18"/>
        </w:rPr>
        <w:t>sra</w:t>
      </w:r>
      <w:proofErr w:type="gramEnd"/>
      <w:r w:rsidRPr="008A7CF4">
        <w:rPr>
          <w:rFonts w:ascii="Courier New" w:hAnsi="Courier New" w:cs="Courier New"/>
          <w:sz w:val="18"/>
          <w:szCs w:val="18"/>
        </w:rPr>
        <w:t>_url=http://trace.ncbi.nlm.nih.gov/Traces/sra/sra.cgi?save=efetch&amp;db=sra&amp;rettype=runinfo&amp;term=</w:t>
      </w:r>
    </w:p>
    <w:p w14:paraId="46665546" w14:textId="77777777" w:rsidR="008A7CF4" w:rsidRPr="008A7CF4" w:rsidRDefault="008A7CF4" w:rsidP="008A7CF4">
      <w:pPr>
        <w:pStyle w:val="NormalWeb"/>
        <w:spacing w:before="0" w:beforeAutospacing="0" w:after="0" w:afterAutospacing="0"/>
        <w:rPr>
          <w:rFonts w:ascii="Courier New" w:hAnsi="Courier New" w:cs="Courier New"/>
          <w:sz w:val="18"/>
          <w:szCs w:val="18"/>
        </w:rPr>
      </w:pPr>
      <w:proofErr w:type="gramStart"/>
      <w:r w:rsidRPr="008A7CF4">
        <w:rPr>
          <w:rFonts w:ascii="Courier New" w:hAnsi="Courier New" w:cs="Courier New"/>
          <w:sz w:val="18"/>
          <w:szCs w:val="18"/>
        </w:rPr>
        <w:t>organism</w:t>
      </w:r>
      <w:proofErr w:type="gramEnd"/>
      <w:r w:rsidRPr="008A7CF4">
        <w:rPr>
          <w:rFonts w:ascii="Courier New" w:hAnsi="Courier New" w:cs="Courier New"/>
          <w:sz w:val="18"/>
          <w:szCs w:val="18"/>
        </w:rPr>
        <w:t>="Arabidopsis thaliana"</w:t>
      </w:r>
    </w:p>
    <w:p w14:paraId="5EE23425" w14:textId="5E283F44" w:rsidR="008A7CF4" w:rsidRDefault="008A7CF4" w:rsidP="008A7CF4">
      <w:pPr>
        <w:pStyle w:val="NormalWeb"/>
        <w:spacing w:before="0" w:beforeAutospacing="0" w:after="0" w:afterAutospacing="0"/>
        <w:rPr>
          <w:rFonts w:ascii="Courier New" w:hAnsi="Courier New" w:cs="Courier New"/>
          <w:sz w:val="18"/>
          <w:szCs w:val="18"/>
        </w:rPr>
      </w:pPr>
      <w:proofErr w:type="spellStart"/>
      <w:proofErr w:type="gramStart"/>
      <w:r>
        <w:rPr>
          <w:rFonts w:ascii="Courier New" w:hAnsi="Courier New" w:cs="Courier New"/>
          <w:sz w:val="18"/>
          <w:szCs w:val="18"/>
        </w:rPr>
        <w:t>wget</w:t>
      </w:r>
      <w:proofErr w:type="spellEnd"/>
      <w:proofErr w:type="gramEnd"/>
      <w:r>
        <w:rPr>
          <w:rFonts w:ascii="Courier New" w:hAnsi="Courier New" w:cs="Courier New"/>
          <w:sz w:val="18"/>
          <w:szCs w:val="18"/>
        </w:rPr>
        <w:t xml:space="preserve"> -O $</w:t>
      </w:r>
      <w:proofErr w:type="spellStart"/>
      <w:r>
        <w:rPr>
          <w:rFonts w:ascii="Courier New" w:hAnsi="Courier New" w:cs="Courier New"/>
          <w:sz w:val="18"/>
          <w:szCs w:val="18"/>
        </w:rPr>
        <w:t>qt_name</w:t>
      </w:r>
      <w:proofErr w:type="spellEnd"/>
      <w:r>
        <w:rPr>
          <w:rFonts w:ascii="Courier New" w:hAnsi="Courier New" w:cs="Courier New"/>
          <w:sz w:val="18"/>
          <w:szCs w:val="18"/>
        </w:rPr>
        <w:t xml:space="preserve"> ‘</w:t>
      </w:r>
      <w:r w:rsidRPr="008A7CF4">
        <w:rPr>
          <w:rFonts w:ascii="Courier New" w:hAnsi="Courier New" w:cs="Courier New"/>
          <w:sz w:val="18"/>
          <w:szCs w:val="18"/>
        </w:rPr>
        <w:t>$</w:t>
      </w:r>
      <w:proofErr w:type="spellStart"/>
      <w:r w:rsidRPr="008A7CF4">
        <w:rPr>
          <w:rFonts w:ascii="Courier New" w:hAnsi="Courier New" w:cs="Courier New"/>
          <w:sz w:val="18"/>
          <w:szCs w:val="18"/>
        </w:rPr>
        <w:t>url</w:t>
      </w:r>
      <w:proofErr w:type="spellEnd"/>
      <w:r w:rsidRPr="008A7CF4">
        <w:rPr>
          <w:rFonts w:ascii="Courier New" w:hAnsi="Courier New" w:cs="Courier New"/>
          <w:sz w:val="18"/>
          <w:szCs w:val="18"/>
        </w:rPr>
        <w:t>($organism[Organism]) AND</w:t>
      </w:r>
      <w:r>
        <w:rPr>
          <w:rFonts w:ascii="Courier New" w:hAnsi="Courier New" w:cs="Courier New"/>
          <w:sz w:val="18"/>
          <w:szCs w:val="18"/>
        </w:rPr>
        <w:t xml:space="preserve"> "strategy </w:t>
      </w:r>
      <w:proofErr w:type="spellStart"/>
      <w:r>
        <w:rPr>
          <w:rFonts w:ascii="Courier New" w:hAnsi="Courier New" w:cs="Courier New"/>
          <w:sz w:val="18"/>
          <w:szCs w:val="18"/>
        </w:rPr>
        <w:t>rna</w:t>
      </w:r>
      <w:proofErr w:type="spellEnd"/>
      <w:r>
        <w:rPr>
          <w:rFonts w:ascii="Courier New" w:hAnsi="Courier New" w:cs="Courier New"/>
          <w:sz w:val="18"/>
          <w:szCs w:val="18"/>
        </w:rPr>
        <w:t xml:space="preserve"> </w:t>
      </w:r>
      <w:proofErr w:type="spellStart"/>
      <w:r>
        <w:rPr>
          <w:rFonts w:ascii="Courier New" w:hAnsi="Courier New" w:cs="Courier New"/>
          <w:sz w:val="18"/>
          <w:szCs w:val="18"/>
        </w:rPr>
        <w:t>seq</w:t>
      </w:r>
      <w:proofErr w:type="spellEnd"/>
      <w:r>
        <w:rPr>
          <w:rFonts w:ascii="Courier New" w:hAnsi="Courier New" w:cs="Courier New"/>
          <w:sz w:val="18"/>
          <w:szCs w:val="18"/>
        </w:rPr>
        <w:t>"[Properties]’</w:t>
      </w:r>
    </w:p>
    <w:p w14:paraId="68AEDBA0" w14:textId="77777777" w:rsidR="008A7CF4" w:rsidRDefault="008A7CF4" w:rsidP="008A7CF4">
      <w:pPr>
        <w:pStyle w:val="NormalWeb"/>
        <w:spacing w:before="0" w:beforeAutospacing="0" w:after="0" w:afterAutospacing="0"/>
        <w:rPr>
          <w:rFonts w:ascii="Courier New" w:hAnsi="Courier New" w:cs="Courier New"/>
          <w:sz w:val="18"/>
          <w:szCs w:val="18"/>
        </w:rPr>
      </w:pPr>
    </w:p>
    <w:p w14:paraId="32CC67AD" w14:textId="77777777" w:rsidR="008A7CF4" w:rsidRPr="008A7CF4" w:rsidRDefault="008A7CF4" w:rsidP="008A7CF4">
      <w:pPr>
        <w:pStyle w:val="NormalWeb"/>
        <w:spacing w:before="0" w:beforeAutospacing="0" w:after="0" w:afterAutospacing="0"/>
        <w:rPr>
          <w:rFonts w:ascii="Courier New" w:hAnsi="Courier New" w:cs="Courier New"/>
          <w:sz w:val="18"/>
          <w:szCs w:val="18"/>
        </w:rPr>
      </w:pPr>
    </w:p>
    <w:p w14:paraId="293B934A" w14:textId="77777777" w:rsidR="008A7CF4" w:rsidRPr="008A7CF4" w:rsidRDefault="008A7CF4" w:rsidP="008A7CF4">
      <w:pPr>
        <w:pStyle w:val="NormalWeb"/>
        <w:spacing w:before="0" w:beforeAutospacing="0" w:after="0" w:afterAutospacing="0"/>
        <w:rPr>
          <w:rFonts w:ascii="Arial" w:hAnsi="Arial" w:cs="Arial"/>
          <w:b/>
          <w:sz w:val="22"/>
          <w:szCs w:val="22"/>
        </w:rPr>
      </w:pPr>
      <w:r w:rsidRPr="008A7CF4">
        <w:rPr>
          <w:rFonts w:ascii="Arial" w:hAnsi="Arial" w:cs="Arial"/>
          <w:b/>
          <w:sz w:val="22"/>
          <w:szCs w:val="22"/>
        </w:rPr>
        <w:t xml:space="preserve">Reference </w:t>
      </w:r>
      <w:proofErr w:type="spellStart"/>
      <w:r w:rsidRPr="008A7CF4">
        <w:rPr>
          <w:rFonts w:ascii="Arial" w:hAnsi="Arial" w:cs="Arial"/>
          <w:b/>
          <w:sz w:val="22"/>
          <w:szCs w:val="22"/>
        </w:rPr>
        <w:t>transcriptomes</w:t>
      </w:r>
      <w:proofErr w:type="spellEnd"/>
      <w:r w:rsidRPr="008A7CF4">
        <w:rPr>
          <w:rFonts w:ascii="Arial" w:hAnsi="Arial" w:cs="Arial"/>
          <w:b/>
          <w:sz w:val="22"/>
          <w:szCs w:val="22"/>
        </w:rPr>
        <w:t xml:space="preserve"> and index construction</w:t>
      </w:r>
    </w:p>
    <w:p w14:paraId="48FC5296" w14:textId="268329AC" w:rsidR="008A7CF4" w:rsidRPr="008A7CF4" w:rsidRDefault="008A7CF4" w:rsidP="00B362BC">
      <w:pPr>
        <w:pStyle w:val="NormalWeb"/>
        <w:spacing w:before="0" w:beforeAutospacing="0" w:after="0" w:afterAutospacing="0"/>
        <w:ind w:firstLine="720"/>
        <w:rPr>
          <w:rFonts w:ascii="Arial" w:hAnsi="Arial" w:cs="Arial"/>
          <w:sz w:val="22"/>
          <w:szCs w:val="22"/>
        </w:rPr>
      </w:pPr>
      <w:r w:rsidRPr="008A7CF4">
        <w:rPr>
          <w:rFonts w:ascii="Arial" w:hAnsi="Arial" w:cs="Arial"/>
          <w:sz w:val="22"/>
          <w:szCs w:val="22"/>
        </w:rPr>
        <w:t xml:space="preserve">Sailfish requires a reference </w:t>
      </w:r>
      <w:proofErr w:type="spellStart"/>
      <w:r w:rsidRPr="008A7CF4">
        <w:rPr>
          <w:rFonts w:ascii="Arial" w:hAnsi="Arial" w:cs="Arial"/>
          <w:sz w:val="22"/>
          <w:szCs w:val="22"/>
        </w:rPr>
        <w:t>transcriptome</w:t>
      </w:r>
      <w:proofErr w:type="spellEnd"/>
      <w:r w:rsidRPr="008A7CF4">
        <w:rPr>
          <w:rFonts w:ascii="Arial" w:hAnsi="Arial" w:cs="Arial"/>
          <w:sz w:val="22"/>
          <w:szCs w:val="22"/>
        </w:rPr>
        <w:t xml:space="preserve"> -- a FASTA file of </w:t>
      </w:r>
      <w:proofErr w:type="spellStart"/>
      <w:r w:rsidRPr="008A7CF4">
        <w:rPr>
          <w:rFonts w:ascii="Arial" w:hAnsi="Arial" w:cs="Arial"/>
          <w:sz w:val="22"/>
          <w:szCs w:val="22"/>
        </w:rPr>
        <w:t>cDNA</w:t>
      </w:r>
      <w:proofErr w:type="spellEnd"/>
      <w:r w:rsidRPr="008A7CF4">
        <w:rPr>
          <w:rFonts w:ascii="Arial" w:hAnsi="Arial" w:cs="Arial"/>
          <w:sz w:val="22"/>
          <w:szCs w:val="22"/>
        </w:rPr>
        <w:t xml:space="preserve"> sequences -- from which it builds an index it can query during tran</w:t>
      </w:r>
      <w:r>
        <w:rPr>
          <w:rFonts w:ascii="Arial" w:hAnsi="Arial" w:cs="Arial"/>
          <w:sz w:val="22"/>
          <w:szCs w:val="22"/>
        </w:rPr>
        <w:t xml:space="preserve">script quantification. For the </w:t>
      </w:r>
      <w:r>
        <w:rPr>
          <w:rFonts w:ascii="Arial" w:hAnsi="Arial" w:cs="Arial"/>
          <w:i/>
          <w:sz w:val="22"/>
          <w:szCs w:val="22"/>
        </w:rPr>
        <w:t>A. thaliana</w:t>
      </w:r>
      <w:r w:rsidRPr="008A7CF4">
        <w:rPr>
          <w:rFonts w:ascii="Arial" w:hAnsi="Arial" w:cs="Arial"/>
          <w:sz w:val="22"/>
          <w:szCs w:val="22"/>
        </w:rPr>
        <w:t xml:space="preserve"> </w:t>
      </w:r>
      <w:proofErr w:type="spellStart"/>
      <w:r w:rsidRPr="008A7CF4">
        <w:rPr>
          <w:rFonts w:ascii="Arial" w:hAnsi="Arial" w:cs="Arial"/>
          <w:sz w:val="22"/>
          <w:szCs w:val="22"/>
        </w:rPr>
        <w:t>transcriptome</w:t>
      </w:r>
      <w:proofErr w:type="spellEnd"/>
      <w:r w:rsidRPr="008A7CF4">
        <w:rPr>
          <w:rFonts w:ascii="Arial" w:hAnsi="Arial" w:cs="Arial"/>
          <w:sz w:val="22"/>
          <w:szCs w:val="22"/>
        </w:rPr>
        <w:t xml:space="preserve"> reference we used </w:t>
      </w:r>
      <w:proofErr w:type="spellStart"/>
      <w:r w:rsidRPr="008A7CF4">
        <w:rPr>
          <w:rFonts w:ascii="Arial" w:hAnsi="Arial" w:cs="Arial"/>
          <w:sz w:val="22"/>
          <w:szCs w:val="22"/>
        </w:rPr>
        <w:t>cDNA</w:t>
      </w:r>
      <w:proofErr w:type="spellEnd"/>
      <w:r w:rsidRPr="008A7CF4">
        <w:rPr>
          <w:rFonts w:ascii="Arial" w:hAnsi="Arial" w:cs="Arial"/>
          <w:sz w:val="22"/>
          <w:szCs w:val="22"/>
        </w:rPr>
        <w:t xml:space="preserve"> sequences of all isoforms from</w:t>
      </w:r>
      <w:r w:rsidR="00AA752B">
        <w:rPr>
          <w:rFonts w:ascii="Arial" w:hAnsi="Arial" w:cs="Arial"/>
          <w:sz w:val="22"/>
          <w:szCs w:val="22"/>
        </w:rPr>
        <w:t xml:space="preserve"> the TAIR10 reference. For the </w:t>
      </w:r>
      <w:r w:rsidR="00AA752B">
        <w:rPr>
          <w:rFonts w:ascii="Arial" w:hAnsi="Arial" w:cs="Arial"/>
          <w:i/>
          <w:sz w:val="22"/>
          <w:szCs w:val="22"/>
        </w:rPr>
        <w:t xml:space="preserve">M. </w:t>
      </w:r>
      <w:proofErr w:type="spellStart"/>
      <w:r w:rsidR="00AA752B">
        <w:rPr>
          <w:rFonts w:ascii="Arial" w:hAnsi="Arial" w:cs="Arial"/>
          <w:i/>
          <w:sz w:val="22"/>
          <w:szCs w:val="22"/>
        </w:rPr>
        <w:t>musculus</w:t>
      </w:r>
      <w:proofErr w:type="spellEnd"/>
      <w:r w:rsidRPr="008A7CF4">
        <w:rPr>
          <w:rFonts w:ascii="Arial" w:hAnsi="Arial" w:cs="Arial"/>
          <w:sz w:val="22"/>
          <w:szCs w:val="22"/>
        </w:rPr>
        <w:t xml:space="preserve"> </w:t>
      </w:r>
      <w:proofErr w:type="spellStart"/>
      <w:r w:rsidRPr="008A7CF4">
        <w:rPr>
          <w:rFonts w:ascii="Arial" w:hAnsi="Arial" w:cs="Arial"/>
          <w:sz w:val="22"/>
          <w:szCs w:val="22"/>
        </w:rPr>
        <w:t>transcriptome</w:t>
      </w:r>
      <w:proofErr w:type="spellEnd"/>
      <w:r w:rsidRPr="008A7CF4">
        <w:rPr>
          <w:rFonts w:ascii="Arial" w:hAnsi="Arial" w:cs="Arial"/>
          <w:sz w:val="22"/>
          <w:szCs w:val="22"/>
        </w:rPr>
        <w:t xml:space="preserve"> reference we used all protein-coding and long non-coding RNA transcript sequences from the </w:t>
      </w:r>
      <w:proofErr w:type="spellStart"/>
      <w:r w:rsidRPr="008A7CF4">
        <w:rPr>
          <w:rFonts w:ascii="Arial" w:hAnsi="Arial" w:cs="Arial"/>
          <w:sz w:val="22"/>
          <w:szCs w:val="22"/>
        </w:rPr>
        <w:t>Gencode</w:t>
      </w:r>
      <w:proofErr w:type="spellEnd"/>
      <w:r w:rsidRPr="008A7CF4">
        <w:rPr>
          <w:rFonts w:ascii="Arial" w:hAnsi="Arial" w:cs="Arial"/>
          <w:sz w:val="22"/>
          <w:szCs w:val="22"/>
        </w:rPr>
        <w:t xml:space="preserve"> vM5 reference.</w:t>
      </w:r>
    </w:p>
    <w:p w14:paraId="12F91139" w14:textId="77777777" w:rsidR="008A7CF4" w:rsidRPr="008A7CF4" w:rsidRDefault="008A7CF4" w:rsidP="008A7CF4">
      <w:pPr>
        <w:pStyle w:val="NormalWeb"/>
        <w:spacing w:before="0" w:beforeAutospacing="0" w:after="0" w:afterAutospacing="0"/>
        <w:rPr>
          <w:rFonts w:ascii="Arial" w:hAnsi="Arial" w:cs="Arial"/>
          <w:sz w:val="22"/>
          <w:szCs w:val="22"/>
        </w:rPr>
      </w:pPr>
    </w:p>
    <w:p w14:paraId="78166B2E" w14:textId="77777777" w:rsidR="008A7CF4" w:rsidRDefault="008A7CF4" w:rsidP="008A7CF4">
      <w:pPr>
        <w:pStyle w:val="NormalWeb"/>
        <w:spacing w:before="0" w:beforeAutospacing="0" w:after="0" w:afterAutospacing="0"/>
        <w:rPr>
          <w:rFonts w:ascii="Arial" w:hAnsi="Arial" w:cs="Arial"/>
          <w:sz w:val="22"/>
          <w:szCs w:val="22"/>
        </w:rPr>
      </w:pPr>
      <w:r w:rsidRPr="008A7CF4">
        <w:rPr>
          <w:rFonts w:ascii="Arial" w:hAnsi="Arial" w:cs="Arial"/>
          <w:sz w:val="22"/>
          <w:szCs w:val="22"/>
        </w:rPr>
        <w:t>Sailfish indices were created using the following command:</w:t>
      </w:r>
    </w:p>
    <w:p w14:paraId="64C21AEE" w14:textId="77777777" w:rsidR="007C265D" w:rsidRPr="008A7CF4" w:rsidRDefault="007C265D" w:rsidP="008A7CF4">
      <w:pPr>
        <w:pStyle w:val="NormalWeb"/>
        <w:spacing w:before="0" w:beforeAutospacing="0" w:after="0" w:afterAutospacing="0"/>
        <w:rPr>
          <w:rFonts w:ascii="Arial" w:hAnsi="Arial" w:cs="Arial"/>
          <w:sz w:val="22"/>
          <w:szCs w:val="22"/>
        </w:rPr>
      </w:pPr>
    </w:p>
    <w:p w14:paraId="0FA167EE" w14:textId="77777777" w:rsidR="008A7CF4" w:rsidRPr="00440106" w:rsidRDefault="008A7CF4" w:rsidP="008A7CF4">
      <w:pPr>
        <w:pStyle w:val="NormalWeb"/>
        <w:spacing w:before="0" w:beforeAutospacing="0" w:after="0" w:afterAutospacing="0"/>
        <w:rPr>
          <w:rFonts w:ascii="Courier New" w:hAnsi="Courier New" w:cs="Courier New"/>
          <w:sz w:val="18"/>
          <w:szCs w:val="18"/>
        </w:rPr>
      </w:pPr>
      <w:proofErr w:type="gramStart"/>
      <w:r w:rsidRPr="00440106">
        <w:rPr>
          <w:rFonts w:ascii="Courier New" w:hAnsi="Courier New" w:cs="Courier New"/>
          <w:sz w:val="18"/>
          <w:szCs w:val="18"/>
        </w:rPr>
        <w:t>sailfish</w:t>
      </w:r>
      <w:proofErr w:type="gramEnd"/>
      <w:r w:rsidRPr="00440106">
        <w:rPr>
          <w:rFonts w:ascii="Courier New" w:hAnsi="Courier New" w:cs="Courier New"/>
          <w:sz w:val="18"/>
          <w:szCs w:val="18"/>
        </w:rPr>
        <w:t xml:space="preserve"> index -t &lt;</w:t>
      </w:r>
      <w:proofErr w:type="spellStart"/>
      <w:r w:rsidRPr="00440106">
        <w:rPr>
          <w:rFonts w:ascii="Courier New" w:hAnsi="Courier New" w:cs="Courier New"/>
          <w:sz w:val="18"/>
          <w:szCs w:val="18"/>
        </w:rPr>
        <w:t>ref_transcriptome.fasta</w:t>
      </w:r>
      <w:proofErr w:type="spellEnd"/>
      <w:r w:rsidRPr="00440106">
        <w:rPr>
          <w:rFonts w:ascii="Courier New" w:hAnsi="Courier New" w:cs="Courier New"/>
          <w:sz w:val="18"/>
          <w:szCs w:val="18"/>
        </w:rPr>
        <w:t>&gt; -k 20 -p 6 -o .</w:t>
      </w:r>
    </w:p>
    <w:p w14:paraId="71AE8CD9" w14:textId="77777777" w:rsidR="008A7CF4" w:rsidRPr="008A7CF4" w:rsidRDefault="008A7CF4" w:rsidP="008A7CF4">
      <w:pPr>
        <w:pStyle w:val="NormalWeb"/>
        <w:spacing w:before="0" w:beforeAutospacing="0" w:after="0" w:afterAutospacing="0"/>
        <w:rPr>
          <w:rFonts w:ascii="Arial" w:hAnsi="Arial" w:cs="Arial"/>
          <w:sz w:val="22"/>
          <w:szCs w:val="22"/>
        </w:rPr>
      </w:pPr>
    </w:p>
    <w:p w14:paraId="505E53EC" w14:textId="74A5E5B2" w:rsidR="008A7CF4" w:rsidRPr="008A7CF4" w:rsidRDefault="004D0674" w:rsidP="008A7CF4">
      <w:pPr>
        <w:pStyle w:val="NormalWeb"/>
        <w:spacing w:before="0" w:beforeAutospacing="0" w:after="0" w:afterAutospacing="0"/>
        <w:rPr>
          <w:rFonts w:ascii="Arial" w:hAnsi="Arial" w:cs="Arial"/>
          <w:sz w:val="22"/>
          <w:szCs w:val="22"/>
        </w:rPr>
      </w:pPr>
      <w:r>
        <w:rPr>
          <w:rFonts w:ascii="Arial" w:hAnsi="Arial" w:cs="Arial"/>
          <w:sz w:val="22"/>
          <w:szCs w:val="22"/>
        </w:rPr>
        <w:t>Here,</w:t>
      </w:r>
      <w:r w:rsidR="00440106">
        <w:rPr>
          <w:rFonts w:ascii="Arial" w:hAnsi="Arial" w:cs="Arial"/>
          <w:sz w:val="22"/>
          <w:szCs w:val="22"/>
        </w:rPr>
        <w:t xml:space="preserve"> &lt;</w:t>
      </w:r>
      <w:proofErr w:type="spellStart"/>
      <w:r w:rsidR="00440106">
        <w:rPr>
          <w:rFonts w:ascii="Arial" w:hAnsi="Arial" w:cs="Arial"/>
          <w:sz w:val="22"/>
          <w:szCs w:val="22"/>
        </w:rPr>
        <w:t>ref_transcriptome.fasta</w:t>
      </w:r>
      <w:proofErr w:type="spellEnd"/>
      <w:r w:rsidR="00440106">
        <w:rPr>
          <w:rFonts w:ascii="Arial" w:hAnsi="Arial" w:cs="Arial"/>
          <w:sz w:val="22"/>
          <w:szCs w:val="22"/>
        </w:rPr>
        <w:t>&gt;</w:t>
      </w:r>
      <w:r w:rsidR="00A52610">
        <w:rPr>
          <w:rFonts w:ascii="Arial" w:hAnsi="Arial" w:cs="Arial"/>
          <w:sz w:val="22"/>
          <w:szCs w:val="22"/>
        </w:rPr>
        <w:t xml:space="preserve"> </w:t>
      </w:r>
      <w:r w:rsidR="008A7CF4" w:rsidRPr="008A7CF4">
        <w:rPr>
          <w:rFonts w:ascii="Arial" w:hAnsi="Arial" w:cs="Arial"/>
          <w:sz w:val="22"/>
          <w:szCs w:val="22"/>
        </w:rPr>
        <w:t xml:space="preserve">refers to the reference </w:t>
      </w:r>
      <w:proofErr w:type="spellStart"/>
      <w:r w:rsidR="008A7CF4" w:rsidRPr="008A7CF4">
        <w:rPr>
          <w:rFonts w:ascii="Arial" w:hAnsi="Arial" w:cs="Arial"/>
          <w:sz w:val="22"/>
          <w:szCs w:val="22"/>
        </w:rPr>
        <w:t>transcriptome</w:t>
      </w:r>
      <w:proofErr w:type="spellEnd"/>
      <w:r w:rsidR="008A7CF4" w:rsidRPr="008A7CF4">
        <w:rPr>
          <w:rFonts w:ascii="Arial" w:hAnsi="Arial" w:cs="Arial"/>
          <w:sz w:val="22"/>
          <w:szCs w:val="22"/>
        </w:rPr>
        <w:t xml:space="preserve"> FASTA file. Copies of the reference </w:t>
      </w:r>
      <w:proofErr w:type="spellStart"/>
      <w:r w:rsidR="008A7CF4" w:rsidRPr="008A7CF4">
        <w:rPr>
          <w:rFonts w:ascii="Arial" w:hAnsi="Arial" w:cs="Arial"/>
          <w:sz w:val="22"/>
          <w:szCs w:val="22"/>
        </w:rPr>
        <w:t>transcriptome</w:t>
      </w:r>
      <w:proofErr w:type="spellEnd"/>
      <w:r w:rsidR="008A7CF4" w:rsidRPr="008A7CF4">
        <w:rPr>
          <w:rFonts w:ascii="Arial" w:hAnsi="Arial" w:cs="Arial"/>
          <w:sz w:val="22"/>
          <w:szCs w:val="22"/>
        </w:rPr>
        <w:t xml:space="preserve"> FASTA files used in this study are available upon request.</w:t>
      </w:r>
    </w:p>
    <w:p w14:paraId="7C57EC0F" w14:textId="77777777" w:rsidR="008A7CF4" w:rsidRDefault="008A7CF4" w:rsidP="008A7CF4">
      <w:pPr>
        <w:pStyle w:val="NormalWeb"/>
        <w:spacing w:before="0" w:beforeAutospacing="0" w:after="0" w:afterAutospacing="0"/>
      </w:pPr>
    </w:p>
    <w:p w14:paraId="6E065578" w14:textId="3D6AF9D6" w:rsidR="00B362BC" w:rsidRPr="00B362BC" w:rsidRDefault="00B362BC" w:rsidP="00B362BC">
      <w:pPr>
        <w:pStyle w:val="NormalWeb"/>
        <w:spacing w:before="0" w:beforeAutospacing="0" w:after="0" w:afterAutospacing="0"/>
        <w:rPr>
          <w:rFonts w:ascii="Arial" w:hAnsi="Arial" w:cs="Arial"/>
          <w:b/>
          <w:sz w:val="22"/>
          <w:szCs w:val="22"/>
        </w:rPr>
      </w:pPr>
      <w:r w:rsidRPr="00B362BC">
        <w:rPr>
          <w:rFonts w:ascii="Arial" w:hAnsi="Arial" w:cs="Arial"/>
          <w:b/>
          <w:sz w:val="22"/>
          <w:szCs w:val="22"/>
        </w:rPr>
        <w:t>Quality and expression filtering</w:t>
      </w:r>
    </w:p>
    <w:p w14:paraId="0A232761" w14:textId="4B72F4A8" w:rsidR="00B362BC" w:rsidRDefault="00B362BC" w:rsidP="00B362BC">
      <w:pPr>
        <w:pStyle w:val="NormalWeb"/>
        <w:spacing w:before="0" w:beforeAutospacing="0" w:after="0" w:afterAutospacing="0"/>
        <w:ind w:firstLine="720"/>
        <w:rPr>
          <w:rFonts w:ascii="Arial" w:hAnsi="Arial" w:cs="Arial"/>
          <w:sz w:val="22"/>
          <w:szCs w:val="22"/>
        </w:rPr>
      </w:pPr>
      <w:r w:rsidRPr="00B362BC">
        <w:rPr>
          <w:rFonts w:ascii="Arial" w:hAnsi="Arial" w:cs="Arial"/>
          <w:sz w:val="22"/>
          <w:szCs w:val="22"/>
        </w:rPr>
        <w:t>Upon completion of download and transcript quantification of</w:t>
      </w:r>
      <w:r>
        <w:rPr>
          <w:rFonts w:ascii="Arial" w:hAnsi="Arial" w:cs="Arial"/>
          <w:sz w:val="22"/>
          <w:szCs w:val="22"/>
        </w:rPr>
        <w:t xml:space="preserve"> all samples, we assembled </w:t>
      </w:r>
      <w:proofErr w:type="gramStart"/>
      <w:r>
        <w:rPr>
          <w:rFonts w:ascii="Arial" w:hAnsi="Arial" w:cs="Arial"/>
          <w:sz w:val="22"/>
          <w:szCs w:val="22"/>
        </w:rPr>
        <w:t>a</w:t>
      </w:r>
      <w:proofErr w:type="gramEnd"/>
      <w:r>
        <w:rPr>
          <w:rFonts w:ascii="Arial" w:hAnsi="Arial" w:cs="Arial"/>
          <w:sz w:val="22"/>
          <w:szCs w:val="22"/>
        </w:rPr>
        <w:t xml:space="preserve"> n</w:t>
      </w:r>
      <w:r w:rsidRPr="00B362BC">
        <w:rPr>
          <w:rFonts w:ascii="Arial" w:hAnsi="Arial" w:cs="Arial"/>
          <w:sz w:val="22"/>
          <w:szCs w:val="22"/>
        </w:rPr>
        <w:t xml:space="preserve">-samples </w:t>
      </w:r>
      <w:r>
        <w:rPr>
          <w:rFonts w:ascii="Arial" w:hAnsi="Arial" w:cs="Arial"/>
          <w:sz w:val="22"/>
          <w:szCs w:val="22"/>
        </w:rPr>
        <w:t>x p</w:t>
      </w:r>
      <w:r w:rsidRPr="00B362BC">
        <w:rPr>
          <w:rFonts w:ascii="Arial" w:hAnsi="Arial" w:cs="Arial"/>
          <w:sz w:val="22"/>
          <w:szCs w:val="22"/>
        </w:rPr>
        <w:t>-</w:t>
      </w:r>
      <w:r w:rsidR="00355A4A">
        <w:rPr>
          <w:rFonts w:ascii="Arial" w:hAnsi="Arial" w:cs="Arial"/>
          <w:sz w:val="22"/>
          <w:szCs w:val="22"/>
        </w:rPr>
        <w:t>isoforms</w:t>
      </w:r>
      <w:r w:rsidRPr="00B362BC">
        <w:rPr>
          <w:rFonts w:ascii="Arial" w:hAnsi="Arial" w:cs="Arial"/>
          <w:sz w:val="22"/>
          <w:szCs w:val="22"/>
        </w:rPr>
        <w:t xml:space="preserve"> matrix of transcripts per million (TPM) values as calculated by Sailfish. We then proceeded to quality </w:t>
      </w:r>
      <w:r w:rsidR="00355A4A">
        <w:rPr>
          <w:rFonts w:ascii="Arial" w:hAnsi="Arial" w:cs="Arial"/>
          <w:sz w:val="22"/>
          <w:szCs w:val="22"/>
        </w:rPr>
        <w:t xml:space="preserve">and expression </w:t>
      </w:r>
      <w:r w:rsidRPr="00B362BC">
        <w:rPr>
          <w:rFonts w:ascii="Arial" w:hAnsi="Arial" w:cs="Arial"/>
          <w:sz w:val="22"/>
          <w:szCs w:val="22"/>
        </w:rPr>
        <w:t>filter the data as follows:</w:t>
      </w:r>
    </w:p>
    <w:p w14:paraId="228E2598" w14:textId="77777777" w:rsidR="00B362BC" w:rsidRDefault="00B362BC" w:rsidP="00B362BC">
      <w:pPr>
        <w:pStyle w:val="NormalWeb"/>
        <w:spacing w:before="0" w:beforeAutospacing="0" w:after="0" w:afterAutospacing="0"/>
        <w:ind w:firstLine="720"/>
        <w:rPr>
          <w:rFonts w:ascii="Arial" w:hAnsi="Arial" w:cs="Arial"/>
          <w:sz w:val="22"/>
          <w:szCs w:val="22"/>
        </w:rPr>
      </w:pPr>
    </w:p>
    <w:p w14:paraId="016248C5" w14:textId="56AD7E47" w:rsidR="00B362BC" w:rsidRDefault="00B362BC" w:rsidP="00D739D0">
      <w:pPr>
        <w:pStyle w:val="NormalWeb"/>
        <w:numPr>
          <w:ilvl w:val="0"/>
          <w:numId w:val="1"/>
        </w:numPr>
        <w:spacing w:before="0" w:beforeAutospacing="0" w:after="0" w:afterAutospacing="0"/>
        <w:jc w:val="both"/>
        <w:rPr>
          <w:rFonts w:ascii="Arial" w:hAnsi="Arial" w:cs="Arial"/>
          <w:sz w:val="22"/>
          <w:szCs w:val="22"/>
        </w:rPr>
      </w:pPr>
      <w:r w:rsidRPr="00B362BC">
        <w:rPr>
          <w:rFonts w:ascii="Arial" w:hAnsi="Arial" w:cs="Arial"/>
          <w:sz w:val="22"/>
          <w:szCs w:val="22"/>
        </w:rPr>
        <w:t xml:space="preserve">We first removed samples with a read depth and mapping rate below 4 million reads and 0.75 respectively for </w:t>
      </w:r>
      <w:r>
        <w:rPr>
          <w:rFonts w:ascii="Arial" w:hAnsi="Arial" w:cs="Arial"/>
          <w:i/>
          <w:sz w:val="22"/>
          <w:szCs w:val="22"/>
        </w:rPr>
        <w:t xml:space="preserve">A. thaliana </w:t>
      </w:r>
      <w:r>
        <w:rPr>
          <w:rFonts w:ascii="Arial" w:hAnsi="Arial" w:cs="Arial"/>
          <w:sz w:val="22"/>
          <w:szCs w:val="22"/>
        </w:rPr>
        <w:t>and 4 million reads and 0.70</w:t>
      </w:r>
      <w:r w:rsidRPr="00B362BC">
        <w:rPr>
          <w:rFonts w:ascii="Arial" w:hAnsi="Arial" w:cs="Arial"/>
          <w:sz w:val="22"/>
          <w:szCs w:val="22"/>
        </w:rPr>
        <w:t xml:space="preserve"> for </w:t>
      </w:r>
      <w:r>
        <w:rPr>
          <w:rFonts w:ascii="Arial" w:hAnsi="Arial" w:cs="Arial"/>
          <w:i/>
          <w:sz w:val="22"/>
          <w:szCs w:val="22"/>
        </w:rPr>
        <w:t xml:space="preserve">M. </w:t>
      </w:r>
      <w:proofErr w:type="spellStart"/>
      <w:r>
        <w:rPr>
          <w:rFonts w:ascii="Arial" w:hAnsi="Arial" w:cs="Arial"/>
          <w:i/>
          <w:sz w:val="22"/>
          <w:szCs w:val="22"/>
        </w:rPr>
        <w:t>musculus</w:t>
      </w:r>
      <w:proofErr w:type="spellEnd"/>
      <w:r w:rsidR="00D739D0">
        <w:rPr>
          <w:rFonts w:ascii="Arial" w:hAnsi="Arial" w:cs="Arial"/>
          <w:i/>
          <w:sz w:val="22"/>
          <w:szCs w:val="22"/>
        </w:rPr>
        <w:t xml:space="preserve"> </w:t>
      </w:r>
      <w:r w:rsidR="00D739D0">
        <w:rPr>
          <w:rFonts w:ascii="Arial" w:hAnsi="Arial" w:cs="Arial"/>
          <w:sz w:val="22"/>
          <w:szCs w:val="22"/>
        </w:rPr>
        <w:t>(Figure SM2a-b)</w:t>
      </w:r>
      <w:r w:rsidRPr="00B362BC">
        <w:rPr>
          <w:rFonts w:ascii="Arial" w:hAnsi="Arial" w:cs="Arial"/>
          <w:sz w:val="22"/>
          <w:szCs w:val="22"/>
        </w:rPr>
        <w:t xml:space="preserve">. We used a slightly lower mapping rate threshold for </w:t>
      </w:r>
      <w:r w:rsidR="001E0D56">
        <w:rPr>
          <w:rFonts w:ascii="Arial" w:hAnsi="Arial" w:cs="Arial"/>
          <w:i/>
          <w:sz w:val="22"/>
          <w:szCs w:val="22"/>
        </w:rPr>
        <w:t xml:space="preserve">M. </w:t>
      </w:r>
      <w:proofErr w:type="spellStart"/>
      <w:r w:rsidR="001E0D56">
        <w:rPr>
          <w:rFonts w:ascii="Arial" w:hAnsi="Arial" w:cs="Arial"/>
          <w:i/>
          <w:sz w:val="22"/>
          <w:szCs w:val="22"/>
        </w:rPr>
        <w:t>musculus</w:t>
      </w:r>
      <w:proofErr w:type="spellEnd"/>
      <w:r w:rsidR="001E0D56" w:rsidRPr="00B362BC">
        <w:rPr>
          <w:rFonts w:ascii="Arial" w:hAnsi="Arial" w:cs="Arial"/>
          <w:sz w:val="22"/>
          <w:szCs w:val="22"/>
        </w:rPr>
        <w:t xml:space="preserve"> </w:t>
      </w:r>
      <w:r w:rsidRPr="00B362BC">
        <w:rPr>
          <w:rFonts w:ascii="Arial" w:hAnsi="Arial" w:cs="Arial"/>
          <w:sz w:val="22"/>
          <w:szCs w:val="22"/>
        </w:rPr>
        <w:t xml:space="preserve">because the average mapping rate for </w:t>
      </w:r>
      <w:r w:rsidR="001E0D56">
        <w:rPr>
          <w:rFonts w:ascii="Arial" w:hAnsi="Arial" w:cs="Arial"/>
          <w:i/>
          <w:sz w:val="22"/>
          <w:szCs w:val="22"/>
        </w:rPr>
        <w:t xml:space="preserve">M. </w:t>
      </w:r>
      <w:proofErr w:type="spellStart"/>
      <w:r w:rsidR="001E0D56">
        <w:rPr>
          <w:rFonts w:ascii="Arial" w:hAnsi="Arial" w:cs="Arial"/>
          <w:i/>
          <w:sz w:val="22"/>
          <w:szCs w:val="22"/>
        </w:rPr>
        <w:t>musculus</w:t>
      </w:r>
      <w:proofErr w:type="spellEnd"/>
      <w:r w:rsidR="001E0D56" w:rsidRPr="00B362BC">
        <w:rPr>
          <w:rFonts w:ascii="Arial" w:hAnsi="Arial" w:cs="Arial"/>
          <w:sz w:val="22"/>
          <w:szCs w:val="22"/>
        </w:rPr>
        <w:t xml:space="preserve"> </w:t>
      </w:r>
      <w:r w:rsidRPr="00B362BC">
        <w:rPr>
          <w:rFonts w:ascii="Arial" w:hAnsi="Arial" w:cs="Arial"/>
          <w:sz w:val="22"/>
          <w:szCs w:val="22"/>
        </w:rPr>
        <w:t xml:space="preserve">was lower than that of </w:t>
      </w:r>
      <w:r w:rsidR="001E0D56">
        <w:rPr>
          <w:rFonts w:ascii="Arial" w:hAnsi="Arial" w:cs="Arial"/>
          <w:i/>
          <w:sz w:val="22"/>
          <w:szCs w:val="22"/>
        </w:rPr>
        <w:t>A. thaliana</w:t>
      </w:r>
      <w:r w:rsidRPr="00B362BC">
        <w:rPr>
          <w:rFonts w:ascii="Arial" w:hAnsi="Arial" w:cs="Arial"/>
          <w:sz w:val="22"/>
          <w:szCs w:val="22"/>
        </w:rPr>
        <w:t xml:space="preserve">. We reasoned this was due to the fact that the </w:t>
      </w:r>
      <w:proofErr w:type="spellStart"/>
      <w:r w:rsidRPr="00B362BC">
        <w:rPr>
          <w:rFonts w:ascii="Arial" w:hAnsi="Arial" w:cs="Arial"/>
          <w:sz w:val="22"/>
          <w:szCs w:val="22"/>
        </w:rPr>
        <w:t>Gencode</w:t>
      </w:r>
      <w:proofErr w:type="spellEnd"/>
      <w:r w:rsidRPr="00B362BC">
        <w:rPr>
          <w:rFonts w:ascii="Arial" w:hAnsi="Arial" w:cs="Arial"/>
          <w:sz w:val="22"/>
          <w:szCs w:val="22"/>
        </w:rPr>
        <w:t xml:space="preserve"> vM5 reference is likely less complete than the TAIR10 reference for </w:t>
      </w:r>
      <w:r w:rsidR="001E0D56">
        <w:rPr>
          <w:rFonts w:ascii="Arial" w:hAnsi="Arial" w:cs="Arial"/>
          <w:i/>
          <w:sz w:val="22"/>
          <w:szCs w:val="22"/>
        </w:rPr>
        <w:t xml:space="preserve">M. </w:t>
      </w:r>
      <w:proofErr w:type="spellStart"/>
      <w:r w:rsidR="001E0D56">
        <w:rPr>
          <w:rFonts w:ascii="Arial" w:hAnsi="Arial" w:cs="Arial"/>
          <w:i/>
          <w:sz w:val="22"/>
          <w:szCs w:val="22"/>
        </w:rPr>
        <w:t>musculus</w:t>
      </w:r>
      <w:proofErr w:type="spellEnd"/>
      <w:r w:rsidR="001E0D56">
        <w:rPr>
          <w:rFonts w:ascii="Arial" w:hAnsi="Arial" w:cs="Arial"/>
          <w:i/>
          <w:sz w:val="22"/>
          <w:szCs w:val="22"/>
        </w:rPr>
        <w:t xml:space="preserve">. </w:t>
      </w:r>
      <w:r w:rsidRPr="00B362BC">
        <w:rPr>
          <w:rFonts w:ascii="Arial" w:hAnsi="Arial" w:cs="Arial"/>
          <w:sz w:val="22"/>
          <w:szCs w:val="22"/>
        </w:rPr>
        <w:t>Though these read count thresholds may be considered slightly lower than what is ideal for both organisms, raising them much higher removed a large number of samples from analysis. Importantly, low read count samples should only add to the noise in the dataset, and so the performance results presented in the main text are, if anything, artificially lower than they should be.</w:t>
      </w:r>
    </w:p>
    <w:p w14:paraId="268D105F" w14:textId="5F9D4DBB" w:rsidR="00355A4A" w:rsidRDefault="001E0D56" w:rsidP="00D739D0">
      <w:pPr>
        <w:pStyle w:val="NormalWeb"/>
        <w:numPr>
          <w:ilvl w:val="0"/>
          <w:numId w:val="1"/>
        </w:numPr>
        <w:spacing w:before="0" w:beforeAutospacing="0" w:after="0" w:afterAutospacing="0"/>
        <w:jc w:val="both"/>
        <w:rPr>
          <w:rFonts w:ascii="Arial" w:hAnsi="Arial" w:cs="Arial"/>
          <w:sz w:val="22"/>
          <w:szCs w:val="22"/>
        </w:rPr>
      </w:pPr>
      <w:r w:rsidRPr="00B362BC">
        <w:rPr>
          <w:rFonts w:ascii="Arial" w:hAnsi="Arial" w:cs="Arial"/>
          <w:sz w:val="22"/>
          <w:szCs w:val="22"/>
        </w:rPr>
        <w:t xml:space="preserve">Subsequently, we </w:t>
      </w:r>
      <w:r w:rsidR="00355A4A">
        <w:rPr>
          <w:rFonts w:ascii="Arial" w:hAnsi="Arial" w:cs="Arial"/>
          <w:sz w:val="22"/>
          <w:szCs w:val="22"/>
        </w:rPr>
        <w:t xml:space="preserve">collapsed the isoform expression table into a gene expression table by setting a gene’s expression to be the sum of the expression values of all isoforms of that gene. </w:t>
      </w:r>
    </w:p>
    <w:p w14:paraId="4FC6DBE5" w14:textId="30423A8F" w:rsidR="001E0D56" w:rsidRDefault="00355A4A" w:rsidP="00D739D0">
      <w:pPr>
        <w:pStyle w:val="NormalWeb"/>
        <w:numPr>
          <w:ilvl w:val="0"/>
          <w:numId w:val="1"/>
        </w:numPr>
        <w:spacing w:before="0" w:beforeAutospacing="0" w:after="0" w:afterAutospacing="0"/>
        <w:jc w:val="both"/>
        <w:rPr>
          <w:rFonts w:ascii="Arial" w:hAnsi="Arial" w:cs="Arial"/>
          <w:sz w:val="22"/>
          <w:szCs w:val="22"/>
        </w:rPr>
      </w:pPr>
      <w:r>
        <w:rPr>
          <w:rFonts w:ascii="Arial" w:hAnsi="Arial" w:cs="Arial"/>
          <w:sz w:val="22"/>
          <w:szCs w:val="22"/>
        </w:rPr>
        <w:t xml:space="preserve">We next </w:t>
      </w:r>
      <w:r w:rsidR="001E0D56" w:rsidRPr="00355A4A">
        <w:rPr>
          <w:rFonts w:ascii="Arial" w:hAnsi="Arial" w:cs="Arial"/>
          <w:sz w:val="22"/>
          <w:szCs w:val="22"/>
        </w:rPr>
        <w:t xml:space="preserve">removed all non-protein coding transcripts </w:t>
      </w:r>
      <w:r>
        <w:rPr>
          <w:rFonts w:ascii="Arial" w:hAnsi="Arial" w:cs="Arial"/>
          <w:sz w:val="22"/>
          <w:szCs w:val="22"/>
        </w:rPr>
        <w:t xml:space="preserve">except for long non-coding RNAs, and removed samples with large amounts (&gt;30%) of non-protein coding contamination (e.g. </w:t>
      </w:r>
      <w:proofErr w:type="spellStart"/>
      <w:r>
        <w:rPr>
          <w:rFonts w:ascii="Arial" w:hAnsi="Arial" w:cs="Arial"/>
          <w:sz w:val="22"/>
          <w:szCs w:val="22"/>
        </w:rPr>
        <w:t>rRNA</w:t>
      </w:r>
      <w:proofErr w:type="spellEnd"/>
      <w:r>
        <w:rPr>
          <w:rFonts w:ascii="Arial" w:hAnsi="Arial" w:cs="Arial"/>
          <w:sz w:val="22"/>
          <w:szCs w:val="22"/>
        </w:rPr>
        <w:t xml:space="preserve">). </w:t>
      </w:r>
    </w:p>
    <w:p w14:paraId="04E10209" w14:textId="1AEB1006" w:rsidR="002B34C2" w:rsidRPr="00355A4A" w:rsidRDefault="002B34C2" w:rsidP="00D739D0">
      <w:pPr>
        <w:pStyle w:val="NormalWeb"/>
        <w:numPr>
          <w:ilvl w:val="0"/>
          <w:numId w:val="1"/>
        </w:numPr>
        <w:spacing w:before="0" w:beforeAutospacing="0" w:after="0" w:afterAutospacing="0"/>
        <w:jc w:val="both"/>
        <w:rPr>
          <w:rFonts w:ascii="Arial" w:hAnsi="Arial" w:cs="Arial"/>
          <w:sz w:val="22"/>
          <w:szCs w:val="22"/>
        </w:rPr>
      </w:pPr>
      <w:r>
        <w:rPr>
          <w:rFonts w:ascii="Arial" w:hAnsi="Arial" w:cs="Arial"/>
          <w:sz w:val="22"/>
          <w:szCs w:val="22"/>
        </w:rPr>
        <w:t>The dataset was then expression filtered by only keeping genes with expression greater than 1 TPM in at least 5% of all samples. The latter requirement ensures that outlier or extreme expression in just a few samples is not enough to keep the gene for analysis.</w:t>
      </w:r>
    </w:p>
    <w:p w14:paraId="5F64EC5F" w14:textId="77777777" w:rsidR="00D11353" w:rsidRDefault="001E0D56" w:rsidP="00D739D0">
      <w:pPr>
        <w:pStyle w:val="NormalWeb"/>
        <w:numPr>
          <w:ilvl w:val="0"/>
          <w:numId w:val="1"/>
        </w:numPr>
        <w:spacing w:before="0" w:beforeAutospacing="0" w:after="0" w:afterAutospacing="0"/>
        <w:jc w:val="both"/>
        <w:rPr>
          <w:rFonts w:ascii="Arial" w:hAnsi="Arial" w:cs="Arial"/>
          <w:sz w:val="22"/>
          <w:szCs w:val="22"/>
        </w:rPr>
      </w:pPr>
      <w:r w:rsidRPr="00B362BC">
        <w:rPr>
          <w:rFonts w:ascii="Arial" w:hAnsi="Arial" w:cs="Arial"/>
          <w:sz w:val="22"/>
          <w:szCs w:val="22"/>
        </w:rPr>
        <w:t>We then removed samples with an abnormally large number of genes with expression values of zero. To do this we calculated the mean and standard deviation of the number of genes with zero expression across all samples. Samples with the number of zero expressed genes greater than the mean plus two times the standard deviation were removed.</w:t>
      </w:r>
    </w:p>
    <w:p w14:paraId="73309FBD" w14:textId="4670075C" w:rsidR="00711E94" w:rsidRPr="00011216" w:rsidRDefault="00B362BC" w:rsidP="00711E94">
      <w:pPr>
        <w:pStyle w:val="NormalWeb"/>
        <w:numPr>
          <w:ilvl w:val="0"/>
          <w:numId w:val="1"/>
        </w:numPr>
        <w:spacing w:before="0" w:beforeAutospacing="0" w:after="0" w:afterAutospacing="0"/>
        <w:jc w:val="both"/>
        <w:rPr>
          <w:rFonts w:ascii="Arial" w:hAnsi="Arial" w:cs="Arial"/>
          <w:sz w:val="22"/>
          <w:szCs w:val="22"/>
        </w:rPr>
      </w:pPr>
      <w:r w:rsidRPr="00D11353">
        <w:rPr>
          <w:rFonts w:ascii="Arial" w:hAnsi="Arial" w:cs="Arial"/>
          <w:sz w:val="22"/>
          <w:szCs w:val="22"/>
        </w:rPr>
        <w:t>Finally, we removed outlier samples by</w:t>
      </w:r>
      <w:r w:rsidR="007B07AE">
        <w:rPr>
          <w:rFonts w:ascii="Arial" w:hAnsi="Arial" w:cs="Arial"/>
          <w:sz w:val="22"/>
          <w:szCs w:val="22"/>
        </w:rPr>
        <w:t xml:space="preserve"> first</w:t>
      </w:r>
      <w:r w:rsidR="00B2139A">
        <w:rPr>
          <w:rFonts w:ascii="Arial" w:hAnsi="Arial" w:cs="Arial"/>
          <w:sz w:val="22"/>
          <w:szCs w:val="22"/>
        </w:rPr>
        <w:t xml:space="preserve"> examining the proportion of zeros contained in each sample and by</w:t>
      </w:r>
      <w:r w:rsidRPr="00D11353">
        <w:rPr>
          <w:rFonts w:ascii="Arial" w:hAnsi="Arial" w:cs="Arial"/>
          <w:sz w:val="22"/>
          <w:szCs w:val="22"/>
        </w:rPr>
        <w:t xml:space="preserve"> computing the pairwise Pearson correlation coefficient between the gene expression profiles of all samples. To improve </w:t>
      </w:r>
      <w:proofErr w:type="spellStart"/>
      <w:r w:rsidRPr="00D11353">
        <w:rPr>
          <w:rFonts w:ascii="Arial" w:hAnsi="Arial" w:cs="Arial"/>
          <w:sz w:val="22"/>
          <w:szCs w:val="22"/>
        </w:rPr>
        <w:t>heteroskedasticity</w:t>
      </w:r>
      <w:proofErr w:type="spellEnd"/>
      <w:r w:rsidRPr="00D11353">
        <w:rPr>
          <w:rFonts w:ascii="Arial" w:hAnsi="Arial" w:cs="Arial"/>
          <w:sz w:val="22"/>
          <w:szCs w:val="22"/>
        </w:rPr>
        <w:t xml:space="preserve">, raw TPM values for each gene were converted to a log-scale </w:t>
      </w:r>
      <w:r w:rsidR="00D11353">
        <w:rPr>
          <w:rFonts w:ascii="Arial" w:hAnsi="Arial" w:cs="Arial"/>
          <w:sz w:val="22"/>
          <w:szCs w:val="22"/>
        </w:rPr>
        <w:t>(</w:t>
      </w:r>
      <w:proofErr w:type="gramStart"/>
      <w:r w:rsidR="00D11353">
        <w:rPr>
          <w:rFonts w:ascii="Arial" w:hAnsi="Arial" w:cs="Arial"/>
          <w:sz w:val="22"/>
          <w:szCs w:val="22"/>
        </w:rPr>
        <w:t>log</w:t>
      </w:r>
      <w:r w:rsidR="00D11353">
        <w:rPr>
          <w:rFonts w:ascii="Arial" w:hAnsi="Arial" w:cs="Arial"/>
          <w:sz w:val="22"/>
          <w:szCs w:val="22"/>
          <w:vertAlign w:val="subscript"/>
        </w:rPr>
        <w:t>10</w:t>
      </w:r>
      <w:r w:rsidR="00D11353">
        <w:rPr>
          <w:rFonts w:ascii="Arial" w:hAnsi="Arial" w:cs="Arial"/>
          <w:sz w:val="22"/>
          <w:szCs w:val="22"/>
        </w:rPr>
        <w:t>[</w:t>
      </w:r>
      <w:proofErr w:type="gramEnd"/>
      <w:r w:rsidR="00D11353">
        <w:rPr>
          <w:rFonts w:ascii="Arial" w:hAnsi="Arial" w:cs="Arial"/>
          <w:sz w:val="22"/>
          <w:szCs w:val="22"/>
        </w:rPr>
        <w:t xml:space="preserve">TPM + 0.1]) </w:t>
      </w:r>
      <w:r w:rsidRPr="00D11353">
        <w:rPr>
          <w:rFonts w:ascii="Arial" w:hAnsi="Arial" w:cs="Arial"/>
          <w:sz w:val="22"/>
          <w:szCs w:val="22"/>
        </w:rPr>
        <w:t xml:space="preserve">prior to calculating correlations. For </w:t>
      </w:r>
      <w:r w:rsidR="00A02DE6">
        <w:rPr>
          <w:rFonts w:ascii="Arial" w:hAnsi="Arial" w:cs="Arial"/>
          <w:i/>
          <w:sz w:val="22"/>
          <w:szCs w:val="22"/>
        </w:rPr>
        <w:t xml:space="preserve">A. thaliana, </w:t>
      </w:r>
      <w:r w:rsidR="00A02DE6">
        <w:rPr>
          <w:rFonts w:ascii="Arial" w:hAnsi="Arial" w:cs="Arial"/>
          <w:sz w:val="22"/>
          <w:szCs w:val="22"/>
        </w:rPr>
        <w:t xml:space="preserve">the majority of samples had an average correlation with other samples of greater than 0.45 and fewer than 20% percent zero values. Samples with lower correlation or a greater percentage of zeros were removed (Figure SM2b). By similar arguments, samples with less average correlation than 0.55 with other samples </w:t>
      </w:r>
      <w:r w:rsidR="007D5D5F">
        <w:rPr>
          <w:rFonts w:ascii="Arial" w:hAnsi="Arial" w:cs="Arial"/>
          <w:sz w:val="22"/>
          <w:szCs w:val="22"/>
        </w:rPr>
        <w:t xml:space="preserve">and greater than 30% zeros were removed for </w:t>
      </w:r>
      <w:r w:rsidR="007D5D5F">
        <w:rPr>
          <w:rFonts w:ascii="Arial" w:hAnsi="Arial" w:cs="Arial"/>
          <w:i/>
          <w:sz w:val="22"/>
          <w:szCs w:val="22"/>
        </w:rPr>
        <w:t xml:space="preserve">M. </w:t>
      </w:r>
      <w:proofErr w:type="spellStart"/>
      <w:r w:rsidR="007D5D5F">
        <w:rPr>
          <w:rFonts w:ascii="Arial" w:hAnsi="Arial" w:cs="Arial"/>
          <w:i/>
          <w:sz w:val="22"/>
          <w:szCs w:val="22"/>
        </w:rPr>
        <w:t>musculus</w:t>
      </w:r>
      <w:proofErr w:type="spellEnd"/>
      <w:r w:rsidR="007D5D5F">
        <w:rPr>
          <w:rFonts w:ascii="Arial" w:hAnsi="Arial" w:cs="Arial"/>
          <w:sz w:val="22"/>
          <w:szCs w:val="22"/>
        </w:rPr>
        <w:t xml:space="preserve"> (Figure SM2c). Manual inspection of ~100 of these</w:t>
      </w:r>
      <w:r w:rsidRPr="007D5D5F">
        <w:rPr>
          <w:rFonts w:ascii="Arial" w:hAnsi="Arial" w:cs="Arial"/>
          <w:sz w:val="22"/>
          <w:szCs w:val="22"/>
        </w:rPr>
        <w:t xml:space="preserve"> samples</w:t>
      </w:r>
      <w:r w:rsidR="007D5D5F">
        <w:rPr>
          <w:rFonts w:ascii="Arial" w:hAnsi="Arial" w:cs="Arial"/>
          <w:sz w:val="22"/>
          <w:szCs w:val="22"/>
        </w:rPr>
        <w:t xml:space="preserve"> revealed they</w:t>
      </w:r>
      <w:r w:rsidRPr="007D5D5F">
        <w:rPr>
          <w:rFonts w:ascii="Arial" w:hAnsi="Arial" w:cs="Arial"/>
          <w:sz w:val="22"/>
          <w:szCs w:val="22"/>
        </w:rPr>
        <w:t xml:space="preserve"> were highly enriched for non-</w:t>
      </w:r>
      <w:proofErr w:type="spellStart"/>
      <w:r w:rsidRPr="007D5D5F">
        <w:rPr>
          <w:rFonts w:ascii="Arial" w:hAnsi="Arial" w:cs="Arial"/>
          <w:sz w:val="22"/>
          <w:szCs w:val="22"/>
        </w:rPr>
        <w:t>polyA</w:t>
      </w:r>
      <w:proofErr w:type="spellEnd"/>
      <w:r w:rsidRPr="007D5D5F">
        <w:rPr>
          <w:rFonts w:ascii="Arial" w:hAnsi="Arial" w:cs="Arial"/>
          <w:sz w:val="22"/>
          <w:szCs w:val="22"/>
        </w:rPr>
        <w:t xml:space="preserve"> selected samples and samples made from low-input RNA (e.g. single-cells).</w:t>
      </w:r>
    </w:p>
    <w:p w14:paraId="4B2B1A5B" w14:textId="77777777" w:rsidR="00011216" w:rsidRDefault="00A46D9C" w:rsidP="00011216">
      <w:pPr>
        <w:pStyle w:val="NormalWeb"/>
        <w:keepNext/>
        <w:spacing w:before="0" w:beforeAutospacing="0" w:after="0" w:afterAutospacing="0"/>
        <w:jc w:val="center"/>
      </w:pPr>
      <w:r>
        <w:rPr>
          <w:rFonts w:ascii="Arial" w:hAnsi="Arial" w:cs="Arial"/>
          <w:noProof/>
          <w:sz w:val="22"/>
          <w:szCs w:val="22"/>
        </w:rPr>
        <w:drawing>
          <wp:inline distT="0" distB="0" distL="0" distR="0" wp14:anchorId="7DECE7E5" wp14:editId="0EB37ACB">
            <wp:extent cx="3543300" cy="2992676"/>
            <wp:effectExtent l="0" t="0" r="0" b="5080"/>
            <wp:docPr id="6" name="Picture 6" descr="Macintosh HD:Users:sbiswas:GitHub:transcriptome_compression:paper:quality_filter_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biswas:GitHub:transcriptome_compression:paper:quality_filter_summary.jpg"/>
                    <pic:cNvPicPr>
                      <a:picLocks noChangeAspect="1" noChangeArrowheads="1"/>
                    </pic:cNvPicPr>
                  </pic:nvPicPr>
                  <pic:blipFill rotWithShape="1">
                    <a:blip r:embed="rId9">
                      <a:extLst>
                        <a:ext uri="{28A0092B-C50C-407E-A947-70E740481C1C}">
                          <a14:useLocalDpi xmlns:a14="http://schemas.microsoft.com/office/drawing/2010/main" val="0"/>
                        </a:ext>
                      </a:extLst>
                    </a:blip>
                    <a:srcRect r="13081" b="43223"/>
                    <a:stretch/>
                  </pic:blipFill>
                  <pic:spPr bwMode="auto">
                    <a:xfrm>
                      <a:off x="0" y="0"/>
                      <a:ext cx="3543859" cy="2993148"/>
                    </a:xfrm>
                    <a:prstGeom prst="rect">
                      <a:avLst/>
                    </a:prstGeom>
                    <a:noFill/>
                    <a:ln>
                      <a:noFill/>
                    </a:ln>
                    <a:extLst>
                      <a:ext uri="{53640926-AAD7-44d8-BBD7-CCE9431645EC}">
                        <a14:shadowObscured xmlns:a14="http://schemas.microsoft.com/office/drawing/2010/main"/>
                      </a:ext>
                    </a:extLst>
                  </pic:spPr>
                </pic:pic>
              </a:graphicData>
            </a:graphic>
          </wp:inline>
        </w:drawing>
      </w:r>
    </w:p>
    <w:p w14:paraId="178388DC" w14:textId="0A35BB61" w:rsidR="00711E94" w:rsidRPr="00C157DF" w:rsidRDefault="00011216" w:rsidP="00011216">
      <w:pPr>
        <w:pStyle w:val="Caption"/>
        <w:spacing w:line="240" w:lineRule="auto"/>
        <w:jc w:val="center"/>
        <w:rPr>
          <w:rFonts w:ascii="Arial" w:hAnsi="Arial" w:cs="Arial"/>
          <w:b w:val="0"/>
          <w:sz w:val="22"/>
          <w:szCs w:val="22"/>
        </w:rPr>
      </w:pPr>
      <w:r w:rsidRPr="00C157DF">
        <w:rPr>
          <w:rFonts w:ascii="Arial" w:hAnsi="Arial" w:cs="Arial"/>
        </w:rPr>
        <w:t xml:space="preserve">Figure SM2.  </w:t>
      </w:r>
      <w:r w:rsidRPr="00C157DF">
        <w:rPr>
          <w:rFonts w:ascii="Arial" w:hAnsi="Arial" w:cs="Arial"/>
          <w:b w:val="0"/>
        </w:rPr>
        <w:t>Quality filtering thresholds for mapping depth and proportion (</w:t>
      </w:r>
      <w:proofErr w:type="spellStart"/>
      <w:r w:rsidRPr="00C157DF">
        <w:rPr>
          <w:rFonts w:ascii="Arial" w:hAnsi="Arial" w:cs="Arial"/>
          <w:b w:val="0"/>
        </w:rPr>
        <w:t>a</w:t>
      </w:r>
      <w:proofErr w:type="gramStart"/>
      <w:r w:rsidRPr="00C157DF">
        <w:rPr>
          <w:rFonts w:ascii="Arial" w:hAnsi="Arial" w:cs="Arial"/>
          <w:b w:val="0"/>
        </w:rPr>
        <w:t>,b</w:t>
      </w:r>
      <w:proofErr w:type="spellEnd"/>
      <w:proofErr w:type="gramEnd"/>
      <w:r w:rsidRPr="00C157DF">
        <w:rPr>
          <w:rFonts w:ascii="Arial" w:hAnsi="Arial" w:cs="Arial"/>
          <w:b w:val="0"/>
        </w:rPr>
        <w:t>), and for average correlation to other samples and proportion of zeros (</w:t>
      </w:r>
      <w:proofErr w:type="spellStart"/>
      <w:r w:rsidRPr="00C157DF">
        <w:rPr>
          <w:rFonts w:ascii="Arial" w:hAnsi="Arial" w:cs="Arial"/>
          <w:b w:val="0"/>
        </w:rPr>
        <w:t>c,d</w:t>
      </w:r>
      <w:proofErr w:type="spellEnd"/>
      <w:r w:rsidRPr="00C157DF">
        <w:rPr>
          <w:rFonts w:ascii="Arial" w:hAnsi="Arial" w:cs="Arial"/>
          <w:b w:val="0"/>
        </w:rPr>
        <w:t xml:space="preserve">). </w:t>
      </w:r>
    </w:p>
    <w:p w14:paraId="004A259A" w14:textId="77777777" w:rsidR="001C4EE2" w:rsidRDefault="001C4EE2" w:rsidP="00C157DF">
      <w:pPr>
        <w:pStyle w:val="NormalWeb"/>
        <w:spacing w:before="0" w:beforeAutospacing="0" w:after="0" w:afterAutospacing="0"/>
        <w:jc w:val="both"/>
        <w:rPr>
          <w:rFonts w:ascii="Arial" w:hAnsi="Arial" w:cs="Arial"/>
          <w:b/>
          <w:sz w:val="22"/>
          <w:szCs w:val="22"/>
        </w:rPr>
      </w:pPr>
    </w:p>
    <w:p w14:paraId="3D14AF70" w14:textId="3E217216" w:rsidR="00C157DF" w:rsidRPr="00C157DF" w:rsidRDefault="00C157DF" w:rsidP="00C157DF">
      <w:pPr>
        <w:pStyle w:val="NormalWeb"/>
        <w:spacing w:before="0" w:beforeAutospacing="0" w:after="0" w:afterAutospacing="0"/>
        <w:jc w:val="both"/>
        <w:rPr>
          <w:rFonts w:ascii="Arial" w:hAnsi="Arial" w:cs="Arial"/>
          <w:b/>
          <w:sz w:val="22"/>
          <w:szCs w:val="22"/>
        </w:rPr>
      </w:pPr>
      <w:r w:rsidRPr="00C157DF">
        <w:rPr>
          <w:rFonts w:ascii="Arial" w:hAnsi="Arial" w:cs="Arial"/>
          <w:b/>
          <w:sz w:val="22"/>
          <w:szCs w:val="22"/>
        </w:rPr>
        <w:t>Metadata annotation</w:t>
      </w:r>
    </w:p>
    <w:p w14:paraId="5D9B2EC8" w14:textId="32809FED" w:rsidR="00C157DF" w:rsidRPr="00C157DF" w:rsidRDefault="00C157DF" w:rsidP="00C157DF">
      <w:pPr>
        <w:pStyle w:val="NormalWeb"/>
        <w:spacing w:before="0" w:beforeAutospacing="0" w:after="0" w:afterAutospacing="0"/>
        <w:jc w:val="both"/>
        <w:rPr>
          <w:rFonts w:ascii="Arial" w:hAnsi="Arial" w:cs="Arial"/>
          <w:sz w:val="22"/>
          <w:szCs w:val="22"/>
        </w:rPr>
      </w:pPr>
      <w:r w:rsidRPr="00C157DF">
        <w:rPr>
          <w:rFonts w:ascii="Arial" w:hAnsi="Arial" w:cs="Arial"/>
          <w:sz w:val="22"/>
          <w:szCs w:val="22"/>
        </w:rPr>
        <w:t>RNA-</w:t>
      </w:r>
      <w:proofErr w:type="spellStart"/>
      <w:r w:rsidRPr="00C157DF">
        <w:rPr>
          <w:rFonts w:ascii="Arial" w:hAnsi="Arial" w:cs="Arial"/>
          <w:sz w:val="22"/>
          <w:szCs w:val="22"/>
        </w:rPr>
        <w:t>Seq</w:t>
      </w:r>
      <w:proofErr w:type="spellEnd"/>
      <w:r w:rsidRPr="00C157DF">
        <w:rPr>
          <w:rFonts w:ascii="Arial" w:hAnsi="Arial" w:cs="Arial"/>
          <w:sz w:val="22"/>
          <w:szCs w:val="22"/>
        </w:rPr>
        <w:t xml:space="preserve"> samples are submitted to the SRA with non-standardized metadata annotations. For example, for some samples tissue and developmental stage are clearly noted as separate fields, whereas in others such information can only be found the associated paper's abstract or sometimes only in its main text. In order to ensure the maximum accuracy when performing metadata annotations, we annotated samples manually until the structure of the gene expression space represented by the first three principal components was clear. Annotation was ac</w:t>
      </w:r>
      <w:r w:rsidR="00912531">
        <w:rPr>
          <w:rFonts w:ascii="Arial" w:hAnsi="Arial" w:cs="Arial"/>
          <w:sz w:val="22"/>
          <w:szCs w:val="22"/>
        </w:rPr>
        <w:t xml:space="preserve">complished by first finding those </w:t>
      </w:r>
      <w:r w:rsidRPr="00C157DF">
        <w:rPr>
          <w:rFonts w:ascii="Arial" w:hAnsi="Arial" w:cs="Arial"/>
          <w:sz w:val="22"/>
          <w:szCs w:val="22"/>
        </w:rPr>
        <w:t xml:space="preserve">few submissions with samples in multiple clusters. These submissions revealed that the likely separating variables of interest were issue and developmental context. For each major cluster in the PCA (determined visually) we then annotated samples by size of their submission until the tissue or developmental context of that cluster became qualitatively clear. </w:t>
      </w:r>
    </w:p>
    <w:p w14:paraId="4976D0BF" w14:textId="77777777" w:rsidR="00B362BC" w:rsidRPr="00B362BC" w:rsidRDefault="00B362BC" w:rsidP="00B362BC">
      <w:pPr>
        <w:pStyle w:val="NormalWeb"/>
        <w:spacing w:before="0" w:beforeAutospacing="0" w:after="0" w:afterAutospacing="0"/>
        <w:rPr>
          <w:rFonts w:ascii="Arial" w:hAnsi="Arial" w:cs="Arial"/>
          <w:sz w:val="22"/>
          <w:szCs w:val="22"/>
        </w:rPr>
      </w:pPr>
    </w:p>
    <w:p w14:paraId="14564CC8" w14:textId="1E830D50" w:rsidR="0082039F" w:rsidRDefault="001C4EE2" w:rsidP="0082039F">
      <w:pPr>
        <w:pStyle w:val="Style1"/>
        <w:spacing w:line="240" w:lineRule="auto"/>
        <w:ind w:firstLine="0"/>
        <w:contextualSpacing/>
        <w:rPr>
          <w:b/>
          <w:sz w:val="24"/>
        </w:rPr>
      </w:pPr>
      <w:r>
        <w:rPr>
          <w:b/>
          <w:sz w:val="24"/>
        </w:rPr>
        <w:t>Temporal rarefaction analysis</w:t>
      </w:r>
    </w:p>
    <w:p w14:paraId="0C93D5F0" w14:textId="5437BA70" w:rsidR="001C4EE2" w:rsidRDefault="001C4EE2" w:rsidP="0082039F">
      <w:pPr>
        <w:pStyle w:val="Style1"/>
        <w:spacing w:line="240" w:lineRule="auto"/>
        <w:ind w:firstLine="0"/>
        <w:contextualSpacing/>
        <w:rPr>
          <w:sz w:val="24"/>
        </w:rPr>
      </w:pPr>
      <w:r>
        <w:rPr>
          <w:sz w:val="24"/>
        </w:rPr>
        <w:t>[</w:t>
      </w:r>
      <w:proofErr w:type="gramStart"/>
      <w:r>
        <w:rPr>
          <w:sz w:val="24"/>
        </w:rPr>
        <w:t>pending</w:t>
      </w:r>
      <w:proofErr w:type="gramEnd"/>
      <w:r>
        <w:rPr>
          <w:sz w:val="24"/>
        </w:rPr>
        <w:t>]</w:t>
      </w:r>
    </w:p>
    <w:p w14:paraId="232B6E6B" w14:textId="77777777" w:rsidR="001C4EE2" w:rsidRDefault="001C4EE2" w:rsidP="0082039F">
      <w:pPr>
        <w:pStyle w:val="Style1"/>
        <w:spacing w:line="240" w:lineRule="auto"/>
        <w:ind w:firstLine="0"/>
        <w:contextualSpacing/>
        <w:rPr>
          <w:sz w:val="24"/>
        </w:rPr>
      </w:pPr>
    </w:p>
    <w:p w14:paraId="3E35D1F6" w14:textId="57B00265" w:rsidR="001C4EE2" w:rsidRDefault="001C4EE2" w:rsidP="0082039F">
      <w:pPr>
        <w:pStyle w:val="Style1"/>
        <w:spacing w:line="240" w:lineRule="auto"/>
        <w:ind w:firstLine="0"/>
        <w:contextualSpacing/>
        <w:rPr>
          <w:b/>
          <w:sz w:val="24"/>
        </w:rPr>
      </w:pPr>
      <w:proofErr w:type="spellStart"/>
      <w:r>
        <w:rPr>
          <w:b/>
          <w:sz w:val="24"/>
        </w:rPr>
        <w:t>Tradict</w:t>
      </w:r>
      <w:proofErr w:type="spellEnd"/>
      <w:r>
        <w:rPr>
          <w:b/>
          <w:sz w:val="24"/>
        </w:rPr>
        <w:t xml:space="preserve"> algorithm</w:t>
      </w:r>
    </w:p>
    <w:p w14:paraId="28DF4001" w14:textId="77777777" w:rsidR="00030A48" w:rsidRDefault="000E71C8" w:rsidP="0082039F">
      <w:pPr>
        <w:pStyle w:val="Style1"/>
        <w:spacing w:line="240" w:lineRule="auto"/>
        <w:ind w:firstLine="0"/>
        <w:contextualSpacing/>
        <w:rPr>
          <w:sz w:val="24"/>
        </w:rPr>
      </w:pPr>
      <w:proofErr w:type="spellStart"/>
      <w:r>
        <w:rPr>
          <w:sz w:val="24"/>
        </w:rPr>
        <w:t>Tradict’s</w:t>
      </w:r>
      <w:proofErr w:type="spellEnd"/>
      <w:r>
        <w:rPr>
          <w:sz w:val="24"/>
        </w:rPr>
        <w:t xml:space="preserve"> usage can be broken down into two parts: 1) Encoding, and 2) Decoding. Encoding is the process of learning, from training data, the marker panel and its predictive relationship to the expression of transcriptional programs and to the remaining genes in the </w:t>
      </w:r>
      <w:proofErr w:type="spellStart"/>
      <w:r>
        <w:rPr>
          <w:sz w:val="24"/>
        </w:rPr>
        <w:t>transcriptome</w:t>
      </w:r>
      <w:proofErr w:type="spellEnd"/>
      <w:r>
        <w:rPr>
          <w:sz w:val="24"/>
        </w:rPr>
        <w:t xml:space="preserve">. In essence, during encoding we begin with full </w:t>
      </w:r>
      <w:proofErr w:type="spellStart"/>
      <w:r>
        <w:rPr>
          <w:sz w:val="24"/>
        </w:rPr>
        <w:t>transcriptome</w:t>
      </w:r>
      <w:proofErr w:type="spellEnd"/>
      <w:r>
        <w:rPr>
          <w:sz w:val="24"/>
        </w:rPr>
        <w:t xml:space="preserve"> data and collapse its information into a subset of marker genes. Decoding is the reverse process of predicting the expression of transcriptional programs and non-marker genes from the expression measurements of just the selected marker</w:t>
      </w:r>
      <w:r w:rsidR="007C539D">
        <w:rPr>
          <w:sz w:val="24"/>
        </w:rPr>
        <w:t>s</w:t>
      </w:r>
      <w:r>
        <w:rPr>
          <w:sz w:val="24"/>
        </w:rPr>
        <w:t>.</w:t>
      </w:r>
      <w:r w:rsidR="007C539D">
        <w:rPr>
          <w:sz w:val="24"/>
        </w:rPr>
        <w:t xml:space="preserve"> </w:t>
      </w:r>
    </w:p>
    <w:p w14:paraId="6AF6E0CF" w14:textId="17A721A2" w:rsidR="00AB7210" w:rsidRDefault="007C539D" w:rsidP="00030A48">
      <w:pPr>
        <w:pStyle w:val="Style1"/>
        <w:spacing w:line="240" w:lineRule="auto"/>
        <w:contextualSpacing/>
        <w:rPr>
          <w:sz w:val="24"/>
        </w:rPr>
      </w:pPr>
      <w:r>
        <w:rPr>
          <w:sz w:val="24"/>
        </w:rPr>
        <w:t>Our encoding algorithm can be broken down into several steps:</w:t>
      </w:r>
      <w:r w:rsidR="004C5E12">
        <w:rPr>
          <w:sz w:val="24"/>
        </w:rPr>
        <w:t xml:space="preserve"> 1) Computing the latent logarithm of the training </w:t>
      </w:r>
      <w:proofErr w:type="spellStart"/>
      <w:r w:rsidR="004C5E12">
        <w:rPr>
          <w:sz w:val="24"/>
        </w:rPr>
        <w:t>transcriptome</w:t>
      </w:r>
      <w:proofErr w:type="spellEnd"/>
      <w:r w:rsidR="004C5E12">
        <w:rPr>
          <w:sz w:val="24"/>
        </w:rPr>
        <w:t xml:space="preserve"> collection, 2</w:t>
      </w:r>
      <w:r w:rsidR="00AB7210">
        <w:rPr>
          <w:sz w:val="24"/>
        </w:rPr>
        <w:t>) Defi</w:t>
      </w:r>
      <w:r w:rsidR="004C5E12">
        <w:rPr>
          <w:sz w:val="24"/>
        </w:rPr>
        <w:t>ning transcriptional programs, 3</w:t>
      </w:r>
      <w:r w:rsidR="00AB7210">
        <w:rPr>
          <w:sz w:val="24"/>
        </w:rPr>
        <w:t xml:space="preserve">) marker selection via </w:t>
      </w:r>
      <w:r w:rsidR="00577A88">
        <w:rPr>
          <w:sz w:val="24"/>
        </w:rPr>
        <w:t>Simultaneous Orthogonal Matching P</w:t>
      </w:r>
      <w:r w:rsidR="004C5E12">
        <w:rPr>
          <w:sz w:val="24"/>
        </w:rPr>
        <w:t>ursuit, 4</w:t>
      </w:r>
      <w:r w:rsidR="00AB7210">
        <w:rPr>
          <w:sz w:val="24"/>
        </w:rPr>
        <w:t>) building a predictive Multivariate Normal Continuous-Poisson hierarchical model.</w:t>
      </w:r>
    </w:p>
    <w:p w14:paraId="41084BB5" w14:textId="77777777" w:rsidR="00AB7210" w:rsidRDefault="00AB7210" w:rsidP="0082039F">
      <w:pPr>
        <w:pStyle w:val="Style1"/>
        <w:spacing w:line="240" w:lineRule="auto"/>
        <w:ind w:firstLine="0"/>
        <w:contextualSpacing/>
        <w:rPr>
          <w:sz w:val="24"/>
        </w:rPr>
      </w:pPr>
    </w:p>
    <w:p w14:paraId="5C56923C" w14:textId="77777777" w:rsidR="003A53C8" w:rsidRPr="003A53C8" w:rsidRDefault="004C5E12" w:rsidP="003A53C8">
      <w:pPr>
        <w:pStyle w:val="Style1"/>
        <w:numPr>
          <w:ilvl w:val="0"/>
          <w:numId w:val="10"/>
        </w:numPr>
        <w:spacing w:line="240" w:lineRule="auto"/>
        <w:contextualSpacing/>
        <w:rPr>
          <w:sz w:val="28"/>
        </w:rPr>
      </w:pPr>
      <w:r>
        <w:rPr>
          <w:b/>
          <w:sz w:val="22"/>
        </w:rPr>
        <w:t xml:space="preserve">Computing the latent logarithm of the training </w:t>
      </w:r>
      <w:proofErr w:type="spellStart"/>
      <w:r w:rsidR="00B64D04">
        <w:rPr>
          <w:b/>
          <w:sz w:val="22"/>
        </w:rPr>
        <w:t>transcriptome</w:t>
      </w:r>
      <w:proofErr w:type="spellEnd"/>
      <w:r>
        <w:rPr>
          <w:b/>
          <w:sz w:val="22"/>
        </w:rPr>
        <w:t xml:space="preserve"> collection</w:t>
      </w:r>
      <w:r w:rsidR="00B64D04">
        <w:rPr>
          <w:b/>
          <w:sz w:val="22"/>
        </w:rPr>
        <w:t xml:space="preserve"> - </w:t>
      </w:r>
      <w:r w:rsidR="00050DC4">
        <w:rPr>
          <w:sz w:val="22"/>
        </w:rPr>
        <w:t>Expression values in our training dataset are stored as t</w:t>
      </w:r>
      <w:r w:rsidR="007973D8">
        <w:rPr>
          <w:sz w:val="22"/>
        </w:rPr>
        <w:t>ranscripts per million (TPM)</w:t>
      </w:r>
      <w:r w:rsidR="00E8713B">
        <w:rPr>
          <w:sz w:val="22"/>
        </w:rPr>
        <w:t>, which are non-negative</w:t>
      </w:r>
      <w:r w:rsidR="00261510">
        <w:rPr>
          <w:sz w:val="22"/>
        </w:rPr>
        <w:t>, variably scaled,</w:t>
      </w:r>
      <w:r w:rsidR="00E8713B">
        <w:rPr>
          <w:sz w:val="22"/>
        </w:rPr>
        <w:t xml:space="preserve"> and strongly </w:t>
      </w:r>
      <w:proofErr w:type="spellStart"/>
      <w:r w:rsidR="00E8713B">
        <w:rPr>
          <w:sz w:val="22"/>
        </w:rPr>
        <w:t>heteroscedastic</w:t>
      </w:r>
      <w:proofErr w:type="spellEnd"/>
      <w:r w:rsidR="00E8713B">
        <w:rPr>
          <w:sz w:val="22"/>
        </w:rPr>
        <w:t>, similar to read counts.</w:t>
      </w:r>
      <w:r w:rsidR="00261510">
        <w:rPr>
          <w:sz w:val="22"/>
        </w:rPr>
        <w:t xml:space="preserve"> For subsequent steps in our algorithm and analysis it will be important transform this data to improve its scaling and </w:t>
      </w:r>
      <w:proofErr w:type="spellStart"/>
      <w:r w:rsidR="00261510">
        <w:rPr>
          <w:sz w:val="22"/>
        </w:rPr>
        <w:t>heteroscedasticity</w:t>
      </w:r>
      <w:proofErr w:type="spellEnd"/>
      <w:r w:rsidR="00261510">
        <w:rPr>
          <w:sz w:val="22"/>
        </w:rPr>
        <w:t>.</w:t>
      </w:r>
      <w:r w:rsidR="003A53C8">
        <w:rPr>
          <w:sz w:val="22"/>
        </w:rPr>
        <w:t xml:space="preserve"> </w:t>
      </w:r>
    </w:p>
    <w:p w14:paraId="3EE356B2" w14:textId="1FC32035" w:rsidR="003A53C8" w:rsidRDefault="003A53C8" w:rsidP="000C6A13">
      <w:pPr>
        <w:pStyle w:val="Style1"/>
        <w:spacing w:line="240" w:lineRule="auto"/>
        <w:ind w:left="360"/>
        <w:contextualSpacing/>
        <w:rPr>
          <w:sz w:val="22"/>
        </w:rPr>
      </w:pPr>
      <w:r w:rsidRPr="003A53C8">
        <w:rPr>
          <w:sz w:val="22"/>
        </w:rPr>
        <w:t>Often, one log transforms such data. However, to avoid undefined values where the data</w:t>
      </w:r>
      <w:r>
        <w:rPr>
          <w:sz w:val="28"/>
        </w:rPr>
        <w:t xml:space="preserve"> </w:t>
      </w:r>
      <w:r w:rsidRPr="003A53C8">
        <w:rPr>
          <w:sz w:val="22"/>
        </w:rPr>
        <w:t xml:space="preserve">are zeros, one also adds a </w:t>
      </w:r>
      <w:proofErr w:type="spellStart"/>
      <w:r w:rsidRPr="003A53C8">
        <w:rPr>
          <w:sz w:val="22"/>
        </w:rPr>
        <w:t>pseudocount</w:t>
      </w:r>
      <w:proofErr w:type="spellEnd"/>
      <w:r w:rsidRPr="003A53C8">
        <w:rPr>
          <w:sz w:val="22"/>
        </w:rPr>
        <w:t xml:space="preserve"> (e.g. 1). This </w:t>
      </w:r>
      <w:proofErr w:type="spellStart"/>
      <w:r w:rsidRPr="003A53C8">
        <w:rPr>
          <w:sz w:val="22"/>
        </w:rPr>
        <w:t>pseudocount</w:t>
      </w:r>
      <w:proofErr w:type="spellEnd"/>
      <w:r w:rsidRPr="003A53C8">
        <w:rPr>
          <w:sz w:val="22"/>
        </w:rPr>
        <w:t xml:space="preserve"> considers neither the </w:t>
      </w:r>
      <w:r w:rsidR="004D48E4">
        <w:rPr>
          <w:sz w:val="22"/>
        </w:rPr>
        <w:t>gene’s</w:t>
      </w:r>
      <w:r w:rsidRPr="003A53C8">
        <w:rPr>
          <w:sz w:val="22"/>
        </w:rPr>
        <w:t xml:space="preserve"> </w:t>
      </w:r>
      <w:proofErr w:type="gramStart"/>
      <w:r w:rsidRPr="003A53C8">
        <w:rPr>
          <w:i/>
          <w:sz w:val="22"/>
        </w:rPr>
        <w:t>a priori</w:t>
      </w:r>
      <w:proofErr w:type="gramEnd"/>
      <w:r w:rsidRPr="003A53C8">
        <w:rPr>
          <w:sz w:val="22"/>
        </w:rPr>
        <w:t xml:space="preserve"> abundance nor the confidence with which the measurement was made, making this practice convenient but statistically unfounded.</w:t>
      </w:r>
      <w:r w:rsidR="000C6A13">
        <w:rPr>
          <w:sz w:val="22"/>
        </w:rPr>
        <w:t xml:space="preserve"> In previous work, we introduced the latent logarithm, or “lag”</w:t>
      </w:r>
      <w:r w:rsidR="000C6A13">
        <w:rPr>
          <w:sz w:val="22"/>
        </w:rPr>
        <w:fldChar w:fldCharType="begin" w:fldLock="1"/>
      </w:r>
      <w:r w:rsidR="00367A12">
        <w:rPr>
          <w:sz w:val="22"/>
        </w:rPr>
        <w:instrText>ADDIN CSL_CITATION { "citationItems" : [ { "id" : "ITEM-1", "itemData" : { "author" : [ { "dropping-particle" : "", "family" : "Biswas", "given" : "Surojit", "non-dropping-particle" : "", "parse-names" : false, "suffix" : "" } ], "container-title" : "arXiv", "id" : "ITEM-1", "issued" : { "date-parts" : [ [ "2016" ] ] }, "page" : "1-11", "title" : "The latent logarithm", "type" : "article-journal" }, "uris" : [ "http://www.mendeley.com/documents/?uuid=1cbe4e94-820f-407b-bd99-e552e260c2b3" ] } ], "mendeley" : { "formattedCitation" : "&lt;sup&gt;3&lt;/sup&gt;", "plainTextFormattedCitation" : "3", "previouslyFormattedCitation" : "&lt;sup&gt;2&lt;/sup&gt;" }, "properties" : { "noteIndex" : 0 }, "schema" : "https://github.com/citation-style-language/schema/raw/master/csl-citation.json" }</w:instrText>
      </w:r>
      <w:r w:rsidR="000C6A13">
        <w:rPr>
          <w:sz w:val="22"/>
        </w:rPr>
        <w:fldChar w:fldCharType="separate"/>
      </w:r>
      <w:r w:rsidR="00367A12" w:rsidRPr="00367A12">
        <w:rPr>
          <w:noProof/>
          <w:sz w:val="22"/>
          <w:vertAlign w:val="superscript"/>
        </w:rPr>
        <w:t>3</w:t>
      </w:r>
      <w:r w:rsidR="000C6A13">
        <w:rPr>
          <w:sz w:val="22"/>
        </w:rPr>
        <w:fldChar w:fldCharType="end"/>
      </w:r>
      <w:r w:rsidR="000C6A13">
        <w:rPr>
          <w:sz w:val="22"/>
        </w:rPr>
        <w:t xml:space="preserve">. </w:t>
      </w:r>
      <w:proofErr w:type="gramStart"/>
      <w:r w:rsidR="000C6A13">
        <w:rPr>
          <w:sz w:val="22"/>
        </w:rPr>
        <w:t>lag</w:t>
      </w:r>
      <w:proofErr w:type="gramEnd"/>
      <w:r w:rsidR="000C6A13">
        <w:rPr>
          <w:sz w:val="22"/>
        </w:rPr>
        <w:t xml:space="preserve"> assumes that each observed expression value is actually a noisy realization of an unmeasured </w:t>
      </w:r>
      <w:r w:rsidR="000C6A13">
        <w:rPr>
          <w:i/>
          <w:sz w:val="22"/>
        </w:rPr>
        <w:t>latent abundance</w:t>
      </w:r>
      <w:r w:rsidR="004D48E4">
        <w:rPr>
          <w:sz w:val="22"/>
        </w:rPr>
        <w:t xml:space="preserve">. By </w:t>
      </w:r>
      <w:r w:rsidR="000C6A13">
        <w:rPr>
          <w:sz w:val="22"/>
        </w:rPr>
        <w:t xml:space="preserve">taking the logarithm of this latent abundance, which </w:t>
      </w:r>
      <w:r w:rsidR="004D48E4">
        <w:rPr>
          <w:sz w:val="22"/>
        </w:rPr>
        <w:t xml:space="preserve">considers both sampling depth and the gene’s </w:t>
      </w:r>
      <w:r w:rsidR="004D48E4">
        <w:rPr>
          <w:i/>
          <w:sz w:val="22"/>
        </w:rPr>
        <w:t>a priori</w:t>
      </w:r>
      <w:r w:rsidR="004D48E4">
        <w:rPr>
          <w:sz w:val="22"/>
        </w:rPr>
        <w:t xml:space="preserve"> abundance, lag provides a more nuanced and statistically principled alternative to the conventional “</w:t>
      </w:r>
      <w:proofErr w:type="gramStart"/>
      <w:r w:rsidR="004D48E4">
        <w:rPr>
          <w:sz w:val="22"/>
        </w:rPr>
        <w:t>log(</w:t>
      </w:r>
      <w:proofErr w:type="gramEnd"/>
      <w:r w:rsidR="004D48E4">
        <w:rPr>
          <w:sz w:val="22"/>
        </w:rPr>
        <w:t xml:space="preserve">x + </w:t>
      </w:r>
      <w:proofErr w:type="spellStart"/>
      <w:r w:rsidR="004D48E4">
        <w:rPr>
          <w:sz w:val="22"/>
        </w:rPr>
        <w:t>pseudocount</w:t>
      </w:r>
      <w:proofErr w:type="spellEnd"/>
      <w:r w:rsidR="004D48E4">
        <w:rPr>
          <w:sz w:val="22"/>
        </w:rPr>
        <w:t>)”.</w:t>
      </w:r>
      <w:r w:rsidR="00DA3128">
        <w:rPr>
          <w:sz w:val="22"/>
        </w:rPr>
        <w:t xml:space="preserve"> In increasing data, lag quickly converges to log, but in the absence of it, lag relies on both sampling depth and the gene’s </w:t>
      </w:r>
      <w:r w:rsidR="00DA3128">
        <w:rPr>
          <w:i/>
          <w:sz w:val="22"/>
        </w:rPr>
        <w:t>a priori</w:t>
      </w:r>
      <w:r w:rsidR="00DA3128">
        <w:rPr>
          <w:sz w:val="22"/>
        </w:rPr>
        <w:t xml:space="preserve"> abundance to make a non-zero estimate of the gene’s latent abundance. </w:t>
      </w:r>
    </w:p>
    <w:p w14:paraId="330286F5" w14:textId="7E9F27B6" w:rsidR="00DA3128" w:rsidRPr="004D48E4" w:rsidRDefault="00DA3128" w:rsidP="000C6A13">
      <w:pPr>
        <w:pStyle w:val="Style1"/>
        <w:spacing w:line="240" w:lineRule="auto"/>
        <w:ind w:left="360"/>
        <w:contextualSpacing/>
        <w:rPr>
          <w:sz w:val="22"/>
        </w:rPr>
      </w:pPr>
      <w:r>
        <w:rPr>
          <w:sz w:val="22"/>
        </w:rPr>
        <w:t xml:space="preserve">With these intuitions in mind, we apply the lag transformation to our </w:t>
      </w:r>
      <w:r w:rsidR="00F7226A">
        <w:rPr>
          <w:sz w:val="22"/>
        </w:rPr>
        <w:t>entire training dataset.</w:t>
      </w:r>
      <w:r w:rsidR="000A31E7">
        <w:rPr>
          <w:sz w:val="22"/>
        </w:rPr>
        <w:t xml:space="preserve"> The lag transformed expression matrix demonstrated a Pearson correlation of 0.98 to the </w:t>
      </w:r>
      <w:proofErr w:type="gramStart"/>
      <w:r w:rsidR="000A31E7">
        <w:rPr>
          <w:sz w:val="22"/>
        </w:rPr>
        <w:t>log(</w:t>
      </w:r>
      <w:proofErr w:type="gramEnd"/>
      <w:r w:rsidR="000A31E7">
        <w:rPr>
          <w:sz w:val="22"/>
        </w:rPr>
        <w:t>TPM + 0.1)</w:t>
      </w:r>
      <w:r w:rsidR="00424CCA">
        <w:rPr>
          <w:sz w:val="22"/>
        </w:rPr>
        <w:t xml:space="preserve"> transformed expression matrix, but again, especially for samples with 0 expression, lag is able to make better estimates of their true abundance in the log-domain.</w:t>
      </w:r>
      <w:r w:rsidR="009C22BD">
        <w:rPr>
          <w:sz w:val="22"/>
        </w:rPr>
        <w:t xml:space="preserve"> </w:t>
      </w:r>
      <w:proofErr w:type="spellStart"/>
      <w:r w:rsidR="009C22BD">
        <w:rPr>
          <w:sz w:val="22"/>
        </w:rPr>
        <w:t>Availibility</w:t>
      </w:r>
      <w:proofErr w:type="spellEnd"/>
      <w:r w:rsidR="009C22BD">
        <w:rPr>
          <w:sz w:val="22"/>
        </w:rPr>
        <w:t xml:space="preserve">: </w:t>
      </w:r>
      <w:r w:rsidR="009C22BD" w:rsidRPr="009C22BD">
        <w:rPr>
          <w:sz w:val="22"/>
        </w:rPr>
        <w:t>https://github.com/surgebiswas/latent_log.git</w:t>
      </w:r>
    </w:p>
    <w:p w14:paraId="75CBB9EB" w14:textId="77777777" w:rsidR="003A53C8" w:rsidRPr="003A53C8" w:rsidRDefault="003A53C8" w:rsidP="00D7226D">
      <w:pPr>
        <w:pStyle w:val="Style1"/>
        <w:spacing w:line="240" w:lineRule="auto"/>
        <w:ind w:firstLine="0"/>
        <w:contextualSpacing/>
        <w:rPr>
          <w:sz w:val="28"/>
        </w:rPr>
      </w:pPr>
    </w:p>
    <w:p w14:paraId="0ECD30C9" w14:textId="0882B73E" w:rsidR="00AB7210" w:rsidRPr="00065379" w:rsidRDefault="00577A88" w:rsidP="00AB7210">
      <w:pPr>
        <w:pStyle w:val="Style1"/>
        <w:numPr>
          <w:ilvl w:val="0"/>
          <w:numId w:val="10"/>
        </w:numPr>
        <w:spacing w:line="240" w:lineRule="auto"/>
        <w:contextualSpacing/>
        <w:rPr>
          <w:sz w:val="28"/>
        </w:rPr>
      </w:pPr>
      <w:r w:rsidRPr="00F16D63">
        <w:rPr>
          <w:b/>
        </w:rPr>
        <w:t xml:space="preserve">Defining transcriptional programs </w:t>
      </w:r>
      <w:r w:rsidRPr="00F16D63">
        <w:rPr>
          <w:b/>
          <w:sz w:val="22"/>
        </w:rPr>
        <w:t xml:space="preserve">- </w:t>
      </w:r>
      <w:r w:rsidRPr="00F16D63">
        <w:rPr>
          <w:sz w:val="22"/>
        </w:rPr>
        <w:t>We define a transcriptional program to be the first principal component of the</w:t>
      </w:r>
      <w:r w:rsidR="00E77742">
        <w:rPr>
          <w:sz w:val="22"/>
        </w:rPr>
        <w:t xml:space="preserve"> z-score standardized</w:t>
      </w:r>
      <w:r w:rsidRPr="00F16D63">
        <w:rPr>
          <w:sz w:val="22"/>
        </w:rPr>
        <w:t xml:space="preserve"> </w:t>
      </w:r>
      <w:r w:rsidR="00DA3997" w:rsidRPr="00F16D63">
        <w:rPr>
          <w:sz w:val="22"/>
        </w:rPr>
        <w:t xml:space="preserve">lag </w:t>
      </w:r>
      <w:r w:rsidR="00142CA9" w:rsidRPr="00F16D63">
        <w:rPr>
          <w:sz w:val="22"/>
        </w:rPr>
        <w:t xml:space="preserve">expression of the </w:t>
      </w:r>
      <w:r w:rsidR="004546DB" w:rsidRPr="00F16D63">
        <w:rPr>
          <w:sz w:val="22"/>
        </w:rPr>
        <w:t>set of genes</w:t>
      </w:r>
      <w:r w:rsidRPr="00F16D63">
        <w:rPr>
          <w:sz w:val="22"/>
        </w:rPr>
        <w:t xml:space="preserve"> involved in a certain response or pathway [REF]. </w:t>
      </w:r>
      <w:r w:rsidR="007A5635">
        <w:rPr>
          <w:sz w:val="22"/>
        </w:rPr>
        <w:t>This virtual “</w:t>
      </w:r>
      <w:proofErr w:type="spellStart"/>
      <w:r w:rsidR="007A5635">
        <w:rPr>
          <w:sz w:val="22"/>
        </w:rPr>
        <w:t>eigengene</w:t>
      </w:r>
      <w:proofErr w:type="spellEnd"/>
      <w:r w:rsidR="007A5635">
        <w:rPr>
          <w:sz w:val="22"/>
        </w:rPr>
        <w:t xml:space="preserve">” [REF] maximally captures </w:t>
      </w:r>
      <w:r w:rsidR="0071309C">
        <w:rPr>
          <w:sz w:val="22"/>
        </w:rPr>
        <w:t xml:space="preserve">(in one dimension) </w:t>
      </w:r>
      <w:r w:rsidR="007A5635">
        <w:rPr>
          <w:sz w:val="22"/>
        </w:rPr>
        <w:t xml:space="preserve">the information contained in the transcriptional program. </w:t>
      </w:r>
      <w:r w:rsidRPr="00577A88">
        <w:rPr>
          <w:sz w:val="22"/>
        </w:rPr>
        <w:t>We considered thre</w:t>
      </w:r>
      <w:r w:rsidR="0063526B">
        <w:rPr>
          <w:sz w:val="22"/>
        </w:rPr>
        <w:t xml:space="preserve">e criteria for defining a globally comprehensive, but interpretable </w:t>
      </w:r>
      <w:r w:rsidR="005E3B94">
        <w:rPr>
          <w:sz w:val="22"/>
        </w:rPr>
        <w:t>list of transcriptional programs</w:t>
      </w:r>
      <w:r w:rsidRPr="00577A88">
        <w:rPr>
          <w:sz w:val="22"/>
        </w:rPr>
        <w:t xml:space="preserve"> </w:t>
      </w:r>
      <w:r w:rsidR="005E3B94">
        <w:rPr>
          <w:sz w:val="22"/>
        </w:rPr>
        <w:t xml:space="preserve">for </w:t>
      </w:r>
      <w:r w:rsidRPr="00577A88">
        <w:rPr>
          <w:i/>
          <w:sz w:val="22"/>
        </w:rPr>
        <w:t xml:space="preserve">A. thaliana </w:t>
      </w:r>
      <w:r w:rsidRPr="00577A88">
        <w:rPr>
          <w:sz w:val="22"/>
        </w:rPr>
        <w:t xml:space="preserve">and </w:t>
      </w:r>
      <w:r w:rsidRPr="00577A88">
        <w:rPr>
          <w:i/>
          <w:sz w:val="22"/>
        </w:rPr>
        <w:t xml:space="preserve">M. </w:t>
      </w:r>
      <w:proofErr w:type="spellStart"/>
      <w:r w:rsidRPr="00577A88">
        <w:rPr>
          <w:i/>
          <w:sz w:val="22"/>
        </w:rPr>
        <w:t>musculus</w:t>
      </w:r>
      <w:proofErr w:type="spellEnd"/>
      <w:r w:rsidRPr="00577A88">
        <w:rPr>
          <w:sz w:val="22"/>
        </w:rPr>
        <w:t>:</w:t>
      </w:r>
    </w:p>
    <w:p w14:paraId="640CDECF" w14:textId="77777777" w:rsidR="00065379" w:rsidRPr="00577A88" w:rsidRDefault="00065379" w:rsidP="00065379">
      <w:pPr>
        <w:pStyle w:val="Style1"/>
        <w:spacing w:line="240" w:lineRule="auto"/>
        <w:ind w:left="360" w:firstLine="0"/>
        <w:contextualSpacing/>
        <w:rPr>
          <w:sz w:val="28"/>
        </w:rPr>
      </w:pPr>
    </w:p>
    <w:p w14:paraId="34642344" w14:textId="5D3427C6" w:rsidR="00577A88" w:rsidRPr="00577A88" w:rsidRDefault="00577A88" w:rsidP="00577A88">
      <w:pPr>
        <w:pStyle w:val="Style1"/>
        <w:numPr>
          <w:ilvl w:val="1"/>
          <w:numId w:val="10"/>
        </w:numPr>
        <w:spacing w:line="240" w:lineRule="auto"/>
        <w:contextualSpacing/>
        <w:rPr>
          <w:sz w:val="28"/>
        </w:rPr>
      </w:pPr>
      <w:r w:rsidRPr="00577A88">
        <w:rPr>
          <w:sz w:val="22"/>
        </w:rPr>
        <w:t xml:space="preserve">In order to capture as much information about the </w:t>
      </w:r>
      <w:proofErr w:type="spellStart"/>
      <w:r w:rsidRPr="00577A88">
        <w:rPr>
          <w:sz w:val="22"/>
        </w:rPr>
        <w:t>transcriptome</w:t>
      </w:r>
      <w:proofErr w:type="spellEnd"/>
      <w:r w:rsidRPr="00577A88">
        <w:rPr>
          <w:sz w:val="22"/>
        </w:rPr>
        <w:t xml:space="preserve"> as possible, we wanted to maximize the number of genes covered</w:t>
      </w:r>
      <w:r w:rsidR="003C64E4">
        <w:rPr>
          <w:sz w:val="22"/>
        </w:rPr>
        <w:t xml:space="preserve"> by the transcriptional programs.</w:t>
      </w:r>
    </w:p>
    <w:p w14:paraId="16FFC3C1" w14:textId="040628D6" w:rsidR="00577A88" w:rsidRPr="00577A88" w:rsidRDefault="00577A88" w:rsidP="00577A88">
      <w:pPr>
        <w:pStyle w:val="Style1"/>
        <w:numPr>
          <w:ilvl w:val="1"/>
          <w:numId w:val="10"/>
        </w:numPr>
        <w:spacing w:line="240" w:lineRule="auto"/>
        <w:contextualSpacing/>
        <w:rPr>
          <w:sz w:val="28"/>
        </w:rPr>
      </w:pPr>
      <w:r w:rsidRPr="00577A88">
        <w:rPr>
          <w:sz w:val="22"/>
        </w:rPr>
        <w:t xml:space="preserve">In order to improve interpretability, we wanted to minimize the total number of </w:t>
      </w:r>
      <w:r w:rsidR="007B57E9">
        <w:rPr>
          <w:sz w:val="22"/>
        </w:rPr>
        <w:t>transcriptional programs.</w:t>
      </w:r>
    </w:p>
    <w:p w14:paraId="2F747F02" w14:textId="64F73825" w:rsidR="00577A88" w:rsidRPr="00577A88" w:rsidRDefault="00577A88" w:rsidP="00577A88">
      <w:pPr>
        <w:pStyle w:val="Style1"/>
        <w:numPr>
          <w:ilvl w:val="1"/>
          <w:numId w:val="10"/>
        </w:numPr>
        <w:spacing w:line="240" w:lineRule="auto"/>
        <w:contextualSpacing/>
        <w:rPr>
          <w:sz w:val="28"/>
        </w:rPr>
      </w:pPr>
      <w:r w:rsidRPr="00577A88">
        <w:rPr>
          <w:sz w:val="22"/>
        </w:rPr>
        <w:t xml:space="preserve">The number of genes in a </w:t>
      </w:r>
      <w:r w:rsidR="00D04F1F">
        <w:rPr>
          <w:sz w:val="22"/>
        </w:rPr>
        <w:t>transcriptional program</w:t>
      </w:r>
      <w:r w:rsidRPr="00577A88">
        <w:rPr>
          <w:sz w:val="22"/>
        </w:rPr>
        <w:t xml:space="preserve"> should not be too large or too small -- genes in a </w:t>
      </w:r>
      <w:r w:rsidR="00711670">
        <w:rPr>
          <w:sz w:val="22"/>
        </w:rPr>
        <w:t>transcriptional program</w:t>
      </w:r>
      <w:r w:rsidR="00711670" w:rsidRPr="00577A88">
        <w:rPr>
          <w:sz w:val="22"/>
        </w:rPr>
        <w:t xml:space="preserve"> </w:t>
      </w:r>
      <w:r w:rsidRPr="00577A88">
        <w:rPr>
          <w:sz w:val="22"/>
        </w:rPr>
        <w:t>should be in the same pathway.</w:t>
      </w:r>
    </w:p>
    <w:p w14:paraId="5829C416" w14:textId="77777777" w:rsidR="00577A88" w:rsidRPr="00577A88" w:rsidRDefault="00577A88" w:rsidP="00577A88">
      <w:pPr>
        <w:pStyle w:val="Style1"/>
        <w:spacing w:line="240" w:lineRule="auto"/>
        <w:ind w:left="720" w:firstLine="0"/>
        <w:contextualSpacing/>
        <w:rPr>
          <w:sz w:val="22"/>
        </w:rPr>
      </w:pPr>
    </w:p>
    <w:p w14:paraId="78A4CC90" w14:textId="2782B46B" w:rsidR="008216C7" w:rsidRDefault="00577A88" w:rsidP="008216C7">
      <w:pPr>
        <w:pStyle w:val="Style1"/>
        <w:spacing w:line="240" w:lineRule="auto"/>
        <w:ind w:left="360"/>
        <w:contextualSpacing/>
        <w:rPr>
          <w:sz w:val="22"/>
        </w:rPr>
      </w:pPr>
      <w:r w:rsidRPr="00577A88">
        <w:rPr>
          <w:sz w:val="22"/>
        </w:rPr>
        <w:t xml:space="preserve">Rather than defining these </w:t>
      </w:r>
      <w:r w:rsidR="00065379">
        <w:rPr>
          <w:sz w:val="22"/>
        </w:rPr>
        <w:t xml:space="preserve">transcriptional programs </w:t>
      </w:r>
      <w:r w:rsidRPr="00577A88">
        <w:rPr>
          <w:i/>
          <w:sz w:val="22"/>
        </w:rPr>
        <w:t>de novo</w:t>
      </w:r>
      <w:r w:rsidRPr="00577A88">
        <w:rPr>
          <w:sz w:val="22"/>
        </w:rPr>
        <w:t>, we took a knowledge-based approach and defined them using Gene Ontology (GO).</w:t>
      </w:r>
      <w:r w:rsidR="00106A33">
        <w:rPr>
          <w:sz w:val="22"/>
        </w:rPr>
        <w:t xml:space="preserve"> </w:t>
      </w:r>
      <w:r w:rsidR="005E3B94">
        <w:rPr>
          <w:sz w:val="22"/>
        </w:rPr>
        <w:t xml:space="preserve">We also tried using KEGG pathways, but found these were less complete and nuanced than GO annotations. </w:t>
      </w:r>
      <w:r w:rsidRPr="00577A88">
        <w:rPr>
          <w:sz w:val="22"/>
        </w:rPr>
        <w:t>Gene Ontology is made of three sub-ontologies or aspects: Molecular Function, Biological Process, and Cellular Component.  Each of these ontologies contains terms that are arranged as a directed acyclic graph with the above three terms as roots. Terms higher in the graph are less specific than those near the leaves [REF].  Thus, with respect to the three criteria above, we wanted to find GO terms with low-to-moderate height in the graph such that they were neither too specific nor too general. Given we were interested in monitoring the status of different processes in the organism, we focused on the Biological Process ontology.</w:t>
      </w:r>
    </w:p>
    <w:p w14:paraId="356A6F48" w14:textId="77777777" w:rsidR="008216C7" w:rsidRPr="003C1371" w:rsidRDefault="00A71C62" w:rsidP="008216C7">
      <w:pPr>
        <w:pStyle w:val="Style1"/>
        <w:spacing w:line="240" w:lineRule="auto"/>
        <w:ind w:left="360"/>
        <w:contextualSpacing/>
        <w:rPr>
          <w:sz w:val="22"/>
        </w:rPr>
      </w:pPr>
      <w:r w:rsidRPr="003C1371">
        <w:rPr>
          <w:sz w:val="22"/>
        </w:rPr>
        <w:t xml:space="preserve">We downloaded gene association files for </w:t>
      </w:r>
      <w:r w:rsidRPr="003C1371">
        <w:rPr>
          <w:i/>
          <w:sz w:val="22"/>
        </w:rPr>
        <w:t xml:space="preserve">A. thaliana </w:t>
      </w:r>
      <w:r w:rsidRPr="003C1371">
        <w:rPr>
          <w:sz w:val="22"/>
        </w:rPr>
        <w:t xml:space="preserve">and </w:t>
      </w:r>
      <w:r w:rsidRPr="003C1371">
        <w:rPr>
          <w:i/>
          <w:sz w:val="22"/>
        </w:rPr>
        <w:t xml:space="preserve">M. </w:t>
      </w:r>
      <w:proofErr w:type="spellStart"/>
      <w:r w:rsidRPr="003C1371">
        <w:rPr>
          <w:i/>
          <w:sz w:val="22"/>
        </w:rPr>
        <w:t>musculus</w:t>
      </w:r>
      <w:proofErr w:type="spellEnd"/>
      <w:r w:rsidRPr="003C1371">
        <w:rPr>
          <w:sz w:val="22"/>
        </w:rPr>
        <w:t xml:space="preserve"> from the Gene Ontology Consortium (</w:t>
      </w:r>
      <w:hyperlink r:id="rId10" w:history="1">
        <w:r w:rsidRPr="003C1371">
          <w:rPr>
            <w:rStyle w:val="Hyperlink"/>
            <w:sz w:val="22"/>
          </w:rPr>
          <w:t>http://geneontology.org/page/download-annotations</w:t>
        </w:r>
      </w:hyperlink>
      <w:r w:rsidRPr="003C1371">
        <w:rPr>
          <w:sz w:val="22"/>
        </w:rPr>
        <w:t xml:space="preserve">). We then examined for each of several minimum and maximum GO term sizes (defined by the number of genes annotated with that GO term) the number of GO terms that fit this size criterion and the number of genes covered by these GO terms. </w:t>
      </w:r>
    </w:p>
    <w:p w14:paraId="5CA7D12F" w14:textId="77777777" w:rsidR="008216C7" w:rsidRPr="003C1371" w:rsidRDefault="008216C7" w:rsidP="008216C7">
      <w:pPr>
        <w:pStyle w:val="Style1"/>
        <w:spacing w:line="240" w:lineRule="auto"/>
        <w:ind w:left="360"/>
        <w:contextualSpacing/>
        <w:rPr>
          <w:sz w:val="22"/>
        </w:rPr>
      </w:pPr>
      <w:r w:rsidRPr="003C1371">
        <w:rPr>
          <w:sz w:val="22"/>
        </w:rPr>
        <w:t xml:space="preserve">Supplemental Tables 1 and 2 contain the results of this analysis for </w:t>
      </w:r>
      <w:r w:rsidRPr="003C1371">
        <w:rPr>
          <w:i/>
          <w:sz w:val="22"/>
        </w:rPr>
        <w:t>A. thaliana</w:t>
      </w:r>
      <w:r w:rsidRPr="003C1371">
        <w:rPr>
          <w:sz w:val="22"/>
        </w:rPr>
        <w:t xml:space="preserve"> and </w:t>
      </w:r>
      <w:r w:rsidRPr="003C1371">
        <w:rPr>
          <w:i/>
          <w:sz w:val="22"/>
        </w:rPr>
        <w:t xml:space="preserve">M. </w:t>
      </w:r>
      <w:proofErr w:type="spellStart"/>
      <w:r w:rsidRPr="003C1371">
        <w:rPr>
          <w:i/>
          <w:sz w:val="22"/>
        </w:rPr>
        <w:t>musculus</w:t>
      </w:r>
      <w:proofErr w:type="spellEnd"/>
      <w:r w:rsidRPr="003C1371">
        <w:rPr>
          <w:sz w:val="22"/>
        </w:rPr>
        <w:t xml:space="preserve">, respectively. </w:t>
      </w:r>
      <w:r w:rsidRPr="003C1371">
        <w:rPr>
          <w:i/>
          <w:sz w:val="22"/>
        </w:rPr>
        <w:t xml:space="preserve">A. </w:t>
      </w:r>
      <w:proofErr w:type="gramStart"/>
      <w:r w:rsidRPr="003C1371">
        <w:rPr>
          <w:i/>
          <w:sz w:val="22"/>
        </w:rPr>
        <w:t>thaliana</w:t>
      </w:r>
      <w:proofErr w:type="gramEnd"/>
      <w:r w:rsidRPr="003C1371">
        <w:rPr>
          <w:sz w:val="22"/>
        </w:rPr>
        <w:t xml:space="preserve"> has 3333 GO annotations for 27671 genes.  We noticed that when the minimum GO term size was as small as it could be (1) and we moved from a maximum GO term size of 5000 to 10000, we jumped from covering 18432 genes (67% of the </w:t>
      </w:r>
      <w:proofErr w:type="spellStart"/>
      <w:r w:rsidRPr="003C1371">
        <w:rPr>
          <w:sz w:val="22"/>
        </w:rPr>
        <w:t>transcriptome</w:t>
      </w:r>
      <w:proofErr w:type="spellEnd"/>
      <w:r w:rsidRPr="003C1371">
        <w:rPr>
          <w:sz w:val="22"/>
        </w:rPr>
        <w:t xml:space="preserve">) to covering the full </w:t>
      </w:r>
      <w:proofErr w:type="spellStart"/>
      <w:r w:rsidRPr="003C1371">
        <w:rPr>
          <w:sz w:val="22"/>
        </w:rPr>
        <w:t>transcriptome</w:t>
      </w:r>
      <w:proofErr w:type="spellEnd"/>
      <w:r w:rsidRPr="003C1371">
        <w:rPr>
          <w:sz w:val="22"/>
        </w:rPr>
        <w:t xml:space="preserve"> (black bolded two rows of Supplemental Table 1). This is due to the addition of one GO term, which was the most general, “Biological Process,” term. Thus, we concluded that 33% of the genes in the </w:t>
      </w:r>
      <w:proofErr w:type="spellStart"/>
      <w:r w:rsidRPr="003C1371">
        <w:rPr>
          <w:sz w:val="22"/>
        </w:rPr>
        <w:t>transcriptome</w:t>
      </w:r>
      <w:proofErr w:type="spellEnd"/>
      <w:r w:rsidRPr="003C1371">
        <w:rPr>
          <w:sz w:val="22"/>
        </w:rPr>
        <w:t xml:space="preserve"> have only “Biological Process” as a GO annotation, and therefore that we do not need to capture these genes in our GO term derived gene sets. We hereafter refer to the set of genes annotated with more than just the “Biological Process” term as </w:t>
      </w:r>
      <w:r w:rsidRPr="003C1371">
        <w:rPr>
          <w:i/>
          <w:sz w:val="22"/>
        </w:rPr>
        <w:t>informatively annotated</w:t>
      </w:r>
      <w:r w:rsidRPr="003C1371">
        <w:rPr>
          <w:sz w:val="22"/>
        </w:rPr>
        <w:t xml:space="preserve">. </w:t>
      </w:r>
    </w:p>
    <w:p w14:paraId="4B6EB13C" w14:textId="7DF2C213" w:rsidR="008216C7" w:rsidRPr="003C1371" w:rsidRDefault="008216C7" w:rsidP="008216C7">
      <w:pPr>
        <w:pStyle w:val="Style1"/>
        <w:spacing w:line="240" w:lineRule="auto"/>
        <w:ind w:left="360"/>
        <w:contextualSpacing/>
        <w:rPr>
          <w:sz w:val="22"/>
        </w:rPr>
      </w:pPr>
      <w:r w:rsidRPr="003C1371">
        <w:rPr>
          <w:sz w:val="22"/>
        </w:rPr>
        <w:t xml:space="preserve">We reasoned that a minimum GO term size of 50 and a maximum size of 2000, best met our aforementioned criteria for defining globally representative GO term derived gene sets. These size thresholds defined 150 GO terms, which in total covered 15124 genes (82.1% of the informatively annotated, and 54.7% of the full </w:t>
      </w:r>
      <w:proofErr w:type="spellStart"/>
      <w:r w:rsidRPr="003C1371">
        <w:rPr>
          <w:sz w:val="22"/>
        </w:rPr>
        <w:t>transcriptome</w:t>
      </w:r>
      <w:proofErr w:type="spellEnd"/>
      <w:r w:rsidRPr="003C1371">
        <w:rPr>
          <w:sz w:val="22"/>
        </w:rPr>
        <w:t xml:space="preserve">). These 150 GO-term derived, globally </w:t>
      </w:r>
      <w:r w:rsidR="00163865">
        <w:rPr>
          <w:sz w:val="22"/>
        </w:rPr>
        <w:t>comprehensive</w:t>
      </w:r>
      <w:r w:rsidR="00163865" w:rsidRPr="003C1371">
        <w:rPr>
          <w:sz w:val="22"/>
        </w:rPr>
        <w:t xml:space="preserve"> </w:t>
      </w:r>
      <w:r w:rsidR="00163865">
        <w:rPr>
          <w:sz w:val="22"/>
        </w:rPr>
        <w:t>transcriptional programs</w:t>
      </w:r>
      <w:r w:rsidR="00163865" w:rsidRPr="003C1371">
        <w:rPr>
          <w:sz w:val="22"/>
        </w:rPr>
        <w:t xml:space="preserve"> </w:t>
      </w:r>
      <w:r w:rsidRPr="003C1371">
        <w:rPr>
          <w:sz w:val="22"/>
        </w:rPr>
        <w:t>covered the major pathways related to growth, development, and response to the environment.</w:t>
      </w:r>
    </w:p>
    <w:p w14:paraId="7549FCD7" w14:textId="3D11D834" w:rsidR="008216C7" w:rsidRPr="003C1371" w:rsidRDefault="008216C7" w:rsidP="008216C7">
      <w:pPr>
        <w:pStyle w:val="Style1"/>
        <w:spacing w:line="240" w:lineRule="auto"/>
        <w:ind w:left="360"/>
        <w:contextualSpacing/>
        <w:rPr>
          <w:sz w:val="22"/>
        </w:rPr>
      </w:pPr>
      <w:r w:rsidRPr="003C1371">
        <w:rPr>
          <w:sz w:val="22"/>
        </w:rPr>
        <w:t xml:space="preserve">We performed a similar GO term size analysis for </w:t>
      </w:r>
      <w:r w:rsidRPr="003C1371">
        <w:rPr>
          <w:i/>
          <w:sz w:val="22"/>
        </w:rPr>
        <w:t xml:space="preserve">M. </w:t>
      </w:r>
      <w:proofErr w:type="spellStart"/>
      <w:r w:rsidRPr="003C1371">
        <w:rPr>
          <w:i/>
          <w:sz w:val="22"/>
        </w:rPr>
        <w:t>musculus</w:t>
      </w:r>
      <w:proofErr w:type="spellEnd"/>
      <w:r w:rsidRPr="003C1371">
        <w:rPr>
          <w:sz w:val="22"/>
        </w:rPr>
        <w:t xml:space="preserve">. </w:t>
      </w:r>
      <w:r w:rsidRPr="003C1371">
        <w:rPr>
          <w:i/>
          <w:sz w:val="22"/>
        </w:rPr>
        <w:t xml:space="preserve">M. </w:t>
      </w:r>
      <w:proofErr w:type="spellStart"/>
      <w:proofErr w:type="gramStart"/>
      <w:r w:rsidRPr="003C1371">
        <w:rPr>
          <w:i/>
          <w:sz w:val="22"/>
        </w:rPr>
        <w:t>musculus</w:t>
      </w:r>
      <w:proofErr w:type="spellEnd"/>
      <w:proofErr w:type="gramEnd"/>
      <w:r w:rsidRPr="003C1371">
        <w:rPr>
          <w:sz w:val="22"/>
        </w:rPr>
        <w:t xml:space="preserve"> has 10990 GO annotations for 23566 genes. Of these genes, 6832 (29.0%) had only the “Biological Process” term annotation and were considered not informatively annotated. As we did for </w:t>
      </w:r>
      <w:r w:rsidRPr="003C1371">
        <w:rPr>
          <w:i/>
          <w:sz w:val="22"/>
        </w:rPr>
        <w:t>A. thaliana</w:t>
      </w:r>
      <w:r w:rsidRPr="003C1371">
        <w:rPr>
          <w:sz w:val="22"/>
        </w:rPr>
        <w:t xml:space="preserve">, we selected a GO term size minimum of 50 and a maximum size of 2000. These size thresholds defined 368 GO terms, which in total covered 14873 genes (88.9% of the informatively annotated, 63% of the full </w:t>
      </w:r>
      <w:proofErr w:type="spellStart"/>
      <w:r w:rsidRPr="003C1371">
        <w:rPr>
          <w:sz w:val="22"/>
        </w:rPr>
        <w:t>transcriptome</w:t>
      </w:r>
      <w:proofErr w:type="spellEnd"/>
      <w:r w:rsidRPr="003C1371">
        <w:rPr>
          <w:sz w:val="22"/>
        </w:rPr>
        <w:t xml:space="preserve">). As we found for </w:t>
      </w:r>
      <w:r w:rsidRPr="003C1371">
        <w:rPr>
          <w:i/>
          <w:sz w:val="22"/>
        </w:rPr>
        <w:t xml:space="preserve">A. thaliana, </w:t>
      </w:r>
      <w:r w:rsidRPr="003C1371">
        <w:rPr>
          <w:sz w:val="22"/>
        </w:rPr>
        <w:t xml:space="preserve">these 368 GO-term derived, globally </w:t>
      </w:r>
      <w:r w:rsidR="008D51FF">
        <w:rPr>
          <w:sz w:val="22"/>
        </w:rPr>
        <w:t>comprehensive</w:t>
      </w:r>
      <w:r w:rsidRPr="003C1371">
        <w:rPr>
          <w:sz w:val="22"/>
        </w:rPr>
        <w:t xml:space="preserve"> </w:t>
      </w:r>
      <w:r w:rsidR="008D51FF">
        <w:rPr>
          <w:sz w:val="22"/>
        </w:rPr>
        <w:t>transcriptional programs</w:t>
      </w:r>
      <w:r w:rsidRPr="003C1371">
        <w:rPr>
          <w:sz w:val="22"/>
        </w:rPr>
        <w:t xml:space="preserve"> covered the major pathways related to growth, development, and response to the environment.</w:t>
      </w:r>
    </w:p>
    <w:p w14:paraId="350F59FB" w14:textId="1CEE5370" w:rsidR="007A5635" w:rsidRDefault="008216C7" w:rsidP="00E002B7">
      <w:pPr>
        <w:pStyle w:val="Style1"/>
        <w:spacing w:line="240" w:lineRule="auto"/>
        <w:ind w:left="360"/>
        <w:contextualSpacing/>
        <w:rPr>
          <w:sz w:val="22"/>
        </w:rPr>
      </w:pPr>
      <w:r w:rsidRPr="003C1371">
        <w:rPr>
          <w:sz w:val="22"/>
        </w:rPr>
        <w:t>Supplemental Tables 3 and 4 contain the lists of the globally comprehensive transcriptional programs as defined by the criteria above.</w:t>
      </w:r>
      <w:r w:rsidR="003C1371">
        <w:rPr>
          <w:sz w:val="22"/>
        </w:rPr>
        <w:t xml:space="preserve"> For each of these programs, we </w:t>
      </w:r>
      <w:r w:rsidR="00DC4FAF">
        <w:rPr>
          <w:sz w:val="22"/>
        </w:rPr>
        <w:t xml:space="preserve">then computed its first principal component over all constituent genes. </w:t>
      </w:r>
    </w:p>
    <w:p w14:paraId="637365C7" w14:textId="77777777" w:rsidR="00577A88" w:rsidRPr="00577A88" w:rsidRDefault="00577A88" w:rsidP="003C1371">
      <w:pPr>
        <w:pStyle w:val="Style1"/>
        <w:spacing w:line="240" w:lineRule="auto"/>
        <w:ind w:firstLine="0"/>
        <w:contextualSpacing/>
        <w:rPr>
          <w:sz w:val="24"/>
        </w:rPr>
      </w:pPr>
    </w:p>
    <w:p w14:paraId="628F6709" w14:textId="7390D258" w:rsidR="00577A88" w:rsidRPr="00452E2A" w:rsidRDefault="00577A88" w:rsidP="0066703A">
      <w:pPr>
        <w:pStyle w:val="Style1"/>
        <w:numPr>
          <w:ilvl w:val="0"/>
          <w:numId w:val="10"/>
        </w:numPr>
        <w:spacing w:line="240" w:lineRule="auto"/>
        <w:contextualSpacing/>
        <w:rPr>
          <w:sz w:val="22"/>
        </w:rPr>
      </w:pPr>
      <w:r w:rsidRPr="00452E2A">
        <w:rPr>
          <w:b/>
          <w:sz w:val="22"/>
        </w:rPr>
        <w:t>Marker selection via Simultaneous Orthogonal Matching Pursuit</w:t>
      </w:r>
      <w:r w:rsidR="001E3694" w:rsidRPr="00452E2A">
        <w:rPr>
          <w:b/>
          <w:sz w:val="22"/>
        </w:rPr>
        <w:t xml:space="preserve"> - </w:t>
      </w:r>
      <w:r w:rsidR="001E3694" w:rsidRPr="00452E2A">
        <w:rPr>
          <w:sz w:val="22"/>
        </w:rPr>
        <w:t xml:space="preserve">After </w:t>
      </w:r>
      <w:r w:rsidR="004C5E12" w:rsidRPr="00452E2A">
        <w:rPr>
          <w:sz w:val="22"/>
        </w:rPr>
        <w:t>defining transcriptional programs we are left with a #-training-samples x #-transcriptional-programs table of expression values. We decompose this matrix using</w:t>
      </w:r>
      <w:r w:rsidR="000E4290" w:rsidRPr="00452E2A">
        <w:rPr>
          <w:sz w:val="22"/>
        </w:rPr>
        <w:t xml:space="preserve"> an adapted version of the</w:t>
      </w:r>
      <w:r w:rsidR="004C5E12" w:rsidRPr="00452E2A">
        <w:rPr>
          <w:sz w:val="22"/>
        </w:rPr>
        <w:t xml:space="preserve"> Simultaneous Orthogonal Matching Pursuit</w:t>
      </w:r>
      <w:r w:rsidR="00030A48">
        <w:rPr>
          <w:sz w:val="22"/>
        </w:rPr>
        <w:t xml:space="preserve"> [describe uses in signal processing?]</w:t>
      </w:r>
      <w:r w:rsidR="004C5E12" w:rsidRPr="00452E2A">
        <w:rPr>
          <w:sz w:val="22"/>
        </w:rPr>
        <w:t>, using the #-training-samples x #-transcriptional-programs table</w:t>
      </w:r>
      <w:r w:rsidR="00F16D63" w:rsidRPr="00452E2A">
        <w:rPr>
          <w:sz w:val="22"/>
        </w:rPr>
        <w:t xml:space="preserve"> as a dictionary</w:t>
      </w:r>
      <w:r w:rsidR="004C5E12" w:rsidRPr="00452E2A">
        <w:rPr>
          <w:sz w:val="22"/>
        </w:rPr>
        <w:fldChar w:fldCharType="begin" w:fldLock="1"/>
      </w:r>
      <w:r w:rsidR="00367A12">
        <w:rPr>
          <w:sz w:val="22"/>
        </w:rPr>
        <w:instrText>ADDIN CSL_CITATION { "citationItems" : [ { "id" : "ITEM-1", "itemData" : { "author" : [ { "dropping-particle" : "", "family" : "Tropp", "given" : "Joel a", "non-dropping-particle" : "", "parse-names" : false, "suffix" : "" }, { "dropping-particle" : "", "family" : "Gilbert", "given" : "Anna C", "non-dropping-particle" : "", "parse-names" : false, "suffix" : "" } ], "id" : "ITEM-1", "issue" : "12", "issued" : { "date-parts" : [ [ "2007" ] ] }, "page" : "4655-4666", "title" : "Signal Recovery From Random Measurements Via Orthogonal Matching Pursuit", "type" : "article-journal", "volume" : "53" }, "uris" : [ "http://www.mendeley.com/documents/?uuid=2423d894-3f8f-4104-a502-bc8685c23e9f" ] }, { "id" : "ITEM-2", "itemData" : { "DOI" : "10.1016/j.sigpro.2005.05.030", "ISBN" : "0780388747", "ISSN" : "01651684", "abstract" : "A simultaneous sparse approximation problem requests a good approximation of several input signals at once using different linear combinations of the same elementary signals. At the same time, the problem balances the error in approximation against the total number of elementary signals that participate. These elementary signals typically model coherent structures in the input signals, and they are chosen from a large, linearly dependent collection. The first part of this paper proposes a greedy pursuit algorithm, called simultaneous orthogonal matching pursuit (S-OMP), for simultaneous sparse approximation. Then it presents some numerical experiments that demonstrate how a sparse model for the input signals can be identified more reliably given several input signals. Afterward, the paper proves that the S-OMP algorithm can compute provably good solutions to several simultaneous sparse approximation problems. The second part of the paper develops another algorithmic approach called convex relaxation, and it provides theoretical results on the performance of convex relaxation for simultaneous sparse approximation. \u00a9 2005 Elsevier B.V. All rights reserved.", "author" : [ { "dropping-particle" : "", "family" : "Tropp", "given" : "Joel a.", "non-dropping-particle" : "", "parse-names" : false, "suffix" : "" }, { "dropping-particle" : "", "family" : "Gilbert", "given" : "Anna C.", "non-dropping-particle" : "", "parse-names" : false, "suffix" : "" }, { "dropping-particle" : "", "family" : "Strauss", "given" : "Martin J.", "non-dropping-particle" : "", "parse-names" : false, "suffix" : "" } ], "container-title" : "Signal Processing", "id" : "ITEM-2", "issue" : "3", "issued" : { "date-parts" : [ [ "2006" ] ] }, "page" : "572-588", "title" : "Algorithms for simultaneous sparse approximation. Part I: Greedy pursuit", "type" : "article-journal", "volume" : "86" }, "uris" : [ "http://www.mendeley.com/documents/?uuid=439108e8-84f1-4eaa-9feb-e2475eec73b1" ] } ], "mendeley" : { "formattedCitation" : "&lt;sup&gt;4,5&lt;/sup&gt;", "plainTextFormattedCitation" : "4,5", "previouslyFormattedCitation" : "&lt;sup&gt;3,4&lt;/sup&gt;" }, "properties" : { "noteIndex" : 0 }, "schema" : "https://github.com/citation-style-language/schema/raw/master/csl-citation.json" }</w:instrText>
      </w:r>
      <w:r w:rsidR="004C5E12" w:rsidRPr="00452E2A">
        <w:rPr>
          <w:sz w:val="22"/>
        </w:rPr>
        <w:fldChar w:fldCharType="separate"/>
      </w:r>
      <w:r w:rsidR="00367A12" w:rsidRPr="00367A12">
        <w:rPr>
          <w:noProof/>
          <w:sz w:val="22"/>
          <w:vertAlign w:val="superscript"/>
        </w:rPr>
        <w:t>4,5</w:t>
      </w:r>
      <w:r w:rsidR="004C5E12" w:rsidRPr="00452E2A">
        <w:rPr>
          <w:sz w:val="22"/>
        </w:rPr>
        <w:fldChar w:fldCharType="end"/>
      </w:r>
      <w:r w:rsidR="007A5635" w:rsidRPr="00452E2A">
        <w:rPr>
          <w:sz w:val="22"/>
        </w:rPr>
        <w:t xml:space="preserve">. </w:t>
      </w:r>
      <w:r w:rsidR="00DE724D" w:rsidRPr="00452E2A">
        <w:rPr>
          <w:sz w:val="22"/>
        </w:rPr>
        <w:t>Because transcriptional programs are often correlated with other programs, we first cluster them using consensus clustering [REF]</w:t>
      </w:r>
      <w:r w:rsidR="00D7226D" w:rsidRPr="00452E2A">
        <w:rPr>
          <w:sz w:val="22"/>
        </w:rPr>
        <w:t xml:space="preserve">, which produces a robust and stable clustering by taking the consensus of many </w:t>
      </w:r>
      <w:proofErr w:type="spellStart"/>
      <w:r w:rsidR="00D7226D" w:rsidRPr="00452E2A">
        <w:rPr>
          <w:sz w:val="22"/>
        </w:rPr>
        <w:t>clusterings</w:t>
      </w:r>
      <w:proofErr w:type="spellEnd"/>
      <w:r w:rsidR="00D7226D" w:rsidRPr="00452E2A">
        <w:rPr>
          <w:sz w:val="22"/>
        </w:rPr>
        <w:t xml:space="preserve"> performed by a </w:t>
      </w:r>
      <w:r w:rsidR="00D7226D" w:rsidRPr="00452E2A">
        <w:rPr>
          <w:i/>
          <w:sz w:val="22"/>
        </w:rPr>
        <w:t>base</w:t>
      </w:r>
      <w:r w:rsidR="00D7226D" w:rsidRPr="00452E2A">
        <w:rPr>
          <w:sz w:val="22"/>
        </w:rPr>
        <w:t xml:space="preserve"> clustering algorithm.</w:t>
      </w:r>
      <w:r w:rsidR="003E3039" w:rsidRPr="00452E2A">
        <w:rPr>
          <w:sz w:val="22"/>
        </w:rPr>
        <w:t xml:space="preserve"> </w:t>
      </w:r>
      <w:r w:rsidR="00DE724D" w:rsidRPr="00452E2A">
        <w:rPr>
          <w:sz w:val="22"/>
        </w:rPr>
        <w:t xml:space="preserve">100 independent iterations of K-means </w:t>
      </w:r>
      <w:r w:rsidR="00D7226D" w:rsidRPr="00452E2A">
        <w:rPr>
          <w:sz w:val="22"/>
        </w:rPr>
        <w:t>are used as the base-</w:t>
      </w:r>
      <w:proofErr w:type="spellStart"/>
      <w:r w:rsidR="003B0BF0" w:rsidRPr="00452E2A">
        <w:rPr>
          <w:sz w:val="22"/>
        </w:rPr>
        <w:t>clusterings</w:t>
      </w:r>
      <w:proofErr w:type="spellEnd"/>
      <w:r w:rsidR="00DE724D" w:rsidRPr="00452E2A">
        <w:rPr>
          <w:sz w:val="22"/>
        </w:rPr>
        <w:t xml:space="preserve">, and the number of clusters is determined using the </w:t>
      </w:r>
      <w:r w:rsidR="00D7226D" w:rsidRPr="00452E2A">
        <w:rPr>
          <w:sz w:val="22"/>
        </w:rPr>
        <w:t>Davies-</w:t>
      </w:r>
      <w:proofErr w:type="spellStart"/>
      <w:r w:rsidR="00D7226D" w:rsidRPr="00452E2A">
        <w:rPr>
          <w:sz w:val="22"/>
        </w:rPr>
        <w:t>Bouldin</w:t>
      </w:r>
      <w:proofErr w:type="spellEnd"/>
      <w:r w:rsidR="00D7226D" w:rsidRPr="00452E2A">
        <w:rPr>
          <w:sz w:val="22"/>
        </w:rPr>
        <w:t xml:space="preserve"> criterion [REF]. </w:t>
      </w:r>
      <w:r w:rsidR="0066703A" w:rsidRPr="00452E2A">
        <w:rPr>
          <w:sz w:val="22"/>
        </w:rPr>
        <w:t xml:space="preserve">The decomposition is greedy, in which </w:t>
      </w:r>
      <w:proofErr w:type="gramStart"/>
      <w:r w:rsidR="0066703A" w:rsidRPr="00452E2A">
        <w:rPr>
          <w:sz w:val="22"/>
        </w:rPr>
        <w:t>for each iteration</w:t>
      </w:r>
      <w:proofErr w:type="gramEnd"/>
      <w:r w:rsidR="0066703A" w:rsidRPr="00452E2A">
        <w:rPr>
          <w:sz w:val="22"/>
        </w:rPr>
        <w:t xml:space="preserve"> </w:t>
      </w:r>
      <w:r w:rsidR="00C529C6">
        <w:rPr>
          <w:sz w:val="22"/>
        </w:rPr>
        <w:t>the algorithm</w:t>
      </w:r>
      <w:r w:rsidR="0066703A" w:rsidRPr="00452E2A">
        <w:rPr>
          <w:sz w:val="22"/>
        </w:rPr>
        <w:t xml:space="preserve"> first find the transcriptional program cluster with the largest unexplained variance. </w:t>
      </w:r>
      <w:r w:rsidR="003D2BDC" w:rsidRPr="00452E2A">
        <w:rPr>
          <w:sz w:val="22"/>
        </w:rPr>
        <w:t>It</w:t>
      </w:r>
      <w:r w:rsidR="0066703A" w:rsidRPr="00452E2A">
        <w:rPr>
          <w:sz w:val="22"/>
        </w:rPr>
        <w:t xml:space="preserve"> then find</w:t>
      </w:r>
      <w:r w:rsidR="003D2BDC" w:rsidRPr="00452E2A">
        <w:rPr>
          <w:sz w:val="22"/>
        </w:rPr>
        <w:t>s</w:t>
      </w:r>
      <w:r w:rsidR="0066703A" w:rsidRPr="00452E2A">
        <w:rPr>
          <w:sz w:val="22"/>
        </w:rPr>
        <w:t xml:space="preserve"> the </w:t>
      </w:r>
      <w:r w:rsidR="007A5635" w:rsidRPr="00452E2A">
        <w:rPr>
          <w:sz w:val="22"/>
        </w:rPr>
        <w:t>gene</w:t>
      </w:r>
      <w:r w:rsidR="0066703A" w:rsidRPr="00452E2A">
        <w:rPr>
          <w:sz w:val="22"/>
        </w:rPr>
        <w:t xml:space="preserve"> contained</w:t>
      </w:r>
      <w:r w:rsidR="007A5635" w:rsidRPr="00452E2A">
        <w:rPr>
          <w:sz w:val="22"/>
        </w:rPr>
        <w:t xml:space="preserve"> with</w:t>
      </w:r>
      <w:r w:rsidR="0066703A" w:rsidRPr="00452E2A">
        <w:rPr>
          <w:sz w:val="22"/>
        </w:rPr>
        <w:t>in this cluster of transcriptional programs</w:t>
      </w:r>
      <w:r w:rsidR="00BA3E2C" w:rsidRPr="00452E2A">
        <w:rPr>
          <w:sz w:val="22"/>
        </w:rPr>
        <w:t xml:space="preserve"> with</w:t>
      </w:r>
      <w:r w:rsidR="007A5635" w:rsidRPr="00452E2A">
        <w:rPr>
          <w:sz w:val="22"/>
        </w:rPr>
        <w:t xml:space="preserve"> the maximum average absolute correlation to the expression of </w:t>
      </w:r>
      <w:r w:rsidR="002F33E1" w:rsidRPr="00452E2A">
        <w:rPr>
          <w:sz w:val="22"/>
        </w:rPr>
        <w:t>all</w:t>
      </w:r>
      <w:r w:rsidR="00E002B7" w:rsidRPr="00452E2A">
        <w:rPr>
          <w:sz w:val="22"/>
        </w:rPr>
        <w:t xml:space="preserve"> transcriptional programs</w:t>
      </w:r>
      <w:r w:rsidR="003D2BDC" w:rsidRPr="00452E2A">
        <w:rPr>
          <w:sz w:val="22"/>
        </w:rPr>
        <w:t>. This</w:t>
      </w:r>
      <w:r w:rsidR="00E002B7" w:rsidRPr="00452E2A">
        <w:rPr>
          <w:sz w:val="22"/>
        </w:rPr>
        <w:t xml:space="preserve"> gene</w:t>
      </w:r>
      <w:r w:rsidR="003D2BDC" w:rsidRPr="00452E2A">
        <w:rPr>
          <w:sz w:val="22"/>
        </w:rPr>
        <w:t xml:space="preserve"> is then added</w:t>
      </w:r>
      <w:r w:rsidR="00E002B7" w:rsidRPr="00452E2A">
        <w:rPr>
          <w:sz w:val="22"/>
        </w:rPr>
        <w:t xml:space="preserve"> to an “active set,” </w:t>
      </w:r>
      <w:r w:rsidR="003D2BDC" w:rsidRPr="00452E2A">
        <w:rPr>
          <w:sz w:val="22"/>
        </w:rPr>
        <w:t>onto which the transcriptional program expression matrix is orthogonally projected</w:t>
      </w:r>
      <w:r w:rsidR="00E002B7" w:rsidRPr="00452E2A">
        <w:rPr>
          <w:sz w:val="22"/>
        </w:rPr>
        <w:t xml:space="preserve">. This fit is subtracted </w:t>
      </w:r>
      <w:r w:rsidR="00092BC5" w:rsidRPr="00452E2A">
        <w:rPr>
          <w:sz w:val="22"/>
        </w:rPr>
        <w:t xml:space="preserve">to produce a residual, on which the above steps are repeated until a predefined number of genes have been added to the active set or the residual variance of </w:t>
      </w:r>
      <w:r w:rsidR="00551D30">
        <w:rPr>
          <w:sz w:val="22"/>
        </w:rPr>
        <w:t>the transcriptional program expression matrix falls</w:t>
      </w:r>
      <w:r w:rsidR="00092BC5" w:rsidRPr="00452E2A">
        <w:rPr>
          <w:sz w:val="22"/>
        </w:rPr>
        <w:t xml:space="preserve"> below some predefined threshold.</w:t>
      </w:r>
    </w:p>
    <w:p w14:paraId="629E2080" w14:textId="77777777" w:rsidR="007A5635" w:rsidRPr="00577A88" w:rsidRDefault="007A5635" w:rsidP="007A5635">
      <w:pPr>
        <w:pStyle w:val="Style1"/>
        <w:spacing w:line="240" w:lineRule="auto"/>
        <w:ind w:left="360" w:firstLine="0"/>
        <w:contextualSpacing/>
        <w:rPr>
          <w:sz w:val="24"/>
        </w:rPr>
      </w:pPr>
    </w:p>
    <w:p w14:paraId="5FC824C5" w14:textId="77777777" w:rsidR="00BE51AA" w:rsidRPr="00D93122" w:rsidRDefault="00577A88" w:rsidP="00BE51AA">
      <w:pPr>
        <w:pStyle w:val="Style1"/>
        <w:numPr>
          <w:ilvl w:val="0"/>
          <w:numId w:val="10"/>
        </w:numPr>
        <w:spacing w:line="240" w:lineRule="auto"/>
        <w:contextualSpacing/>
        <w:rPr>
          <w:b/>
          <w:sz w:val="22"/>
        </w:rPr>
      </w:pPr>
      <w:r w:rsidRPr="00D93122">
        <w:rPr>
          <w:b/>
          <w:sz w:val="22"/>
        </w:rPr>
        <w:t>Building a predictive Multivariate Normal Continuous-Poisson hierarchical model</w:t>
      </w:r>
    </w:p>
    <w:p w14:paraId="1955110E" w14:textId="4FDC2812" w:rsidR="00675C00" w:rsidRPr="00D93122" w:rsidRDefault="00BE51AA" w:rsidP="00BE51AA">
      <w:pPr>
        <w:pStyle w:val="Style1"/>
        <w:spacing w:line="240" w:lineRule="auto"/>
        <w:ind w:left="360"/>
        <w:contextualSpacing/>
        <w:rPr>
          <w:sz w:val="22"/>
        </w:rPr>
      </w:pPr>
      <w:r w:rsidRPr="00D93122">
        <w:rPr>
          <w:sz w:val="22"/>
        </w:rPr>
        <w:t xml:space="preserve">Here we describe </w:t>
      </w:r>
      <w:r w:rsidR="005A015A" w:rsidRPr="00D93122">
        <w:rPr>
          <w:sz w:val="22"/>
        </w:rPr>
        <w:t xml:space="preserve">conceptually </w:t>
      </w:r>
      <w:r w:rsidRPr="00D93122">
        <w:rPr>
          <w:sz w:val="22"/>
        </w:rPr>
        <w:t xml:space="preserve">how we fit </w:t>
      </w:r>
      <w:r w:rsidR="00673098" w:rsidRPr="00D93122">
        <w:rPr>
          <w:sz w:val="22"/>
        </w:rPr>
        <w:t>a</w:t>
      </w:r>
      <w:r w:rsidRPr="00D93122">
        <w:rPr>
          <w:sz w:val="22"/>
        </w:rPr>
        <w:t xml:space="preserve"> predictive model</w:t>
      </w:r>
      <w:r w:rsidR="00673098" w:rsidRPr="00D93122">
        <w:rPr>
          <w:sz w:val="22"/>
        </w:rPr>
        <w:t xml:space="preserve"> that allows us to predict gene and transcriptional program expression from expression measurements of our selected markers</w:t>
      </w:r>
      <w:r w:rsidRPr="00D93122">
        <w:rPr>
          <w:sz w:val="22"/>
        </w:rPr>
        <w:t>. Readers</w:t>
      </w:r>
      <w:r w:rsidRPr="00D93122">
        <w:rPr>
          <w:b/>
          <w:sz w:val="22"/>
        </w:rPr>
        <w:t xml:space="preserve"> </w:t>
      </w:r>
      <w:r w:rsidRPr="00D93122">
        <w:rPr>
          <w:sz w:val="22"/>
        </w:rPr>
        <w:t>interested in</w:t>
      </w:r>
      <w:r w:rsidR="00A710B6" w:rsidRPr="00D93122">
        <w:rPr>
          <w:sz w:val="22"/>
        </w:rPr>
        <w:t xml:space="preserve"> the</w:t>
      </w:r>
      <w:r w:rsidRPr="00D93122">
        <w:rPr>
          <w:sz w:val="22"/>
        </w:rPr>
        <w:t xml:space="preserve"> full mathematical details</w:t>
      </w:r>
      <w:r w:rsidR="00A710B6" w:rsidRPr="00D93122">
        <w:rPr>
          <w:sz w:val="22"/>
        </w:rPr>
        <w:t xml:space="preserve"> of the Multivariate Normal Continuous-Poisson</w:t>
      </w:r>
      <w:r w:rsidR="004C0886" w:rsidRPr="00D93122">
        <w:rPr>
          <w:sz w:val="22"/>
        </w:rPr>
        <w:t xml:space="preserve"> hierarchical model</w:t>
      </w:r>
      <w:r w:rsidRPr="00D93122">
        <w:rPr>
          <w:sz w:val="22"/>
        </w:rPr>
        <w:t xml:space="preserve"> are referred to the attached “</w:t>
      </w:r>
      <w:proofErr w:type="spellStart"/>
      <w:r w:rsidRPr="00D93122">
        <w:rPr>
          <w:sz w:val="22"/>
        </w:rPr>
        <w:t>Tradict</w:t>
      </w:r>
      <w:proofErr w:type="spellEnd"/>
      <w:r w:rsidRPr="00D93122">
        <w:rPr>
          <w:sz w:val="22"/>
        </w:rPr>
        <w:t xml:space="preserve"> - mathematical details” document.</w:t>
      </w:r>
    </w:p>
    <w:p w14:paraId="390B4692" w14:textId="77777777" w:rsidR="00923E37" w:rsidRPr="00D93122" w:rsidRDefault="00344DEB" w:rsidP="009A635D">
      <w:pPr>
        <w:pStyle w:val="Style1"/>
        <w:spacing w:line="240" w:lineRule="auto"/>
        <w:ind w:left="360"/>
        <w:contextualSpacing/>
        <w:rPr>
          <w:sz w:val="22"/>
        </w:rPr>
      </w:pPr>
      <w:r w:rsidRPr="00D93122">
        <w:rPr>
          <w:sz w:val="22"/>
        </w:rPr>
        <w:t>The Multivariate Normal Continuous Poisson distribution offers us a way of modeling statistically coupled count based or, more generally, non-negative random variables</w:t>
      </w:r>
      <w:r w:rsidR="00923E37" w:rsidRPr="00D93122">
        <w:rPr>
          <w:sz w:val="22"/>
        </w:rPr>
        <w:t>,</w:t>
      </w:r>
      <w:r w:rsidR="0045562B" w:rsidRPr="00D93122">
        <w:rPr>
          <w:sz w:val="22"/>
        </w:rPr>
        <w:t xml:space="preserve"> such as the </w:t>
      </w:r>
      <w:r w:rsidR="00754387" w:rsidRPr="00D93122">
        <w:rPr>
          <w:sz w:val="22"/>
        </w:rPr>
        <w:t xml:space="preserve">TPM or count-based </w:t>
      </w:r>
      <w:r w:rsidR="0045562B" w:rsidRPr="00D93122">
        <w:rPr>
          <w:sz w:val="22"/>
        </w:rPr>
        <w:t>expression values of genes</w:t>
      </w:r>
      <w:r w:rsidR="0040210D" w:rsidRPr="00D93122">
        <w:rPr>
          <w:sz w:val="22"/>
        </w:rPr>
        <w:t xml:space="preserve"> [REF, </w:t>
      </w:r>
      <w:proofErr w:type="spellStart"/>
      <w:r w:rsidR="0040210D" w:rsidRPr="00D93122">
        <w:rPr>
          <w:sz w:val="22"/>
        </w:rPr>
        <w:t>Aitchison</w:t>
      </w:r>
      <w:proofErr w:type="spellEnd"/>
      <w:r w:rsidR="0040210D" w:rsidRPr="00D93122">
        <w:rPr>
          <w:sz w:val="22"/>
        </w:rPr>
        <w:t>, Biswas, and others]</w:t>
      </w:r>
      <w:r w:rsidRPr="00D93122">
        <w:rPr>
          <w:sz w:val="22"/>
        </w:rPr>
        <w:t xml:space="preserve">. </w:t>
      </w:r>
      <w:r w:rsidR="00D2743C" w:rsidRPr="00D93122">
        <w:rPr>
          <w:sz w:val="22"/>
        </w:rPr>
        <w:t>Here it is assumed the TPM expression of each gene in a given sample is a noisy, Poisson realization of some unmeasured latent abundance, the log</w:t>
      </w:r>
      <w:r w:rsidR="0040210D" w:rsidRPr="00D93122">
        <w:rPr>
          <w:sz w:val="22"/>
        </w:rPr>
        <w:t>arithm</w:t>
      </w:r>
      <w:r w:rsidR="00D2743C" w:rsidRPr="00D93122">
        <w:rPr>
          <w:sz w:val="22"/>
        </w:rPr>
        <w:t xml:space="preserve"> of which </w:t>
      </w:r>
      <w:r w:rsidR="0040210D" w:rsidRPr="00D93122">
        <w:rPr>
          <w:sz w:val="22"/>
        </w:rPr>
        <w:t>comes</w:t>
      </w:r>
      <w:r w:rsidR="00FF780B" w:rsidRPr="00D93122">
        <w:rPr>
          <w:sz w:val="22"/>
        </w:rPr>
        <w:t xml:space="preserve"> from</w:t>
      </w:r>
      <w:r w:rsidR="00D2743C" w:rsidRPr="00D93122">
        <w:rPr>
          <w:sz w:val="22"/>
        </w:rPr>
        <w:t xml:space="preserve"> Mu</w:t>
      </w:r>
      <w:r w:rsidR="009A635D" w:rsidRPr="00D93122">
        <w:rPr>
          <w:sz w:val="22"/>
        </w:rPr>
        <w:t xml:space="preserve">ltivariate-Normal distribution over the log-latent abundances </w:t>
      </w:r>
      <w:r w:rsidR="00B46E33" w:rsidRPr="00D93122">
        <w:rPr>
          <w:sz w:val="22"/>
        </w:rPr>
        <w:t xml:space="preserve">of all genes in the </w:t>
      </w:r>
      <w:proofErr w:type="spellStart"/>
      <w:r w:rsidR="00B46E33" w:rsidRPr="00D93122">
        <w:rPr>
          <w:sz w:val="22"/>
        </w:rPr>
        <w:t>transcriptome</w:t>
      </w:r>
      <w:proofErr w:type="spellEnd"/>
      <w:r w:rsidR="00B46E33" w:rsidRPr="00D93122">
        <w:rPr>
          <w:sz w:val="22"/>
        </w:rPr>
        <w:t>.</w:t>
      </w:r>
    </w:p>
    <w:p w14:paraId="590AC746" w14:textId="32B33003" w:rsidR="00C853C8" w:rsidRPr="00D93122" w:rsidRDefault="00923E37" w:rsidP="009A635D">
      <w:pPr>
        <w:pStyle w:val="Style1"/>
        <w:spacing w:line="240" w:lineRule="auto"/>
        <w:ind w:left="360"/>
        <w:contextualSpacing/>
        <w:rPr>
          <w:sz w:val="22"/>
        </w:rPr>
      </w:pPr>
      <w:r w:rsidRPr="00D93122">
        <w:rPr>
          <w:sz w:val="22"/>
        </w:rPr>
        <w:t xml:space="preserve"> G</w:t>
      </w:r>
      <w:r w:rsidR="0019684F" w:rsidRPr="00D93122">
        <w:rPr>
          <w:sz w:val="22"/>
        </w:rPr>
        <w:t>iven</w:t>
      </w:r>
      <w:r w:rsidR="00CE2FD1">
        <w:rPr>
          <w:sz w:val="22"/>
        </w:rPr>
        <w:t xml:space="preserve"> the marginalization properties of the multivariate normal distribution,</w:t>
      </w:r>
      <w:r w:rsidR="0019684F" w:rsidRPr="00D93122">
        <w:rPr>
          <w:sz w:val="22"/>
        </w:rPr>
        <w:t xml:space="preserve"> we are only interested in learning relationships between the selected markers and non-marker genes</w:t>
      </w:r>
      <w:r w:rsidR="00430DBB">
        <w:rPr>
          <w:sz w:val="22"/>
        </w:rPr>
        <w:t xml:space="preserve">. For the purposes of decoding, we </w:t>
      </w:r>
      <w:r w:rsidR="00673098" w:rsidRPr="00D93122">
        <w:rPr>
          <w:sz w:val="22"/>
        </w:rPr>
        <w:t xml:space="preserve">need to estimate </w:t>
      </w:r>
      <w:r w:rsidR="003A53AE" w:rsidRPr="00D93122">
        <w:rPr>
          <w:sz w:val="22"/>
        </w:rPr>
        <w:t xml:space="preserve">1) </w:t>
      </w:r>
      <w:r w:rsidR="00673098" w:rsidRPr="00D93122">
        <w:rPr>
          <w:sz w:val="22"/>
        </w:rPr>
        <w:t xml:space="preserve">the mean vector and </w:t>
      </w:r>
      <w:r w:rsidR="00860966" w:rsidRPr="00D93122">
        <w:rPr>
          <w:sz w:val="22"/>
        </w:rPr>
        <w:t xml:space="preserve">2) </w:t>
      </w:r>
      <w:r w:rsidR="00673098" w:rsidRPr="00D93122">
        <w:rPr>
          <w:sz w:val="22"/>
        </w:rPr>
        <w:t xml:space="preserve">covariance matrix over the log-latent </w:t>
      </w:r>
      <w:r w:rsidRPr="00D93122">
        <w:rPr>
          <w:sz w:val="22"/>
        </w:rPr>
        <w:t>TPMs</w:t>
      </w:r>
      <w:r w:rsidR="00860966" w:rsidRPr="00D93122">
        <w:rPr>
          <w:sz w:val="22"/>
        </w:rPr>
        <w:t xml:space="preserve"> of the markers</w:t>
      </w:r>
      <w:r w:rsidRPr="00D93122">
        <w:rPr>
          <w:sz w:val="22"/>
        </w:rPr>
        <w:t xml:space="preserve">, </w:t>
      </w:r>
      <w:r w:rsidR="00860966" w:rsidRPr="00D93122">
        <w:rPr>
          <w:sz w:val="22"/>
        </w:rPr>
        <w:t xml:space="preserve">3) </w:t>
      </w:r>
      <w:r w:rsidRPr="00D93122">
        <w:rPr>
          <w:sz w:val="22"/>
        </w:rPr>
        <w:t xml:space="preserve">the mean vector of the log-latent </w:t>
      </w:r>
      <w:r w:rsidR="00860966" w:rsidRPr="00D93122">
        <w:rPr>
          <w:sz w:val="22"/>
        </w:rPr>
        <w:t>TPMs of the non-markers, and 4)</w:t>
      </w:r>
      <w:r w:rsidRPr="00D93122">
        <w:rPr>
          <w:sz w:val="22"/>
        </w:rPr>
        <w:t xml:space="preserve"> cross-covariance matrix between the log-latent TPMs of markers and non-markers. </w:t>
      </w:r>
    </w:p>
    <w:p w14:paraId="78CD3F69" w14:textId="7AA58659" w:rsidR="00FE52A9" w:rsidRDefault="00FE52A9" w:rsidP="009A635D">
      <w:pPr>
        <w:pStyle w:val="Style1"/>
        <w:spacing w:line="240" w:lineRule="auto"/>
        <w:ind w:left="360"/>
        <w:contextualSpacing/>
        <w:rPr>
          <w:sz w:val="22"/>
        </w:rPr>
      </w:pPr>
      <w:r w:rsidRPr="00D93122">
        <w:rPr>
          <w:sz w:val="22"/>
        </w:rPr>
        <w:t xml:space="preserve">Note that </w:t>
      </w:r>
      <w:r w:rsidR="007A64F5" w:rsidRPr="00D93122">
        <w:rPr>
          <w:sz w:val="22"/>
        </w:rPr>
        <w:t xml:space="preserve">before we </w:t>
      </w:r>
      <w:r w:rsidR="004A1FB9" w:rsidRPr="00D93122">
        <w:rPr>
          <w:sz w:val="22"/>
        </w:rPr>
        <w:t>can estimate these parameters, we must learn t</w:t>
      </w:r>
      <w:r w:rsidR="007A64F5" w:rsidRPr="00D93122">
        <w:rPr>
          <w:sz w:val="22"/>
        </w:rPr>
        <w:t>he</w:t>
      </w:r>
      <w:r w:rsidRPr="00D93122">
        <w:rPr>
          <w:sz w:val="22"/>
        </w:rPr>
        <w:t xml:space="preserve"> log-latent TPMs</w:t>
      </w:r>
      <w:r w:rsidR="00B74080" w:rsidRPr="00D93122">
        <w:rPr>
          <w:sz w:val="22"/>
        </w:rPr>
        <w:t xml:space="preserve"> of all genes</w:t>
      </w:r>
      <w:r w:rsidRPr="00D93122">
        <w:rPr>
          <w:sz w:val="22"/>
        </w:rPr>
        <w:t xml:space="preserve">. </w:t>
      </w:r>
      <w:r w:rsidR="00030A48" w:rsidRPr="00D93122">
        <w:rPr>
          <w:sz w:val="22"/>
        </w:rPr>
        <w:t>To do this</w:t>
      </w:r>
      <w:r w:rsidR="00727123" w:rsidRPr="00D93122">
        <w:rPr>
          <w:sz w:val="22"/>
        </w:rPr>
        <w:t xml:space="preserve"> we</w:t>
      </w:r>
      <w:r w:rsidR="00AA1061">
        <w:rPr>
          <w:sz w:val="22"/>
        </w:rPr>
        <w:t xml:space="preserve"> first</w:t>
      </w:r>
      <w:r w:rsidR="00727123" w:rsidRPr="00D93122">
        <w:rPr>
          <w:sz w:val="22"/>
        </w:rPr>
        <w:t xml:space="preserve"> lag-</w:t>
      </w:r>
      <w:r w:rsidR="00030A48" w:rsidRPr="00D93122">
        <w:rPr>
          <w:sz w:val="22"/>
        </w:rPr>
        <w:t xml:space="preserve">transform </w:t>
      </w:r>
      <w:r w:rsidR="00727123" w:rsidRPr="00D93122">
        <w:rPr>
          <w:sz w:val="22"/>
        </w:rPr>
        <w:t xml:space="preserve">the entire </w:t>
      </w:r>
      <w:r w:rsidR="002B624F" w:rsidRPr="00D93122">
        <w:rPr>
          <w:sz w:val="22"/>
        </w:rPr>
        <w:t xml:space="preserve">training dataset. We </w:t>
      </w:r>
      <w:r w:rsidR="00AA1061">
        <w:rPr>
          <w:sz w:val="22"/>
        </w:rPr>
        <w:t>then</w:t>
      </w:r>
      <w:r w:rsidR="002B624F" w:rsidRPr="00D93122">
        <w:rPr>
          <w:sz w:val="22"/>
        </w:rPr>
        <w:t xml:space="preserve"> learn the marker log-latent TPMs, and their associated mean vector and covariance matrix using an iterative conditional modes algorithm. Specifically, we initialize our estimate of the marker log-latent TPMs to be the lag-transformed expression values, which by virtue of the lag’s probabilistic assumptions are also derived from a Normal Continuous-Poisson hierarchical model.</w:t>
      </w:r>
      <w:r w:rsidR="005B38CF" w:rsidRPr="00D93122">
        <w:rPr>
          <w:sz w:val="22"/>
        </w:rPr>
        <w:t xml:space="preserve"> We then iterate 1) esti</w:t>
      </w:r>
      <w:r w:rsidR="00C853C8" w:rsidRPr="00D93122">
        <w:rPr>
          <w:sz w:val="22"/>
        </w:rPr>
        <w:t xml:space="preserve">mation of the mean vector and the </w:t>
      </w:r>
      <w:r w:rsidR="005B38CF" w:rsidRPr="00D93122">
        <w:rPr>
          <w:sz w:val="22"/>
        </w:rPr>
        <w:t xml:space="preserve">covariance matrix given the current estimate of log-latent TPMs, and 2) maximum </w:t>
      </w:r>
      <w:r w:rsidR="005B38CF" w:rsidRPr="00D93122">
        <w:rPr>
          <w:i/>
          <w:sz w:val="22"/>
        </w:rPr>
        <w:t>a posteriori</w:t>
      </w:r>
      <w:r w:rsidR="005B38CF" w:rsidRPr="00D93122">
        <w:rPr>
          <w:sz w:val="22"/>
        </w:rPr>
        <w:t xml:space="preserve"> estimation of log-latent TPMs given the estimated mean vector, covariance matrix, and the measured TPM values</w:t>
      </w:r>
      <w:r w:rsidR="004C40D9">
        <w:rPr>
          <w:sz w:val="22"/>
        </w:rPr>
        <w:t xml:space="preserve"> of the selected markers</w:t>
      </w:r>
      <w:r w:rsidR="005B38CF" w:rsidRPr="00D93122">
        <w:rPr>
          <w:sz w:val="22"/>
        </w:rPr>
        <w:t>.</w:t>
      </w:r>
      <w:r w:rsidR="00C853C8" w:rsidRPr="00D93122">
        <w:rPr>
          <w:sz w:val="22"/>
        </w:rPr>
        <w:t xml:space="preserve"> A small </w:t>
      </w:r>
      <w:r w:rsidR="00C853C8" w:rsidRPr="00AC40F3">
        <w:rPr>
          <w:sz w:val="22"/>
        </w:rPr>
        <w:t>regularization</w:t>
      </w:r>
      <w:r w:rsidR="00C853C8" w:rsidRPr="00D93122">
        <w:rPr>
          <w:sz w:val="22"/>
        </w:rPr>
        <w:t xml:space="preserve"> is added during estimation of the covariance matrix in order to ensure stability and to avoid infinite-data-likelihood singularities that arise from singular covariance matrices. This is most </w:t>
      </w:r>
      <w:r w:rsidR="00E20301" w:rsidRPr="00D93122">
        <w:rPr>
          <w:sz w:val="22"/>
        </w:rPr>
        <w:t>often</w:t>
      </w:r>
      <w:r w:rsidR="00C853C8" w:rsidRPr="00D93122">
        <w:rPr>
          <w:sz w:val="22"/>
        </w:rPr>
        <w:t xml:space="preserve"> happen</w:t>
      </w:r>
      <w:r w:rsidR="00E20301" w:rsidRPr="00D93122">
        <w:rPr>
          <w:sz w:val="22"/>
        </w:rPr>
        <w:t>s</w:t>
      </w:r>
      <w:r w:rsidR="00C853C8" w:rsidRPr="00D93122">
        <w:rPr>
          <w:sz w:val="22"/>
        </w:rPr>
        <w:t xml:space="preserve"> when a gene’s TPM abundance is mostly zero</w:t>
      </w:r>
      <w:r w:rsidR="00E20301" w:rsidRPr="00D93122">
        <w:rPr>
          <w:sz w:val="22"/>
        </w:rPr>
        <w:t xml:space="preserve"> (i.e. there is little data for the gene)</w:t>
      </w:r>
      <w:r w:rsidR="00C853C8" w:rsidRPr="00D93122">
        <w:rPr>
          <w:sz w:val="22"/>
        </w:rPr>
        <w:t xml:space="preserve">, giving the multivariate normal layer an opportunity </w:t>
      </w:r>
      <w:r w:rsidR="00E20301" w:rsidRPr="00D93122">
        <w:rPr>
          <w:sz w:val="22"/>
        </w:rPr>
        <w:t xml:space="preserve">to </w:t>
      </w:r>
      <w:r w:rsidR="00153D2C" w:rsidRPr="00D93122">
        <w:rPr>
          <w:sz w:val="22"/>
        </w:rPr>
        <w:t xml:space="preserve">tightly </w:t>
      </w:r>
      <w:r w:rsidR="00E20301" w:rsidRPr="00D93122">
        <w:rPr>
          <w:sz w:val="22"/>
        </w:rPr>
        <w:t xml:space="preserve">couple </w:t>
      </w:r>
      <w:r w:rsidR="006305AE">
        <w:rPr>
          <w:sz w:val="22"/>
        </w:rPr>
        <w:t>this gene’s</w:t>
      </w:r>
      <w:r w:rsidR="00E20301" w:rsidRPr="00D93122">
        <w:rPr>
          <w:sz w:val="22"/>
        </w:rPr>
        <w:t xml:space="preserve"> latent ab</w:t>
      </w:r>
      <w:r w:rsidR="00733A4C">
        <w:rPr>
          <w:sz w:val="22"/>
        </w:rPr>
        <w:t xml:space="preserve">undance to that of another gene, thereby producing </w:t>
      </w:r>
      <w:r w:rsidR="00A34D9E" w:rsidRPr="00D93122">
        <w:rPr>
          <w:sz w:val="22"/>
        </w:rPr>
        <w:t>a nearly singular covariance matrix.</w:t>
      </w:r>
    </w:p>
    <w:p w14:paraId="6617C5C4" w14:textId="77777777" w:rsidR="005052E9" w:rsidRDefault="00CE2FD1" w:rsidP="009A635D">
      <w:pPr>
        <w:pStyle w:val="Style1"/>
        <w:spacing w:line="240" w:lineRule="auto"/>
        <w:ind w:left="360"/>
        <w:contextualSpacing/>
        <w:rPr>
          <w:sz w:val="22"/>
        </w:rPr>
      </w:pPr>
      <w:r>
        <w:rPr>
          <w:sz w:val="22"/>
        </w:rPr>
        <w:t>Learning the mean vector</w:t>
      </w:r>
      <w:r w:rsidR="005E7EF6">
        <w:rPr>
          <w:sz w:val="22"/>
        </w:rPr>
        <w:t xml:space="preserve"> of the non-marker genes and the </w:t>
      </w:r>
      <w:r w:rsidR="00430DBB">
        <w:rPr>
          <w:sz w:val="22"/>
        </w:rPr>
        <w:t xml:space="preserve">marker x non-marker </w:t>
      </w:r>
      <w:r w:rsidR="00455175">
        <w:rPr>
          <w:sz w:val="22"/>
        </w:rPr>
        <w:t>cross-</w:t>
      </w:r>
      <w:r w:rsidR="00430DBB">
        <w:rPr>
          <w:sz w:val="22"/>
        </w:rPr>
        <w:t xml:space="preserve">covariance matrix is considerably easier. </w:t>
      </w:r>
      <w:r w:rsidR="00455175">
        <w:rPr>
          <w:sz w:val="22"/>
        </w:rPr>
        <w:t xml:space="preserve">For the mean vector, we simply take the sample mean of the lag-transformed TPM values. For the cross-covariance matrix </w:t>
      </w:r>
      <w:r w:rsidR="00F750EC">
        <w:rPr>
          <w:sz w:val="22"/>
        </w:rPr>
        <w:t>we compute sample cross-covariance</w:t>
      </w:r>
      <w:r w:rsidR="00990922">
        <w:rPr>
          <w:sz w:val="22"/>
        </w:rPr>
        <w:t xml:space="preserve"> between the learned log-latent marker TPMs and the log-latent non-marker TPMs obtained from the lag transformation</w:t>
      </w:r>
      <w:r w:rsidR="008818BD">
        <w:rPr>
          <w:sz w:val="22"/>
        </w:rPr>
        <w:t>.</w:t>
      </w:r>
      <w:r w:rsidR="00705B2C">
        <w:rPr>
          <w:sz w:val="22"/>
        </w:rPr>
        <w:t xml:space="preserve"> We that these simple sample estimates are highly stable given that our training collection includes thousands to tens of thousands of </w:t>
      </w:r>
      <w:proofErr w:type="spellStart"/>
      <w:r w:rsidR="00705B2C">
        <w:rPr>
          <w:sz w:val="22"/>
        </w:rPr>
        <w:t>transcriptomes</w:t>
      </w:r>
      <w:proofErr w:type="spellEnd"/>
      <w:r w:rsidR="00705B2C">
        <w:rPr>
          <w:sz w:val="22"/>
        </w:rPr>
        <w:t>.</w:t>
      </w:r>
    </w:p>
    <w:p w14:paraId="3EB712C7" w14:textId="7DAA7D84" w:rsidR="00CE2FD1" w:rsidRDefault="005052E9" w:rsidP="009A635D">
      <w:pPr>
        <w:pStyle w:val="Style1"/>
        <w:spacing w:line="240" w:lineRule="auto"/>
        <w:ind w:left="360"/>
        <w:contextualSpacing/>
        <w:rPr>
          <w:sz w:val="22"/>
        </w:rPr>
      </w:pPr>
      <w:r>
        <w:rPr>
          <w:sz w:val="22"/>
        </w:rPr>
        <w:t xml:space="preserve">Using similar ideas, we can also encode the expression of the transcriptional programs. </w:t>
      </w:r>
      <w:r w:rsidR="00705B2C">
        <w:rPr>
          <w:sz w:val="22"/>
        </w:rPr>
        <w:t xml:space="preserve"> </w:t>
      </w:r>
      <w:r>
        <w:rPr>
          <w:sz w:val="22"/>
        </w:rPr>
        <w:t xml:space="preserve">Recall that a principal component output by PCA is a linear combination of input features. Thus by central limit theorem, the expression of these transcriptional programs should behave like normal random variables. Indeed, after regressing out the first 3 principal components computed on the entire training samples x genes expression matrix from the expression values of the transcriptional programs (in order to remove the large effects of tissue and developmental stage), </w:t>
      </w:r>
      <w:r w:rsidR="00A04082">
        <w:rPr>
          <w:sz w:val="22"/>
        </w:rPr>
        <w:t xml:space="preserve">85-90% of the transcriptional programs had expression that was consistent with a normal distribution (average p-value = 0.43, Pearson’s chi-squared test). </w:t>
      </w:r>
      <w:r w:rsidR="00D50BC2">
        <w:rPr>
          <w:sz w:val="22"/>
        </w:rPr>
        <w:t>Consequently, as was done for non-marker genes and as will be needed for decoding, we compute the mean vector of the transcriptional programs and the markers x transcriptional programs cross covariance matrix. These are given by the standard sample mean of the training transcriptional program expression values and sample cross-covariance between the learned log-latent TPMs of the markers and the transcriptional program expression values.</w:t>
      </w:r>
    </w:p>
    <w:p w14:paraId="09502BCB" w14:textId="77777777" w:rsidR="00F750EC" w:rsidRDefault="00F750EC" w:rsidP="009A635D">
      <w:pPr>
        <w:pStyle w:val="Style1"/>
        <w:spacing w:line="240" w:lineRule="auto"/>
        <w:ind w:left="360"/>
        <w:contextualSpacing/>
        <w:rPr>
          <w:sz w:val="22"/>
        </w:rPr>
      </w:pPr>
    </w:p>
    <w:p w14:paraId="14E74342" w14:textId="39F0FBE9" w:rsidR="00FB3C62" w:rsidRDefault="00BC52AE" w:rsidP="00010511">
      <w:pPr>
        <w:pStyle w:val="Style1"/>
        <w:spacing w:line="240" w:lineRule="auto"/>
        <w:contextualSpacing/>
        <w:rPr>
          <w:sz w:val="22"/>
        </w:rPr>
      </w:pPr>
      <w:r>
        <w:rPr>
          <w:sz w:val="22"/>
        </w:rPr>
        <w:t xml:space="preserve">To perform decoding, we must translate </w:t>
      </w:r>
      <w:r w:rsidR="006F6516">
        <w:rPr>
          <w:sz w:val="22"/>
        </w:rPr>
        <w:t xml:space="preserve">newly obtained </w:t>
      </w:r>
      <w:r w:rsidR="003C67EB">
        <w:rPr>
          <w:sz w:val="22"/>
        </w:rPr>
        <w:t xml:space="preserve">TPM measurements of our marker genes into expression predictions for transcriptional programs and the remaining non-marker genes. </w:t>
      </w:r>
      <w:r w:rsidR="006F6516">
        <w:rPr>
          <w:sz w:val="22"/>
        </w:rPr>
        <w:t xml:space="preserve">To do this, we first learn the </w:t>
      </w:r>
      <w:r w:rsidR="00FA6E69">
        <w:rPr>
          <w:sz w:val="22"/>
        </w:rPr>
        <w:t>latent abundances of our markers using the measured TPMs, and the 1 x markers mean vector and markers x markers covariance matrix previously learned from the training data.</w:t>
      </w:r>
      <w:r w:rsidR="00C80097">
        <w:rPr>
          <w:sz w:val="22"/>
        </w:rPr>
        <w:t xml:space="preserve"> This is done using maximum </w:t>
      </w:r>
      <w:r w:rsidR="00C80097">
        <w:rPr>
          <w:i/>
          <w:sz w:val="22"/>
        </w:rPr>
        <w:t>a posteriori</w:t>
      </w:r>
      <w:r w:rsidR="00C80097">
        <w:rPr>
          <w:sz w:val="22"/>
        </w:rPr>
        <w:t xml:space="preserve"> estimation. Using these latent abundances and the previously estimated mean vectors and cross-covariance matrices, we can use standard Gaussian conditioning to estimate the log-latent expression of the transcriptional programs and the remaining genes in the </w:t>
      </w:r>
      <w:proofErr w:type="spellStart"/>
      <w:r w:rsidR="00C80097">
        <w:rPr>
          <w:sz w:val="22"/>
        </w:rPr>
        <w:t>transcriptome</w:t>
      </w:r>
      <w:proofErr w:type="spellEnd"/>
      <w:r w:rsidR="00C80097">
        <w:rPr>
          <w:sz w:val="22"/>
        </w:rPr>
        <w:t>.</w:t>
      </w:r>
      <w:r w:rsidR="00207F07">
        <w:rPr>
          <w:sz w:val="22"/>
        </w:rPr>
        <w:t xml:space="preserve"> </w:t>
      </w:r>
    </w:p>
    <w:p w14:paraId="57EDCD81" w14:textId="77777777" w:rsidR="004E46E5" w:rsidRDefault="004E46E5" w:rsidP="00010511">
      <w:pPr>
        <w:pStyle w:val="Style1"/>
        <w:spacing w:line="240" w:lineRule="auto"/>
        <w:contextualSpacing/>
        <w:rPr>
          <w:sz w:val="22"/>
        </w:rPr>
      </w:pPr>
    </w:p>
    <w:p w14:paraId="4F14478F" w14:textId="7521E612" w:rsidR="004E46E5" w:rsidRDefault="004E46E5" w:rsidP="004E46E5">
      <w:pPr>
        <w:pStyle w:val="Style1"/>
        <w:spacing w:after="0" w:line="240" w:lineRule="auto"/>
        <w:ind w:firstLine="0"/>
        <w:contextualSpacing/>
        <w:rPr>
          <w:b/>
          <w:sz w:val="22"/>
        </w:rPr>
      </w:pPr>
      <w:r>
        <w:rPr>
          <w:b/>
          <w:sz w:val="22"/>
        </w:rPr>
        <w:t>References</w:t>
      </w:r>
    </w:p>
    <w:p w14:paraId="18C2A616" w14:textId="5A8BA0FA" w:rsidR="00367A12" w:rsidRPr="00367A12" w:rsidRDefault="004E46E5">
      <w:pPr>
        <w:pStyle w:val="NormalWeb"/>
        <w:ind w:left="640" w:hanging="640"/>
        <w:divId w:val="367143456"/>
        <w:rPr>
          <w:rFonts w:ascii="Arial" w:hAnsi="Arial" w:cs="Arial"/>
          <w:noProof/>
          <w:sz w:val="22"/>
        </w:rPr>
      </w:pPr>
      <w:r>
        <w:rPr>
          <w:b/>
          <w:sz w:val="22"/>
        </w:rPr>
        <w:fldChar w:fldCharType="begin" w:fldLock="1"/>
      </w:r>
      <w:r>
        <w:rPr>
          <w:b/>
          <w:sz w:val="22"/>
        </w:rPr>
        <w:instrText xml:space="preserve">ADDIN Mendeley Bibliography CSL_BIBLIOGRAPHY </w:instrText>
      </w:r>
      <w:r>
        <w:rPr>
          <w:b/>
          <w:sz w:val="22"/>
        </w:rPr>
        <w:fldChar w:fldCharType="separate"/>
      </w:r>
      <w:r w:rsidR="00367A12" w:rsidRPr="00367A12">
        <w:rPr>
          <w:rFonts w:ascii="Arial" w:hAnsi="Arial" w:cs="Arial"/>
          <w:noProof/>
          <w:sz w:val="22"/>
        </w:rPr>
        <w:t>1.</w:t>
      </w:r>
      <w:r w:rsidR="00367A12" w:rsidRPr="00367A12">
        <w:rPr>
          <w:rFonts w:ascii="Arial" w:hAnsi="Arial" w:cs="Arial"/>
          <w:noProof/>
          <w:sz w:val="22"/>
        </w:rPr>
        <w:tab/>
        <w:t xml:space="preserve">Crowley, J. J. </w:t>
      </w:r>
      <w:r w:rsidR="00367A12" w:rsidRPr="00367A12">
        <w:rPr>
          <w:rFonts w:ascii="Arial" w:hAnsi="Arial" w:cs="Arial"/>
          <w:i/>
          <w:iCs/>
          <w:noProof/>
          <w:sz w:val="22"/>
        </w:rPr>
        <w:t>et al.</w:t>
      </w:r>
      <w:r w:rsidR="00367A12" w:rsidRPr="00367A12">
        <w:rPr>
          <w:rFonts w:ascii="Arial" w:hAnsi="Arial" w:cs="Arial"/>
          <w:noProof/>
          <w:sz w:val="22"/>
        </w:rPr>
        <w:t xml:space="preserve"> Analyses of allele-specific gene expression in highly divergent mouse crosses identifies pervasive allelic imbalance. </w:t>
      </w:r>
      <w:r w:rsidR="00367A12" w:rsidRPr="00367A12">
        <w:rPr>
          <w:rFonts w:ascii="Arial" w:hAnsi="Arial" w:cs="Arial"/>
          <w:i/>
          <w:iCs/>
          <w:noProof/>
          <w:sz w:val="22"/>
        </w:rPr>
        <w:t>Nat. Genet.</w:t>
      </w:r>
      <w:r w:rsidR="00367A12" w:rsidRPr="00367A12">
        <w:rPr>
          <w:rFonts w:ascii="Arial" w:hAnsi="Arial" w:cs="Arial"/>
          <w:noProof/>
          <w:sz w:val="22"/>
        </w:rPr>
        <w:t xml:space="preserve"> </w:t>
      </w:r>
      <w:r w:rsidR="00367A12" w:rsidRPr="00367A12">
        <w:rPr>
          <w:rFonts w:ascii="Arial" w:hAnsi="Arial" w:cs="Arial"/>
          <w:b/>
          <w:bCs/>
          <w:noProof/>
          <w:sz w:val="22"/>
        </w:rPr>
        <w:t>47,</w:t>
      </w:r>
      <w:r w:rsidR="00367A12" w:rsidRPr="00367A12">
        <w:rPr>
          <w:rFonts w:ascii="Arial" w:hAnsi="Arial" w:cs="Arial"/>
          <w:noProof/>
          <w:sz w:val="22"/>
        </w:rPr>
        <w:t xml:space="preserve"> (2015).</w:t>
      </w:r>
    </w:p>
    <w:p w14:paraId="7E6A46DF" w14:textId="77777777" w:rsidR="00367A12" w:rsidRPr="00367A12" w:rsidRDefault="00367A12">
      <w:pPr>
        <w:pStyle w:val="NormalWeb"/>
        <w:ind w:left="640" w:hanging="640"/>
        <w:divId w:val="367143456"/>
        <w:rPr>
          <w:rFonts w:ascii="Arial" w:hAnsi="Arial" w:cs="Arial"/>
          <w:noProof/>
          <w:sz w:val="22"/>
        </w:rPr>
      </w:pPr>
      <w:r w:rsidRPr="00367A12">
        <w:rPr>
          <w:rFonts w:ascii="Arial" w:hAnsi="Arial" w:cs="Arial"/>
          <w:noProof/>
          <w:sz w:val="22"/>
        </w:rPr>
        <w:t>2.</w:t>
      </w:r>
      <w:r w:rsidRPr="00367A12">
        <w:rPr>
          <w:rFonts w:ascii="Arial" w:hAnsi="Arial" w:cs="Arial"/>
          <w:noProof/>
          <w:sz w:val="22"/>
        </w:rPr>
        <w:tab/>
        <w:t xml:space="preserve">Patro, R., Mount, S. M. &amp; Kingsford, C. Sailfish enables alignment-free isoform quantification from RNA-seq reads using lightweight algorithms. </w:t>
      </w:r>
      <w:r w:rsidRPr="00367A12">
        <w:rPr>
          <w:rFonts w:ascii="Arial" w:hAnsi="Arial" w:cs="Arial"/>
          <w:i/>
          <w:iCs/>
          <w:noProof/>
          <w:sz w:val="22"/>
        </w:rPr>
        <w:t>Nat. Biotechnol.</w:t>
      </w:r>
      <w:r w:rsidRPr="00367A12">
        <w:rPr>
          <w:rFonts w:ascii="Arial" w:hAnsi="Arial" w:cs="Arial"/>
          <w:noProof/>
          <w:sz w:val="22"/>
        </w:rPr>
        <w:t xml:space="preserve"> </w:t>
      </w:r>
      <w:r w:rsidRPr="00367A12">
        <w:rPr>
          <w:rFonts w:ascii="Arial" w:hAnsi="Arial" w:cs="Arial"/>
          <w:b/>
          <w:bCs/>
          <w:noProof/>
          <w:sz w:val="22"/>
        </w:rPr>
        <w:t>32,</w:t>
      </w:r>
      <w:r w:rsidRPr="00367A12">
        <w:rPr>
          <w:rFonts w:ascii="Arial" w:hAnsi="Arial" w:cs="Arial"/>
          <w:noProof/>
          <w:sz w:val="22"/>
        </w:rPr>
        <w:t xml:space="preserve"> 462–4 (2014).</w:t>
      </w:r>
    </w:p>
    <w:p w14:paraId="4E2DD1A5" w14:textId="77777777" w:rsidR="00367A12" w:rsidRPr="00367A12" w:rsidRDefault="00367A12">
      <w:pPr>
        <w:pStyle w:val="NormalWeb"/>
        <w:ind w:left="640" w:hanging="640"/>
        <w:divId w:val="367143456"/>
        <w:rPr>
          <w:rFonts w:ascii="Arial" w:hAnsi="Arial" w:cs="Arial"/>
          <w:noProof/>
          <w:sz w:val="22"/>
        </w:rPr>
      </w:pPr>
      <w:r w:rsidRPr="00367A12">
        <w:rPr>
          <w:rFonts w:ascii="Arial" w:hAnsi="Arial" w:cs="Arial"/>
          <w:noProof/>
          <w:sz w:val="22"/>
        </w:rPr>
        <w:t>3.</w:t>
      </w:r>
      <w:r w:rsidRPr="00367A12">
        <w:rPr>
          <w:rFonts w:ascii="Arial" w:hAnsi="Arial" w:cs="Arial"/>
          <w:noProof/>
          <w:sz w:val="22"/>
        </w:rPr>
        <w:tab/>
        <w:t xml:space="preserve">Biswas, S. The latent logarithm. </w:t>
      </w:r>
      <w:r w:rsidRPr="00367A12">
        <w:rPr>
          <w:rFonts w:ascii="Arial" w:hAnsi="Arial" w:cs="Arial"/>
          <w:i/>
          <w:iCs/>
          <w:noProof/>
          <w:sz w:val="22"/>
        </w:rPr>
        <w:t>arXiv</w:t>
      </w:r>
      <w:r w:rsidRPr="00367A12">
        <w:rPr>
          <w:rFonts w:ascii="Arial" w:hAnsi="Arial" w:cs="Arial"/>
          <w:noProof/>
          <w:sz w:val="22"/>
        </w:rPr>
        <w:t xml:space="preserve"> 1–11 (2016).</w:t>
      </w:r>
    </w:p>
    <w:p w14:paraId="4ED091DD" w14:textId="77777777" w:rsidR="00367A12" w:rsidRPr="00367A12" w:rsidRDefault="00367A12">
      <w:pPr>
        <w:pStyle w:val="NormalWeb"/>
        <w:ind w:left="640" w:hanging="640"/>
        <w:divId w:val="367143456"/>
        <w:rPr>
          <w:rFonts w:ascii="Arial" w:hAnsi="Arial" w:cs="Arial"/>
          <w:noProof/>
          <w:sz w:val="22"/>
        </w:rPr>
      </w:pPr>
      <w:r w:rsidRPr="00367A12">
        <w:rPr>
          <w:rFonts w:ascii="Arial" w:hAnsi="Arial" w:cs="Arial"/>
          <w:noProof/>
          <w:sz w:val="22"/>
        </w:rPr>
        <w:t>4.</w:t>
      </w:r>
      <w:r w:rsidRPr="00367A12">
        <w:rPr>
          <w:rFonts w:ascii="Arial" w:hAnsi="Arial" w:cs="Arial"/>
          <w:noProof/>
          <w:sz w:val="22"/>
        </w:rPr>
        <w:tab/>
        <w:t xml:space="preserve">Tropp, J. a &amp; Gilbert, A. C. Signal Recovery From Random Measurements Via Orthogonal Matching Pursuit. </w:t>
      </w:r>
      <w:r w:rsidRPr="00367A12">
        <w:rPr>
          <w:rFonts w:ascii="Arial" w:hAnsi="Arial" w:cs="Arial"/>
          <w:b/>
          <w:bCs/>
          <w:noProof/>
          <w:sz w:val="22"/>
        </w:rPr>
        <w:t>53,</w:t>
      </w:r>
      <w:r w:rsidRPr="00367A12">
        <w:rPr>
          <w:rFonts w:ascii="Arial" w:hAnsi="Arial" w:cs="Arial"/>
          <w:noProof/>
          <w:sz w:val="22"/>
        </w:rPr>
        <w:t xml:space="preserve"> 4655–4666 (2007).</w:t>
      </w:r>
    </w:p>
    <w:p w14:paraId="3278ACD8" w14:textId="77777777" w:rsidR="00367A12" w:rsidRPr="00367A12" w:rsidRDefault="00367A12">
      <w:pPr>
        <w:pStyle w:val="NormalWeb"/>
        <w:ind w:left="640" w:hanging="640"/>
        <w:divId w:val="367143456"/>
        <w:rPr>
          <w:rFonts w:ascii="Arial" w:hAnsi="Arial" w:cs="Arial"/>
          <w:noProof/>
          <w:sz w:val="22"/>
        </w:rPr>
      </w:pPr>
      <w:r w:rsidRPr="00367A12">
        <w:rPr>
          <w:rFonts w:ascii="Arial" w:hAnsi="Arial" w:cs="Arial"/>
          <w:noProof/>
          <w:sz w:val="22"/>
        </w:rPr>
        <w:t>5.</w:t>
      </w:r>
      <w:r w:rsidRPr="00367A12">
        <w:rPr>
          <w:rFonts w:ascii="Arial" w:hAnsi="Arial" w:cs="Arial"/>
          <w:noProof/>
          <w:sz w:val="22"/>
        </w:rPr>
        <w:tab/>
        <w:t xml:space="preserve">Tropp, J. a., Gilbert, A. C. &amp; Strauss, M. J. Algorithms for simultaneous sparse approximation. Part I: Greedy pursuit. </w:t>
      </w:r>
      <w:r w:rsidRPr="00367A12">
        <w:rPr>
          <w:rFonts w:ascii="Arial" w:hAnsi="Arial" w:cs="Arial"/>
          <w:i/>
          <w:iCs/>
          <w:noProof/>
          <w:sz w:val="22"/>
        </w:rPr>
        <w:t>Signal Processing</w:t>
      </w:r>
      <w:r w:rsidRPr="00367A12">
        <w:rPr>
          <w:rFonts w:ascii="Arial" w:hAnsi="Arial" w:cs="Arial"/>
          <w:noProof/>
          <w:sz w:val="22"/>
        </w:rPr>
        <w:t xml:space="preserve"> </w:t>
      </w:r>
      <w:r w:rsidRPr="00367A12">
        <w:rPr>
          <w:rFonts w:ascii="Arial" w:hAnsi="Arial" w:cs="Arial"/>
          <w:b/>
          <w:bCs/>
          <w:noProof/>
          <w:sz w:val="22"/>
        </w:rPr>
        <w:t>86,</w:t>
      </w:r>
      <w:r w:rsidRPr="00367A12">
        <w:rPr>
          <w:rFonts w:ascii="Arial" w:hAnsi="Arial" w:cs="Arial"/>
          <w:noProof/>
          <w:sz w:val="22"/>
        </w:rPr>
        <w:t xml:space="preserve"> 572–588 (2006). </w:t>
      </w:r>
    </w:p>
    <w:p w14:paraId="36FBCE30" w14:textId="35953E2D" w:rsidR="004E46E5" w:rsidRPr="004E46E5" w:rsidRDefault="004E46E5" w:rsidP="00367A12">
      <w:pPr>
        <w:pStyle w:val="NormalWeb"/>
        <w:spacing w:before="0" w:beforeAutospacing="0" w:after="0" w:afterAutospacing="0"/>
        <w:ind w:left="640" w:hanging="640"/>
        <w:divId w:val="1208840308"/>
        <w:rPr>
          <w:b/>
          <w:sz w:val="22"/>
        </w:rPr>
      </w:pPr>
      <w:r>
        <w:rPr>
          <w:b/>
          <w:sz w:val="22"/>
        </w:rPr>
        <w:fldChar w:fldCharType="end"/>
      </w:r>
    </w:p>
    <w:sectPr w:rsidR="004E46E5" w:rsidRPr="004E46E5" w:rsidSect="001250C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772F6"/>
    <w:multiLevelType w:val="hybridMultilevel"/>
    <w:tmpl w:val="0E72AEE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365D4AFD"/>
    <w:multiLevelType w:val="hybridMultilevel"/>
    <w:tmpl w:val="01E65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8C07F9"/>
    <w:multiLevelType w:val="hybridMultilevel"/>
    <w:tmpl w:val="3BD0E338"/>
    <w:lvl w:ilvl="0" w:tplc="7CF2E416">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0B171A"/>
    <w:multiLevelType w:val="hybridMultilevel"/>
    <w:tmpl w:val="03566D32"/>
    <w:lvl w:ilvl="0" w:tplc="0409000F">
      <w:start w:val="1"/>
      <w:numFmt w:val="decimal"/>
      <w:lvlText w:val="%1."/>
      <w:lvlJc w:val="left"/>
      <w:pPr>
        <w:ind w:left="1933" w:hanging="360"/>
      </w:pPr>
    </w:lvl>
    <w:lvl w:ilvl="1" w:tplc="04090019" w:tentative="1">
      <w:start w:val="1"/>
      <w:numFmt w:val="lowerLetter"/>
      <w:lvlText w:val="%2."/>
      <w:lvlJc w:val="left"/>
      <w:pPr>
        <w:ind w:left="2653" w:hanging="360"/>
      </w:pPr>
    </w:lvl>
    <w:lvl w:ilvl="2" w:tplc="0409001B" w:tentative="1">
      <w:start w:val="1"/>
      <w:numFmt w:val="lowerRoman"/>
      <w:lvlText w:val="%3."/>
      <w:lvlJc w:val="right"/>
      <w:pPr>
        <w:ind w:left="3373" w:hanging="180"/>
      </w:pPr>
    </w:lvl>
    <w:lvl w:ilvl="3" w:tplc="0409000F" w:tentative="1">
      <w:start w:val="1"/>
      <w:numFmt w:val="decimal"/>
      <w:lvlText w:val="%4."/>
      <w:lvlJc w:val="left"/>
      <w:pPr>
        <w:ind w:left="4093" w:hanging="360"/>
      </w:pPr>
    </w:lvl>
    <w:lvl w:ilvl="4" w:tplc="04090019" w:tentative="1">
      <w:start w:val="1"/>
      <w:numFmt w:val="lowerLetter"/>
      <w:lvlText w:val="%5."/>
      <w:lvlJc w:val="left"/>
      <w:pPr>
        <w:ind w:left="4813" w:hanging="360"/>
      </w:pPr>
    </w:lvl>
    <w:lvl w:ilvl="5" w:tplc="0409001B" w:tentative="1">
      <w:start w:val="1"/>
      <w:numFmt w:val="lowerRoman"/>
      <w:lvlText w:val="%6."/>
      <w:lvlJc w:val="right"/>
      <w:pPr>
        <w:ind w:left="5533" w:hanging="180"/>
      </w:pPr>
    </w:lvl>
    <w:lvl w:ilvl="6" w:tplc="0409000F" w:tentative="1">
      <w:start w:val="1"/>
      <w:numFmt w:val="decimal"/>
      <w:lvlText w:val="%7."/>
      <w:lvlJc w:val="left"/>
      <w:pPr>
        <w:ind w:left="6253" w:hanging="360"/>
      </w:pPr>
    </w:lvl>
    <w:lvl w:ilvl="7" w:tplc="04090019" w:tentative="1">
      <w:start w:val="1"/>
      <w:numFmt w:val="lowerLetter"/>
      <w:lvlText w:val="%8."/>
      <w:lvlJc w:val="left"/>
      <w:pPr>
        <w:ind w:left="6973" w:hanging="360"/>
      </w:pPr>
    </w:lvl>
    <w:lvl w:ilvl="8" w:tplc="0409001B" w:tentative="1">
      <w:start w:val="1"/>
      <w:numFmt w:val="lowerRoman"/>
      <w:lvlText w:val="%9."/>
      <w:lvlJc w:val="right"/>
      <w:pPr>
        <w:ind w:left="7693" w:hanging="180"/>
      </w:pPr>
    </w:lvl>
  </w:abstractNum>
  <w:abstractNum w:abstractNumId="4">
    <w:nsid w:val="47222E5B"/>
    <w:multiLevelType w:val="hybridMultilevel"/>
    <w:tmpl w:val="06484A7E"/>
    <w:lvl w:ilvl="0" w:tplc="0409000F">
      <w:start w:val="1"/>
      <w:numFmt w:val="decimal"/>
      <w:lvlText w:val="%1."/>
      <w:lvlJc w:val="left"/>
      <w:pPr>
        <w:ind w:left="1213" w:hanging="360"/>
      </w:p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5">
    <w:nsid w:val="505B6744"/>
    <w:multiLevelType w:val="multilevel"/>
    <w:tmpl w:val="01E652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D1C4EE3"/>
    <w:multiLevelType w:val="hybridMultilevel"/>
    <w:tmpl w:val="42844CF6"/>
    <w:lvl w:ilvl="0" w:tplc="7CF2E416">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8123C6"/>
    <w:multiLevelType w:val="multilevel"/>
    <w:tmpl w:val="F3A6CA76"/>
    <w:lvl w:ilvl="0">
      <w:start w:val="1"/>
      <w:numFmt w:val="decimal"/>
      <w:lvlText w:val="%1)"/>
      <w:lvlJc w:val="left"/>
      <w:pPr>
        <w:ind w:left="360" w:hanging="360"/>
      </w:pPr>
      <w:rPr>
        <w:b/>
        <w:sz w:val="20"/>
      </w:rPr>
    </w:lvl>
    <w:lvl w:ilvl="1">
      <w:start w:val="1"/>
      <w:numFmt w:val="lowerLetter"/>
      <w:lvlText w:val="%2)"/>
      <w:lvlJc w:val="left"/>
      <w:pPr>
        <w:ind w:left="720" w:hanging="360"/>
      </w:pPr>
      <w:rPr>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38233CC"/>
    <w:multiLevelType w:val="hybridMultilevel"/>
    <w:tmpl w:val="BC405AEC"/>
    <w:lvl w:ilvl="0" w:tplc="0409000F">
      <w:start w:val="1"/>
      <w:numFmt w:val="decimal"/>
      <w:lvlText w:val="%1."/>
      <w:lvlJc w:val="left"/>
      <w:pPr>
        <w:ind w:left="853" w:hanging="360"/>
      </w:p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9">
    <w:nsid w:val="6B7001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8"/>
  </w:num>
  <w:num w:numId="3">
    <w:abstractNumId w:val="4"/>
  </w:num>
  <w:num w:numId="4">
    <w:abstractNumId w:val="3"/>
  </w:num>
  <w:num w:numId="5">
    <w:abstractNumId w:val="1"/>
  </w:num>
  <w:num w:numId="6">
    <w:abstractNumId w:val="5"/>
  </w:num>
  <w:num w:numId="7">
    <w:abstractNumId w:val="6"/>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EB"/>
    <w:rsid w:val="00004125"/>
    <w:rsid w:val="00010511"/>
    <w:rsid w:val="00011216"/>
    <w:rsid w:val="00023443"/>
    <w:rsid w:val="00030A48"/>
    <w:rsid w:val="000338B8"/>
    <w:rsid w:val="00050DC4"/>
    <w:rsid w:val="00065379"/>
    <w:rsid w:val="00092BC5"/>
    <w:rsid w:val="000A31E7"/>
    <w:rsid w:val="000C6A13"/>
    <w:rsid w:val="000D3F07"/>
    <w:rsid w:val="000E4290"/>
    <w:rsid w:val="000E71C8"/>
    <w:rsid w:val="00106A33"/>
    <w:rsid w:val="00110A74"/>
    <w:rsid w:val="001250CD"/>
    <w:rsid w:val="00133BEB"/>
    <w:rsid w:val="00142CA9"/>
    <w:rsid w:val="00144B93"/>
    <w:rsid w:val="00153D2C"/>
    <w:rsid w:val="00163865"/>
    <w:rsid w:val="0019684F"/>
    <w:rsid w:val="001C4EE2"/>
    <w:rsid w:val="001E0D56"/>
    <w:rsid w:val="001E3694"/>
    <w:rsid w:val="00207F07"/>
    <w:rsid w:val="00261510"/>
    <w:rsid w:val="00274AA3"/>
    <w:rsid w:val="00281D0A"/>
    <w:rsid w:val="002B34C2"/>
    <w:rsid w:val="002B439E"/>
    <w:rsid w:val="002B624F"/>
    <w:rsid w:val="002F33E1"/>
    <w:rsid w:val="00311C14"/>
    <w:rsid w:val="00320F20"/>
    <w:rsid w:val="00344DEB"/>
    <w:rsid w:val="00355A4A"/>
    <w:rsid w:val="00367A12"/>
    <w:rsid w:val="003A53AE"/>
    <w:rsid w:val="003A53C8"/>
    <w:rsid w:val="003B0BF0"/>
    <w:rsid w:val="003C1371"/>
    <w:rsid w:val="003C64E4"/>
    <w:rsid w:val="003C67EB"/>
    <w:rsid w:val="003D2BDC"/>
    <w:rsid w:val="003E3039"/>
    <w:rsid w:val="0040210D"/>
    <w:rsid w:val="00415DDF"/>
    <w:rsid w:val="00424CCA"/>
    <w:rsid w:val="004261EB"/>
    <w:rsid w:val="00430DBB"/>
    <w:rsid w:val="00440106"/>
    <w:rsid w:val="00452E2A"/>
    <w:rsid w:val="004546DB"/>
    <w:rsid w:val="00455175"/>
    <w:rsid w:val="00455479"/>
    <w:rsid w:val="0045562B"/>
    <w:rsid w:val="004760DA"/>
    <w:rsid w:val="004806AB"/>
    <w:rsid w:val="004A1FB9"/>
    <w:rsid w:val="004C0886"/>
    <w:rsid w:val="004C40D9"/>
    <w:rsid w:val="004C5E12"/>
    <w:rsid w:val="004D0674"/>
    <w:rsid w:val="004D48E4"/>
    <w:rsid w:val="004E46E5"/>
    <w:rsid w:val="005052E9"/>
    <w:rsid w:val="00551D30"/>
    <w:rsid w:val="00577A88"/>
    <w:rsid w:val="00592DFB"/>
    <w:rsid w:val="005A015A"/>
    <w:rsid w:val="005A253C"/>
    <w:rsid w:val="005B38CF"/>
    <w:rsid w:val="005E3B94"/>
    <w:rsid w:val="005E6532"/>
    <w:rsid w:val="005E7EF6"/>
    <w:rsid w:val="005F4CCC"/>
    <w:rsid w:val="006305AE"/>
    <w:rsid w:val="00633947"/>
    <w:rsid w:val="0063526B"/>
    <w:rsid w:val="00642488"/>
    <w:rsid w:val="0066703A"/>
    <w:rsid w:val="00673098"/>
    <w:rsid w:val="00675C00"/>
    <w:rsid w:val="0068591A"/>
    <w:rsid w:val="006B7089"/>
    <w:rsid w:val="006C032B"/>
    <w:rsid w:val="006F6516"/>
    <w:rsid w:val="00705B2C"/>
    <w:rsid w:val="00711340"/>
    <w:rsid w:val="00711670"/>
    <w:rsid w:val="00711E94"/>
    <w:rsid w:val="0071309C"/>
    <w:rsid w:val="00727123"/>
    <w:rsid w:val="007338BC"/>
    <w:rsid w:val="00733A4C"/>
    <w:rsid w:val="00733B6A"/>
    <w:rsid w:val="00754387"/>
    <w:rsid w:val="00770017"/>
    <w:rsid w:val="007966D0"/>
    <w:rsid w:val="007973D8"/>
    <w:rsid w:val="007A5635"/>
    <w:rsid w:val="007A64F5"/>
    <w:rsid w:val="007B07AE"/>
    <w:rsid w:val="007B57E9"/>
    <w:rsid w:val="007C18C9"/>
    <w:rsid w:val="007C265D"/>
    <w:rsid w:val="007C539D"/>
    <w:rsid w:val="007D5D5F"/>
    <w:rsid w:val="007D6D20"/>
    <w:rsid w:val="0082039F"/>
    <w:rsid w:val="008216C7"/>
    <w:rsid w:val="00840DFA"/>
    <w:rsid w:val="00855646"/>
    <w:rsid w:val="00860966"/>
    <w:rsid w:val="00871637"/>
    <w:rsid w:val="008818BD"/>
    <w:rsid w:val="008A7CF4"/>
    <w:rsid w:val="008D51FF"/>
    <w:rsid w:val="008F4CB9"/>
    <w:rsid w:val="00903297"/>
    <w:rsid w:val="00912531"/>
    <w:rsid w:val="00923E37"/>
    <w:rsid w:val="0095785D"/>
    <w:rsid w:val="00966958"/>
    <w:rsid w:val="00990922"/>
    <w:rsid w:val="009A635D"/>
    <w:rsid w:val="009C22BD"/>
    <w:rsid w:val="009E2CF6"/>
    <w:rsid w:val="009F1E12"/>
    <w:rsid w:val="00A02DE6"/>
    <w:rsid w:val="00A04082"/>
    <w:rsid w:val="00A34D9E"/>
    <w:rsid w:val="00A46D9C"/>
    <w:rsid w:val="00A52610"/>
    <w:rsid w:val="00A52773"/>
    <w:rsid w:val="00A710B6"/>
    <w:rsid w:val="00A71C62"/>
    <w:rsid w:val="00AA1061"/>
    <w:rsid w:val="00AA752B"/>
    <w:rsid w:val="00AB7210"/>
    <w:rsid w:val="00AC40F3"/>
    <w:rsid w:val="00B16E18"/>
    <w:rsid w:val="00B2139A"/>
    <w:rsid w:val="00B362BC"/>
    <w:rsid w:val="00B42E45"/>
    <w:rsid w:val="00B46E33"/>
    <w:rsid w:val="00B621EA"/>
    <w:rsid w:val="00B636B0"/>
    <w:rsid w:val="00B64D04"/>
    <w:rsid w:val="00B74080"/>
    <w:rsid w:val="00B86A2E"/>
    <w:rsid w:val="00BA3E2C"/>
    <w:rsid w:val="00BA5E3D"/>
    <w:rsid w:val="00BC52AE"/>
    <w:rsid w:val="00BE51AA"/>
    <w:rsid w:val="00C157DF"/>
    <w:rsid w:val="00C529C6"/>
    <w:rsid w:val="00C80097"/>
    <w:rsid w:val="00C853C8"/>
    <w:rsid w:val="00C87401"/>
    <w:rsid w:val="00CA515D"/>
    <w:rsid w:val="00CE2FD1"/>
    <w:rsid w:val="00D04F1F"/>
    <w:rsid w:val="00D11353"/>
    <w:rsid w:val="00D2743C"/>
    <w:rsid w:val="00D50BC2"/>
    <w:rsid w:val="00D7226D"/>
    <w:rsid w:val="00D739D0"/>
    <w:rsid w:val="00D93122"/>
    <w:rsid w:val="00D945E8"/>
    <w:rsid w:val="00DA3128"/>
    <w:rsid w:val="00DA3997"/>
    <w:rsid w:val="00DB1EAC"/>
    <w:rsid w:val="00DC4FAF"/>
    <w:rsid w:val="00DE724D"/>
    <w:rsid w:val="00E002B7"/>
    <w:rsid w:val="00E20301"/>
    <w:rsid w:val="00E7410D"/>
    <w:rsid w:val="00E77742"/>
    <w:rsid w:val="00E8713B"/>
    <w:rsid w:val="00EB3168"/>
    <w:rsid w:val="00EB4248"/>
    <w:rsid w:val="00F054C8"/>
    <w:rsid w:val="00F16D63"/>
    <w:rsid w:val="00F27DD3"/>
    <w:rsid w:val="00F7226A"/>
    <w:rsid w:val="00F750EC"/>
    <w:rsid w:val="00F86076"/>
    <w:rsid w:val="00FA6E69"/>
    <w:rsid w:val="00FB3C62"/>
    <w:rsid w:val="00FC05FB"/>
    <w:rsid w:val="00FE3143"/>
    <w:rsid w:val="00FE52A9"/>
    <w:rsid w:val="00FF7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465D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91A"/>
  </w:style>
  <w:style w:type="paragraph" w:styleId="Heading1">
    <w:name w:val="heading 1"/>
    <w:basedOn w:val="Normal"/>
    <w:next w:val="Normal"/>
    <w:link w:val="Heading1Char"/>
    <w:uiPriority w:val="9"/>
    <w:qFormat/>
    <w:rsid w:val="0068591A"/>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68591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8591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8591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8591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8591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8591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8591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8591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50CD"/>
  </w:style>
  <w:style w:type="paragraph" w:customStyle="1" w:styleId="Style1">
    <w:name w:val="Style1"/>
    <w:basedOn w:val="Normal"/>
    <w:qFormat/>
    <w:rsid w:val="0068591A"/>
    <w:pPr>
      <w:jc w:val="both"/>
    </w:pPr>
    <w:rPr>
      <w:rFonts w:ascii="Arial" w:hAnsi="Arial"/>
      <w:sz w:val="20"/>
      <w:szCs w:val="20"/>
    </w:rPr>
  </w:style>
  <w:style w:type="character" w:customStyle="1" w:styleId="Heading1Char">
    <w:name w:val="Heading 1 Char"/>
    <w:basedOn w:val="DefaultParagraphFont"/>
    <w:link w:val="Heading1"/>
    <w:uiPriority w:val="9"/>
    <w:rsid w:val="0068591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68591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8591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8591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8591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8591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8591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8591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8591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8591A"/>
    <w:rPr>
      <w:b/>
      <w:bCs/>
      <w:sz w:val="18"/>
      <w:szCs w:val="18"/>
    </w:rPr>
  </w:style>
  <w:style w:type="paragraph" w:styleId="Title">
    <w:name w:val="Title"/>
    <w:basedOn w:val="Normal"/>
    <w:next w:val="Normal"/>
    <w:link w:val="TitleChar"/>
    <w:uiPriority w:val="10"/>
    <w:qFormat/>
    <w:rsid w:val="0068591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8591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8591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8591A"/>
    <w:rPr>
      <w:i/>
      <w:iCs/>
      <w:color w:val="808080" w:themeColor="text1" w:themeTint="7F"/>
      <w:spacing w:val="10"/>
      <w:sz w:val="24"/>
      <w:szCs w:val="24"/>
    </w:rPr>
  </w:style>
  <w:style w:type="character" w:styleId="Strong">
    <w:name w:val="Strong"/>
    <w:basedOn w:val="DefaultParagraphFont"/>
    <w:uiPriority w:val="22"/>
    <w:qFormat/>
    <w:rsid w:val="0068591A"/>
    <w:rPr>
      <w:b/>
      <w:bCs/>
      <w:spacing w:val="0"/>
    </w:rPr>
  </w:style>
  <w:style w:type="character" w:styleId="Emphasis">
    <w:name w:val="Emphasis"/>
    <w:uiPriority w:val="20"/>
    <w:qFormat/>
    <w:rsid w:val="0068591A"/>
    <w:rPr>
      <w:b/>
      <w:bCs/>
      <w:i/>
      <w:iCs/>
      <w:color w:val="auto"/>
    </w:rPr>
  </w:style>
  <w:style w:type="paragraph" w:styleId="NoSpacing">
    <w:name w:val="No Spacing"/>
    <w:basedOn w:val="Normal"/>
    <w:uiPriority w:val="1"/>
    <w:qFormat/>
    <w:rsid w:val="0068591A"/>
    <w:pPr>
      <w:spacing w:after="0" w:line="240" w:lineRule="auto"/>
      <w:ind w:firstLine="0"/>
    </w:pPr>
  </w:style>
  <w:style w:type="paragraph" w:styleId="ListParagraph">
    <w:name w:val="List Paragraph"/>
    <w:basedOn w:val="Normal"/>
    <w:uiPriority w:val="34"/>
    <w:qFormat/>
    <w:rsid w:val="0068591A"/>
    <w:pPr>
      <w:ind w:left="720"/>
      <w:contextualSpacing/>
    </w:pPr>
  </w:style>
  <w:style w:type="paragraph" w:styleId="Quote">
    <w:name w:val="Quote"/>
    <w:basedOn w:val="Normal"/>
    <w:next w:val="Normal"/>
    <w:link w:val="QuoteChar"/>
    <w:uiPriority w:val="29"/>
    <w:qFormat/>
    <w:rsid w:val="0068591A"/>
    <w:rPr>
      <w:color w:val="5A5A5A" w:themeColor="text1" w:themeTint="A5"/>
    </w:rPr>
  </w:style>
  <w:style w:type="character" w:customStyle="1" w:styleId="QuoteChar">
    <w:name w:val="Quote Char"/>
    <w:basedOn w:val="DefaultParagraphFont"/>
    <w:link w:val="Quote"/>
    <w:uiPriority w:val="29"/>
    <w:rsid w:val="0068591A"/>
    <w:rPr>
      <w:color w:val="5A5A5A" w:themeColor="text1" w:themeTint="A5"/>
    </w:rPr>
  </w:style>
  <w:style w:type="paragraph" w:styleId="IntenseQuote">
    <w:name w:val="Intense Quote"/>
    <w:basedOn w:val="Normal"/>
    <w:next w:val="Normal"/>
    <w:link w:val="IntenseQuoteChar"/>
    <w:uiPriority w:val="30"/>
    <w:qFormat/>
    <w:rsid w:val="0068591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8591A"/>
    <w:rPr>
      <w:rFonts w:asciiTheme="majorHAnsi" w:eastAsiaTheme="majorEastAsia" w:hAnsiTheme="majorHAnsi" w:cstheme="majorBidi"/>
      <w:i/>
      <w:iCs/>
      <w:sz w:val="20"/>
      <w:szCs w:val="20"/>
    </w:rPr>
  </w:style>
  <w:style w:type="character" w:styleId="SubtleEmphasis">
    <w:name w:val="Subtle Emphasis"/>
    <w:uiPriority w:val="19"/>
    <w:qFormat/>
    <w:rsid w:val="0068591A"/>
    <w:rPr>
      <w:i/>
      <w:iCs/>
      <w:color w:val="5A5A5A" w:themeColor="text1" w:themeTint="A5"/>
    </w:rPr>
  </w:style>
  <w:style w:type="character" w:styleId="IntenseEmphasis">
    <w:name w:val="Intense Emphasis"/>
    <w:uiPriority w:val="21"/>
    <w:qFormat/>
    <w:rsid w:val="0068591A"/>
    <w:rPr>
      <w:b/>
      <w:bCs/>
      <w:i/>
      <w:iCs/>
      <w:color w:val="auto"/>
      <w:u w:val="single"/>
    </w:rPr>
  </w:style>
  <w:style w:type="character" w:styleId="SubtleReference">
    <w:name w:val="Subtle Reference"/>
    <w:uiPriority w:val="31"/>
    <w:qFormat/>
    <w:rsid w:val="0068591A"/>
    <w:rPr>
      <w:smallCaps/>
    </w:rPr>
  </w:style>
  <w:style w:type="character" w:styleId="IntenseReference">
    <w:name w:val="Intense Reference"/>
    <w:uiPriority w:val="32"/>
    <w:qFormat/>
    <w:rsid w:val="0068591A"/>
    <w:rPr>
      <w:b/>
      <w:bCs/>
      <w:smallCaps/>
      <w:color w:val="auto"/>
    </w:rPr>
  </w:style>
  <w:style w:type="character" w:styleId="BookTitle">
    <w:name w:val="Book Title"/>
    <w:uiPriority w:val="33"/>
    <w:qFormat/>
    <w:rsid w:val="0068591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8591A"/>
    <w:pPr>
      <w:outlineLvl w:val="9"/>
    </w:pPr>
    <w:rPr>
      <w:lang w:bidi="en-US"/>
    </w:rPr>
  </w:style>
  <w:style w:type="character" w:styleId="Hyperlink">
    <w:name w:val="Hyperlink"/>
    <w:basedOn w:val="DefaultParagraphFont"/>
    <w:uiPriority w:val="99"/>
    <w:unhideWhenUsed/>
    <w:rsid w:val="0068591A"/>
    <w:rPr>
      <w:color w:val="0000FF" w:themeColor="hyperlink"/>
      <w:u w:val="single"/>
    </w:rPr>
  </w:style>
  <w:style w:type="table" w:styleId="TableGrid">
    <w:name w:val="Table Grid"/>
    <w:basedOn w:val="TableNormal"/>
    <w:uiPriority w:val="59"/>
    <w:rsid w:val="00F2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2039F"/>
    <w:pPr>
      <w:spacing w:before="100" w:beforeAutospacing="1" w:after="100" w:afterAutospacing="1" w:line="240" w:lineRule="auto"/>
      <w:ind w:firstLine="0"/>
    </w:pPr>
    <w:rPr>
      <w:rFonts w:ascii="Times" w:hAnsi="Times" w:cs="Times New Roman"/>
      <w:sz w:val="20"/>
      <w:szCs w:val="20"/>
    </w:rPr>
  </w:style>
  <w:style w:type="character" w:styleId="FollowedHyperlink">
    <w:name w:val="FollowedHyperlink"/>
    <w:basedOn w:val="DefaultParagraphFont"/>
    <w:uiPriority w:val="99"/>
    <w:semiHidden/>
    <w:unhideWhenUsed/>
    <w:rsid w:val="0082039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91A"/>
  </w:style>
  <w:style w:type="paragraph" w:styleId="Heading1">
    <w:name w:val="heading 1"/>
    <w:basedOn w:val="Normal"/>
    <w:next w:val="Normal"/>
    <w:link w:val="Heading1Char"/>
    <w:uiPriority w:val="9"/>
    <w:qFormat/>
    <w:rsid w:val="0068591A"/>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68591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8591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8591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8591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8591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8591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8591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8591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50CD"/>
  </w:style>
  <w:style w:type="paragraph" w:customStyle="1" w:styleId="Style1">
    <w:name w:val="Style1"/>
    <w:basedOn w:val="Normal"/>
    <w:qFormat/>
    <w:rsid w:val="0068591A"/>
    <w:pPr>
      <w:jc w:val="both"/>
    </w:pPr>
    <w:rPr>
      <w:rFonts w:ascii="Arial" w:hAnsi="Arial"/>
      <w:sz w:val="20"/>
      <w:szCs w:val="20"/>
    </w:rPr>
  </w:style>
  <w:style w:type="character" w:customStyle="1" w:styleId="Heading1Char">
    <w:name w:val="Heading 1 Char"/>
    <w:basedOn w:val="DefaultParagraphFont"/>
    <w:link w:val="Heading1"/>
    <w:uiPriority w:val="9"/>
    <w:rsid w:val="0068591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68591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8591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8591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8591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8591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8591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8591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8591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8591A"/>
    <w:rPr>
      <w:b/>
      <w:bCs/>
      <w:sz w:val="18"/>
      <w:szCs w:val="18"/>
    </w:rPr>
  </w:style>
  <w:style w:type="paragraph" w:styleId="Title">
    <w:name w:val="Title"/>
    <w:basedOn w:val="Normal"/>
    <w:next w:val="Normal"/>
    <w:link w:val="TitleChar"/>
    <w:uiPriority w:val="10"/>
    <w:qFormat/>
    <w:rsid w:val="0068591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8591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8591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8591A"/>
    <w:rPr>
      <w:i/>
      <w:iCs/>
      <w:color w:val="808080" w:themeColor="text1" w:themeTint="7F"/>
      <w:spacing w:val="10"/>
      <w:sz w:val="24"/>
      <w:szCs w:val="24"/>
    </w:rPr>
  </w:style>
  <w:style w:type="character" w:styleId="Strong">
    <w:name w:val="Strong"/>
    <w:basedOn w:val="DefaultParagraphFont"/>
    <w:uiPriority w:val="22"/>
    <w:qFormat/>
    <w:rsid w:val="0068591A"/>
    <w:rPr>
      <w:b/>
      <w:bCs/>
      <w:spacing w:val="0"/>
    </w:rPr>
  </w:style>
  <w:style w:type="character" w:styleId="Emphasis">
    <w:name w:val="Emphasis"/>
    <w:uiPriority w:val="20"/>
    <w:qFormat/>
    <w:rsid w:val="0068591A"/>
    <w:rPr>
      <w:b/>
      <w:bCs/>
      <w:i/>
      <w:iCs/>
      <w:color w:val="auto"/>
    </w:rPr>
  </w:style>
  <w:style w:type="paragraph" w:styleId="NoSpacing">
    <w:name w:val="No Spacing"/>
    <w:basedOn w:val="Normal"/>
    <w:uiPriority w:val="1"/>
    <w:qFormat/>
    <w:rsid w:val="0068591A"/>
    <w:pPr>
      <w:spacing w:after="0" w:line="240" w:lineRule="auto"/>
      <w:ind w:firstLine="0"/>
    </w:pPr>
  </w:style>
  <w:style w:type="paragraph" w:styleId="ListParagraph">
    <w:name w:val="List Paragraph"/>
    <w:basedOn w:val="Normal"/>
    <w:uiPriority w:val="34"/>
    <w:qFormat/>
    <w:rsid w:val="0068591A"/>
    <w:pPr>
      <w:ind w:left="720"/>
      <w:contextualSpacing/>
    </w:pPr>
  </w:style>
  <w:style w:type="paragraph" w:styleId="Quote">
    <w:name w:val="Quote"/>
    <w:basedOn w:val="Normal"/>
    <w:next w:val="Normal"/>
    <w:link w:val="QuoteChar"/>
    <w:uiPriority w:val="29"/>
    <w:qFormat/>
    <w:rsid w:val="0068591A"/>
    <w:rPr>
      <w:color w:val="5A5A5A" w:themeColor="text1" w:themeTint="A5"/>
    </w:rPr>
  </w:style>
  <w:style w:type="character" w:customStyle="1" w:styleId="QuoteChar">
    <w:name w:val="Quote Char"/>
    <w:basedOn w:val="DefaultParagraphFont"/>
    <w:link w:val="Quote"/>
    <w:uiPriority w:val="29"/>
    <w:rsid w:val="0068591A"/>
    <w:rPr>
      <w:color w:val="5A5A5A" w:themeColor="text1" w:themeTint="A5"/>
    </w:rPr>
  </w:style>
  <w:style w:type="paragraph" w:styleId="IntenseQuote">
    <w:name w:val="Intense Quote"/>
    <w:basedOn w:val="Normal"/>
    <w:next w:val="Normal"/>
    <w:link w:val="IntenseQuoteChar"/>
    <w:uiPriority w:val="30"/>
    <w:qFormat/>
    <w:rsid w:val="0068591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8591A"/>
    <w:rPr>
      <w:rFonts w:asciiTheme="majorHAnsi" w:eastAsiaTheme="majorEastAsia" w:hAnsiTheme="majorHAnsi" w:cstheme="majorBidi"/>
      <w:i/>
      <w:iCs/>
      <w:sz w:val="20"/>
      <w:szCs w:val="20"/>
    </w:rPr>
  </w:style>
  <w:style w:type="character" w:styleId="SubtleEmphasis">
    <w:name w:val="Subtle Emphasis"/>
    <w:uiPriority w:val="19"/>
    <w:qFormat/>
    <w:rsid w:val="0068591A"/>
    <w:rPr>
      <w:i/>
      <w:iCs/>
      <w:color w:val="5A5A5A" w:themeColor="text1" w:themeTint="A5"/>
    </w:rPr>
  </w:style>
  <w:style w:type="character" w:styleId="IntenseEmphasis">
    <w:name w:val="Intense Emphasis"/>
    <w:uiPriority w:val="21"/>
    <w:qFormat/>
    <w:rsid w:val="0068591A"/>
    <w:rPr>
      <w:b/>
      <w:bCs/>
      <w:i/>
      <w:iCs/>
      <w:color w:val="auto"/>
      <w:u w:val="single"/>
    </w:rPr>
  </w:style>
  <w:style w:type="character" w:styleId="SubtleReference">
    <w:name w:val="Subtle Reference"/>
    <w:uiPriority w:val="31"/>
    <w:qFormat/>
    <w:rsid w:val="0068591A"/>
    <w:rPr>
      <w:smallCaps/>
    </w:rPr>
  </w:style>
  <w:style w:type="character" w:styleId="IntenseReference">
    <w:name w:val="Intense Reference"/>
    <w:uiPriority w:val="32"/>
    <w:qFormat/>
    <w:rsid w:val="0068591A"/>
    <w:rPr>
      <w:b/>
      <w:bCs/>
      <w:smallCaps/>
      <w:color w:val="auto"/>
    </w:rPr>
  </w:style>
  <w:style w:type="character" w:styleId="BookTitle">
    <w:name w:val="Book Title"/>
    <w:uiPriority w:val="33"/>
    <w:qFormat/>
    <w:rsid w:val="0068591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8591A"/>
    <w:pPr>
      <w:outlineLvl w:val="9"/>
    </w:pPr>
    <w:rPr>
      <w:lang w:bidi="en-US"/>
    </w:rPr>
  </w:style>
  <w:style w:type="character" w:styleId="Hyperlink">
    <w:name w:val="Hyperlink"/>
    <w:basedOn w:val="DefaultParagraphFont"/>
    <w:uiPriority w:val="99"/>
    <w:unhideWhenUsed/>
    <w:rsid w:val="0068591A"/>
    <w:rPr>
      <w:color w:val="0000FF" w:themeColor="hyperlink"/>
      <w:u w:val="single"/>
    </w:rPr>
  </w:style>
  <w:style w:type="table" w:styleId="TableGrid">
    <w:name w:val="Table Grid"/>
    <w:basedOn w:val="TableNormal"/>
    <w:uiPriority w:val="59"/>
    <w:rsid w:val="00F2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2039F"/>
    <w:pPr>
      <w:spacing w:before="100" w:beforeAutospacing="1" w:after="100" w:afterAutospacing="1" w:line="240" w:lineRule="auto"/>
      <w:ind w:firstLine="0"/>
    </w:pPr>
    <w:rPr>
      <w:rFonts w:ascii="Times" w:hAnsi="Times" w:cs="Times New Roman"/>
      <w:sz w:val="20"/>
      <w:szCs w:val="20"/>
    </w:rPr>
  </w:style>
  <w:style w:type="character" w:styleId="FollowedHyperlink">
    <w:name w:val="FollowedHyperlink"/>
    <w:basedOn w:val="DefaultParagraphFont"/>
    <w:uiPriority w:val="99"/>
    <w:semiHidden/>
    <w:unhideWhenUsed/>
    <w:rsid w:val="008203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59358">
      <w:bodyDiv w:val="1"/>
      <w:marLeft w:val="0"/>
      <w:marRight w:val="0"/>
      <w:marTop w:val="0"/>
      <w:marBottom w:val="0"/>
      <w:divBdr>
        <w:top w:val="none" w:sz="0" w:space="0" w:color="auto"/>
        <w:left w:val="none" w:sz="0" w:space="0" w:color="auto"/>
        <w:bottom w:val="none" w:sz="0" w:space="0" w:color="auto"/>
        <w:right w:val="none" w:sz="0" w:space="0" w:color="auto"/>
      </w:divBdr>
    </w:div>
    <w:div w:id="414860104">
      <w:bodyDiv w:val="1"/>
      <w:marLeft w:val="0"/>
      <w:marRight w:val="0"/>
      <w:marTop w:val="0"/>
      <w:marBottom w:val="0"/>
      <w:divBdr>
        <w:top w:val="none" w:sz="0" w:space="0" w:color="auto"/>
        <w:left w:val="none" w:sz="0" w:space="0" w:color="auto"/>
        <w:bottom w:val="none" w:sz="0" w:space="0" w:color="auto"/>
        <w:right w:val="none" w:sz="0" w:space="0" w:color="auto"/>
      </w:divBdr>
    </w:div>
    <w:div w:id="581837677">
      <w:bodyDiv w:val="1"/>
      <w:marLeft w:val="0"/>
      <w:marRight w:val="0"/>
      <w:marTop w:val="0"/>
      <w:marBottom w:val="0"/>
      <w:divBdr>
        <w:top w:val="none" w:sz="0" w:space="0" w:color="auto"/>
        <w:left w:val="none" w:sz="0" w:space="0" w:color="auto"/>
        <w:bottom w:val="none" w:sz="0" w:space="0" w:color="auto"/>
        <w:right w:val="none" w:sz="0" w:space="0" w:color="auto"/>
      </w:divBdr>
    </w:div>
    <w:div w:id="710768712">
      <w:bodyDiv w:val="1"/>
      <w:marLeft w:val="0"/>
      <w:marRight w:val="0"/>
      <w:marTop w:val="0"/>
      <w:marBottom w:val="0"/>
      <w:divBdr>
        <w:top w:val="none" w:sz="0" w:space="0" w:color="auto"/>
        <w:left w:val="none" w:sz="0" w:space="0" w:color="auto"/>
        <w:bottom w:val="none" w:sz="0" w:space="0" w:color="auto"/>
        <w:right w:val="none" w:sz="0" w:space="0" w:color="auto"/>
      </w:divBdr>
    </w:div>
    <w:div w:id="739448096">
      <w:bodyDiv w:val="1"/>
      <w:marLeft w:val="0"/>
      <w:marRight w:val="0"/>
      <w:marTop w:val="0"/>
      <w:marBottom w:val="0"/>
      <w:divBdr>
        <w:top w:val="none" w:sz="0" w:space="0" w:color="auto"/>
        <w:left w:val="none" w:sz="0" w:space="0" w:color="auto"/>
        <w:bottom w:val="none" w:sz="0" w:space="0" w:color="auto"/>
        <w:right w:val="none" w:sz="0" w:space="0" w:color="auto"/>
      </w:divBdr>
    </w:div>
    <w:div w:id="877355972">
      <w:bodyDiv w:val="1"/>
      <w:marLeft w:val="0"/>
      <w:marRight w:val="0"/>
      <w:marTop w:val="0"/>
      <w:marBottom w:val="0"/>
      <w:divBdr>
        <w:top w:val="none" w:sz="0" w:space="0" w:color="auto"/>
        <w:left w:val="none" w:sz="0" w:space="0" w:color="auto"/>
        <w:bottom w:val="none" w:sz="0" w:space="0" w:color="auto"/>
        <w:right w:val="none" w:sz="0" w:space="0" w:color="auto"/>
      </w:divBdr>
    </w:div>
    <w:div w:id="888423293">
      <w:bodyDiv w:val="1"/>
      <w:marLeft w:val="0"/>
      <w:marRight w:val="0"/>
      <w:marTop w:val="0"/>
      <w:marBottom w:val="0"/>
      <w:divBdr>
        <w:top w:val="none" w:sz="0" w:space="0" w:color="auto"/>
        <w:left w:val="none" w:sz="0" w:space="0" w:color="auto"/>
        <w:bottom w:val="none" w:sz="0" w:space="0" w:color="auto"/>
        <w:right w:val="none" w:sz="0" w:space="0" w:color="auto"/>
      </w:divBdr>
    </w:div>
    <w:div w:id="1095590314">
      <w:bodyDiv w:val="1"/>
      <w:marLeft w:val="0"/>
      <w:marRight w:val="0"/>
      <w:marTop w:val="0"/>
      <w:marBottom w:val="0"/>
      <w:divBdr>
        <w:top w:val="none" w:sz="0" w:space="0" w:color="auto"/>
        <w:left w:val="none" w:sz="0" w:space="0" w:color="auto"/>
        <w:bottom w:val="none" w:sz="0" w:space="0" w:color="auto"/>
        <w:right w:val="none" w:sz="0" w:space="0" w:color="auto"/>
      </w:divBdr>
    </w:div>
    <w:div w:id="1208840308">
      <w:bodyDiv w:val="1"/>
      <w:marLeft w:val="0"/>
      <w:marRight w:val="0"/>
      <w:marTop w:val="0"/>
      <w:marBottom w:val="0"/>
      <w:divBdr>
        <w:top w:val="none" w:sz="0" w:space="0" w:color="auto"/>
        <w:left w:val="none" w:sz="0" w:space="0" w:color="auto"/>
        <w:bottom w:val="none" w:sz="0" w:space="0" w:color="auto"/>
        <w:right w:val="none" w:sz="0" w:space="0" w:color="auto"/>
      </w:divBdr>
      <w:divsChild>
        <w:div w:id="367143456">
          <w:marLeft w:val="0"/>
          <w:marRight w:val="0"/>
          <w:marTop w:val="0"/>
          <w:marBottom w:val="0"/>
          <w:divBdr>
            <w:top w:val="none" w:sz="0" w:space="0" w:color="auto"/>
            <w:left w:val="none" w:sz="0" w:space="0" w:color="auto"/>
            <w:bottom w:val="none" w:sz="0" w:space="0" w:color="auto"/>
            <w:right w:val="none" w:sz="0" w:space="0" w:color="auto"/>
          </w:divBdr>
        </w:div>
      </w:divsChild>
    </w:div>
    <w:div w:id="1451390015">
      <w:bodyDiv w:val="1"/>
      <w:marLeft w:val="0"/>
      <w:marRight w:val="0"/>
      <w:marTop w:val="0"/>
      <w:marBottom w:val="0"/>
      <w:divBdr>
        <w:top w:val="none" w:sz="0" w:space="0" w:color="auto"/>
        <w:left w:val="none" w:sz="0" w:space="0" w:color="auto"/>
        <w:bottom w:val="none" w:sz="0" w:space="0" w:color="auto"/>
        <w:right w:val="none" w:sz="0" w:space="0" w:color="auto"/>
      </w:divBdr>
      <w:divsChild>
        <w:div w:id="1191724156">
          <w:marLeft w:val="0"/>
          <w:marRight w:val="0"/>
          <w:marTop w:val="0"/>
          <w:marBottom w:val="0"/>
          <w:divBdr>
            <w:top w:val="none" w:sz="0" w:space="0" w:color="auto"/>
            <w:left w:val="none" w:sz="0" w:space="0" w:color="auto"/>
            <w:bottom w:val="none" w:sz="0" w:space="0" w:color="auto"/>
            <w:right w:val="none" w:sz="0" w:space="0" w:color="auto"/>
          </w:divBdr>
          <w:divsChild>
            <w:div w:id="80100752">
              <w:marLeft w:val="0"/>
              <w:marRight w:val="0"/>
              <w:marTop w:val="0"/>
              <w:marBottom w:val="0"/>
              <w:divBdr>
                <w:top w:val="none" w:sz="0" w:space="0" w:color="auto"/>
                <w:left w:val="none" w:sz="0" w:space="0" w:color="auto"/>
                <w:bottom w:val="none" w:sz="0" w:space="0" w:color="auto"/>
                <w:right w:val="none" w:sz="0" w:space="0" w:color="auto"/>
              </w:divBdr>
              <w:divsChild>
                <w:div w:id="665060546">
                  <w:marLeft w:val="0"/>
                  <w:marRight w:val="0"/>
                  <w:marTop w:val="0"/>
                  <w:marBottom w:val="0"/>
                  <w:divBdr>
                    <w:top w:val="none" w:sz="0" w:space="0" w:color="auto"/>
                    <w:left w:val="none" w:sz="0" w:space="0" w:color="auto"/>
                    <w:bottom w:val="none" w:sz="0" w:space="0" w:color="auto"/>
                    <w:right w:val="none" w:sz="0" w:space="0" w:color="auto"/>
                  </w:divBdr>
                  <w:divsChild>
                    <w:div w:id="80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13809">
      <w:bodyDiv w:val="1"/>
      <w:marLeft w:val="0"/>
      <w:marRight w:val="0"/>
      <w:marTop w:val="0"/>
      <w:marBottom w:val="0"/>
      <w:divBdr>
        <w:top w:val="none" w:sz="0" w:space="0" w:color="auto"/>
        <w:left w:val="none" w:sz="0" w:space="0" w:color="auto"/>
        <w:bottom w:val="none" w:sz="0" w:space="0" w:color="auto"/>
        <w:right w:val="none" w:sz="0" w:space="0" w:color="auto"/>
      </w:divBdr>
    </w:div>
    <w:div w:id="1741361629">
      <w:bodyDiv w:val="1"/>
      <w:marLeft w:val="0"/>
      <w:marRight w:val="0"/>
      <w:marTop w:val="0"/>
      <w:marBottom w:val="0"/>
      <w:divBdr>
        <w:top w:val="none" w:sz="0" w:space="0" w:color="auto"/>
        <w:left w:val="none" w:sz="0" w:space="0" w:color="auto"/>
        <w:bottom w:val="none" w:sz="0" w:space="0" w:color="auto"/>
        <w:right w:val="none" w:sz="0" w:space="0" w:color="auto"/>
      </w:divBdr>
    </w:div>
    <w:div w:id="1838111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surgebiswas/transcriptome_compression/tree/master/data_download"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geneontology.org/page/download-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FD416-6F4B-5548-99B5-0C35981A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9</Pages>
  <Words>5555</Words>
  <Characters>32998</Characters>
  <Application>Microsoft Macintosh Word</Application>
  <DocSecurity>0</DocSecurity>
  <Lines>559</Lines>
  <Paragraphs>94</Paragraphs>
  <ScaleCrop>false</ScaleCrop>
  <Company/>
  <LinksUpToDate>false</LinksUpToDate>
  <CharactersWithSpaces>38459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Surge Biswas</dc:creator>
  <cp:keywords/>
  <dc:description/>
  <cp:lastModifiedBy>Surge Biswas</cp:lastModifiedBy>
  <cp:revision>149</cp:revision>
  <dcterms:created xsi:type="dcterms:W3CDTF">2016-03-31T15:02:00Z</dcterms:created>
  <dcterms:modified xsi:type="dcterms:W3CDTF">2016-06-07T01:04:00Z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surgebiswas@gmail.com@www.mendeley.com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