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7E20EB" w14:textId="77777777" w:rsidR="00FE3B91" w:rsidRPr="00C415BC" w:rsidRDefault="00CD4A09" w:rsidP="00CD4A09">
      <w:pPr>
        <w:jc w:val="center"/>
        <w:rPr>
          <w:rFonts w:ascii="Arial" w:hAnsi="Arial"/>
        </w:rPr>
      </w:pPr>
      <w:r w:rsidRPr="00C415BC">
        <w:rPr>
          <w:rFonts w:ascii="Arial" w:hAnsi="Arial"/>
        </w:rPr>
        <w:t>Lightweight transcriptomics</w:t>
      </w:r>
    </w:p>
    <w:p w14:paraId="77C1C97C" w14:textId="77777777" w:rsidR="00CD4A09" w:rsidRPr="001D7889" w:rsidRDefault="00CD4A09" w:rsidP="00CD4A09">
      <w:pPr>
        <w:jc w:val="center"/>
        <w:rPr>
          <w:rFonts w:ascii="Arial" w:hAnsi="Arial"/>
          <w:sz w:val="22"/>
          <w:szCs w:val="22"/>
        </w:rPr>
      </w:pPr>
    </w:p>
    <w:p w14:paraId="605B8C76" w14:textId="77777777" w:rsidR="00CD4A09" w:rsidRPr="001D7889" w:rsidRDefault="00CD4A09" w:rsidP="00CD4A09">
      <w:pPr>
        <w:jc w:val="center"/>
        <w:rPr>
          <w:rFonts w:ascii="Arial" w:hAnsi="Arial" w:cs="Arial"/>
          <w:bCs/>
          <w:sz w:val="22"/>
          <w:szCs w:val="22"/>
          <w:vertAlign w:val="superscript"/>
        </w:rPr>
      </w:pPr>
      <w:r w:rsidRPr="001D7889">
        <w:rPr>
          <w:rFonts w:ascii="Arial" w:hAnsi="Arial"/>
          <w:sz w:val="22"/>
          <w:szCs w:val="22"/>
        </w:rPr>
        <w:t>Surojit Biswas</w:t>
      </w:r>
      <w:r w:rsidRPr="001D7889">
        <w:rPr>
          <w:rFonts w:ascii="Arial" w:hAnsi="Arial"/>
          <w:sz w:val="22"/>
          <w:szCs w:val="22"/>
          <w:vertAlign w:val="superscript"/>
        </w:rPr>
        <w:t>1</w:t>
      </w:r>
      <w:r w:rsidR="001D7889" w:rsidRPr="001D7889">
        <w:rPr>
          <w:rFonts w:ascii="Arial" w:hAnsi="Arial" w:cs="Arial"/>
          <w:sz w:val="22"/>
          <w:szCs w:val="22"/>
          <w:vertAlign w:val="superscript"/>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083021">
        <w:rPr>
          <w:rFonts w:ascii="Arial" w:hAnsi="Arial" w:cs="Arial"/>
          <w:bCs/>
          <w:sz w:val="22"/>
          <w:szCs w:val="22"/>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083021">
        <w:rPr>
          <w:rFonts w:ascii="Arial" w:hAnsi="Arial" w:cs="Arial"/>
          <w:bCs/>
          <w:sz w:val="22"/>
          <w:szCs w:val="22"/>
          <w:vertAlign w:val="superscript"/>
        </w:rPr>
        <w:t>,</w:t>
      </w:r>
      <w:r w:rsidR="00083021">
        <w:rPr>
          <w:rFonts w:ascii="Arial" w:hAnsi="Arial" w:cs="Arial"/>
          <w:bCs/>
          <w:sz w:val="22"/>
          <w:szCs w:val="22"/>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083021">
        <w:rPr>
          <w:rFonts w:ascii="Arial" w:hAnsi="Arial" w:cs="Arial"/>
          <w:bCs/>
          <w:sz w:val="22"/>
          <w:szCs w:val="22"/>
        </w:rPr>
        <w:t>*</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05D7043A"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201F25">
        <w:rPr>
          <w:rFonts w:ascii="Arial" w:hAnsi="Arial" w:cs="Arial"/>
          <w:bCs/>
          <w:sz w:val="22"/>
          <w:szCs w:val="22"/>
        </w:rPr>
        <w:t>Botanical Institute, Biocenter, University of Cologne,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77777777" w:rsidR="001D7889" w:rsidRPr="00083021" w:rsidRDefault="00083021" w:rsidP="00CD4A09">
      <w:pPr>
        <w:rPr>
          <w:rFonts w:ascii="Arial" w:hAnsi="Arial" w:cs="Arial"/>
          <w:bCs/>
          <w:sz w:val="22"/>
          <w:szCs w:val="22"/>
        </w:rPr>
      </w:pPr>
      <w:r>
        <w:rPr>
          <w:rFonts w:ascii="Arial" w:hAnsi="Arial" w:cs="Arial"/>
          <w:bCs/>
          <w:sz w:val="22"/>
          <w:szCs w:val="22"/>
        </w:rPr>
        <w:t>* Contributed equally</w:t>
      </w:r>
    </w:p>
    <w:p w14:paraId="3D104F6F" w14:textId="77777777" w:rsidR="001D7889" w:rsidRDefault="001D7889" w:rsidP="00CD4A09">
      <w:pPr>
        <w:rPr>
          <w:rFonts w:ascii="Arial" w:hAnsi="Arial" w:cs="Arial"/>
          <w:sz w:val="22"/>
          <w:szCs w:val="22"/>
        </w:rPr>
      </w:pPr>
      <w:r w:rsidRPr="001D7889">
        <w:rPr>
          <w:rFonts w:ascii="Arial" w:hAnsi="Arial" w:cs="Arial"/>
          <w:sz w:val="22"/>
          <w:szCs w:val="22"/>
          <w:vertAlign w:val="superscript"/>
        </w:rPr>
        <w:t>†</w:t>
      </w:r>
      <w:r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Pr="001D7889" w:rsidRDefault="001D7889" w:rsidP="001D7889">
      <w:pPr>
        <w:rPr>
          <w:rFonts w:ascii="Arial" w:hAnsi="Arial" w:cs="Arial"/>
          <w:b/>
          <w:bCs/>
          <w:sz w:val="22"/>
          <w:szCs w:val="22"/>
        </w:rPr>
      </w:pPr>
      <w:r w:rsidRPr="001D7889">
        <w:rPr>
          <w:rFonts w:ascii="Arial" w:hAnsi="Arial" w:cs="Arial"/>
          <w:b/>
          <w:bCs/>
          <w:sz w:val="22"/>
          <w:szCs w:val="22"/>
        </w:rPr>
        <w:t>Abstract</w:t>
      </w:r>
    </w:p>
    <w:p w14:paraId="4F6BECDC" w14:textId="77777777" w:rsidR="001D7889" w:rsidRDefault="001D7889" w:rsidP="001D7889">
      <w:pPr>
        <w:rPr>
          <w:rFonts w:ascii="Arial" w:hAnsi="Arial" w:cs="Arial"/>
          <w:b/>
          <w:bCs/>
          <w:szCs w:val="26"/>
        </w:rPr>
      </w:pPr>
    </w:p>
    <w:p w14:paraId="7A6A80B8" w14:textId="77777777"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t xml:space="preserve">Introduction </w:t>
      </w:r>
    </w:p>
    <w:p w14:paraId="62D91A03" w14:textId="2EFA7A37"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Furthermore, across all major studied kingdoms of life, metabolic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These theories suggest that the effective dimension of the transcriptome should be far less than the total number of genes it contains. If true to a large enough extent, it may be possible to 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transcriptomes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3EBF5A02" w:rsidR="00B72FDC" w:rsidRDefault="00FC2DCA" w:rsidP="007730A6">
      <w:pPr>
        <w:ind w:firstLine="720"/>
        <w:jc w:val="both"/>
        <w:rPr>
          <w:rFonts w:ascii="Arial" w:hAnsi="Arial" w:cs="Arial"/>
          <w:sz w:val="22"/>
          <w:szCs w:val="22"/>
        </w:rPr>
      </w:pPr>
      <w:r>
        <w:rPr>
          <w:rFonts w:ascii="Arial" w:hAnsi="Arial" w:cs="Arial"/>
          <w:sz w:val="22"/>
          <w:szCs w:val="22"/>
        </w:rPr>
        <w:t xml:space="preserve">Indeed, previous studies </w:t>
      </w:r>
      <w:r w:rsidR="004403E2">
        <w:rPr>
          <w:rFonts w:ascii="Arial" w:hAnsi="Arial" w:cs="Arial"/>
          <w:sz w:val="22"/>
          <w:szCs w:val="22"/>
        </w:rPr>
        <w:t>have</w:t>
      </w:r>
      <w:r>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(2016) extended these intuitions and showed the major principal components of a typically sequenced</w:t>
      </w:r>
      <w:r w:rsidR="002C3E8B">
        <w:rPr>
          <w:rFonts w:ascii="Arial" w:hAnsi="Arial" w:cs="Arial"/>
          <w:sz w:val="22"/>
          <w:szCs w:val="22"/>
        </w:rPr>
        <w:t xml:space="preserve"> mouse bulk or single-cell</w:t>
      </w:r>
      <w:r w:rsidR="00490845">
        <w:rPr>
          <w:rFonts w:ascii="Arial" w:hAnsi="Arial" w:cs="Arial"/>
          <w:sz w:val="22"/>
          <w:szCs w:val="22"/>
        </w:rPr>
        <w:t xml:space="preserve"> expression dataset are estimatable 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446BD8">
        <w:rPr>
          <w:rFonts w:ascii="Arial" w:hAnsi="Arial" w:cs="Arial"/>
          <w:sz w:val="22"/>
          <w:szCs w:val="22"/>
        </w:rPr>
        <w:t>However, 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w:t>
      </w:r>
      <w:r w:rsidR="00446BD8">
        <w:rPr>
          <w:rFonts w:ascii="Arial" w:hAnsi="Arial" w:cs="Arial"/>
          <w:sz w:val="22"/>
          <w:szCs w:val="22"/>
        </w:rPr>
        <w:lastRenderedPageBreak/>
        <w:t xml:space="preserve">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 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therein consume more resources than necessary. </w:t>
      </w:r>
      <w:r w:rsidR="000007C7">
        <w:rPr>
          <w:rFonts w:ascii="Arial" w:hAnsi="Arial" w:cs="Arial"/>
          <w:sz w:val="22"/>
          <w:szCs w:val="22"/>
        </w:rPr>
        <w:t>Furthermore, given 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5F4A6A27" w14:textId="55CC060E" w:rsidR="00CA5258" w:rsidRDefault="007C25D2" w:rsidP="0056167C">
      <w:pPr>
        <w:pStyle w:val="NormalWeb"/>
        <w:spacing w:before="0" w:beforeAutospacing="0" w:after="0" w:afterAutospacing="0"/>
        <w:ind w:firstLine="720"/>
        <w:jc w:val="both"/>
        <w:rPr>
          <w:rFonts w:ascii="Arial" w:hAnsi="Arial" w:cs="Arial"/>
          <w:sz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Pr>
          <w:rFonts w:ascii="Arial" w:hAnsi="Arial" w:cs="Arial"/>
          <w:sz w:val="22"/>
          <w:szCs w:val="22"/>
        </w:rPr>
        <w:t xml:space="preserve">lgorithm </w:t>
      </w:r>
      <w:r w:rsidR="00E20794">
        <w:rPr>
          <w:rFonts w:ascii="Arial" w:hAnsi="Arial" w:cs="Arial"/>
          <w:sz w:val="22"/>
          <w:szCs w:val="22"/>
        </w:rPr>
        <w:t>for inferring the expression of all transcriptional programs and genes in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264942">
        <w:rPr>
          <w:rFonts w:ascii="Arial" w:hAnsi="Arial" w:cs="Arial"/>
          <w:sz w:val="22"/>
          <w:szCs w:val="22"/>
        </w:rPr>
        <w:t>, to near perfection,</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27713E">
        <w:rPr>
          <w:rFonts w:ascii="Arial" w:hAnsi="Arial" w:cs="Arial"/>
          <w:sz w:val="22"/>
          <w:szCs w:val="22"/>
        </w:rPr>
        <w:t>,</w:t>
      </w:r>
      <w:r w:rsidR="00676A78">
        <w:rPr>
          <w:rFonts w:ascii="Arial" w:hAnsi="Arial" w:cs="Arial"/>
          <w:sz w:val="22"/>
          <w:szCs w:val="22"/>
        </w:rPr>
        <w:t xml:space="preserve"> for the first time</w:t>
      </w:r>
      <w:r w:rsidR="0027713E">
        <w:rPr>
          <w:rFonts w:ascii="Arial" w:hAnsi="Arial" w:cs="Arial"/>
          <w:sz w:val="22"/>
          <w:szCs w:val="22"/>
        </w:rPr>
        <w:t xml:space="preserve">, 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xml:space="preserve">. We believe </w:t>
      </w:r>
      <w:r w:rsidR="00676A78" w:rsidRPr="00CF2215">
        <w:rPr>
          <w:rFonts w:ascii="Arial" w:hAnsi="Arial" w:cs="Arial"/>
          <w:sz w:val="22"/>
        </w:rPr>
        <w:t xml:space="preserve">Tradict, coupled with targeted RNA sequencing, can improve the time and cost of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 accurately profiling single-cells, and performing gene expression based clinical diagnostics. </w:t>
      </w:r>
    </w:p>
    <w:p w14:paraId="3D517460" w14:textId="77777777" w:rsidR="0056167C" w:rsidRDefault="0056167C" w:rsidP="0056167C">
      <w:pPr>
        <w:pStyle w:val="NormalWeb"/>
        <w:spacing w:before="0" w:beforeAutospacing="0" w:after="0" w:afterAutospacing="0"/>
        <w:ind w:firstLine="720"/>
        <w:jc w:val="both"/>
        <w:rPr>
          <w:rFonts w:ascii="Arial" w:hAnsi="Arial" w:cs="Arial"/>
          <w:sz w:val="22"/>
        </w:rPr>
      </w:pPr>
    </w:p>
    <w:p w14:paraId="1C430D6F" w14:textId="77777777" w:rsidR="0056167C" w:rsidRDefault="0056167C" w:rsidP="0056167C">
      <w:pPr>
        <w:pStyle w:val="NormalWeb"/>
        <w:spacing w:before="0" w:beforeAutospacing="0" w:after="0" w:afterAutospacing="0"/>
        <w:ind w:firstLine="720"/>
        <w:jc w:val="both"/>
        <w:rPr>
          <w:rFonts w:ascii="Arial" w:hAnsi="Arial" w:cs="Arial"/>
          <w:sz w:val="22"/>
        </w:rPr>
      </w:pPr>
    </w:p>
    <w:p w14:paraId="0B36FE4C" w14:textId="77777777" w:rsidR="0056167C" w:rsidRDefault="0056167C" w:rsidP="0056167C">
      <w:pPr>
        <w:pStyle w:val="NormalWeb"/>
        <w:spacing w:before="0" w:beforeAutospacing="0" w:after="0" w:afterAutospacing="0"/>
        <w:ind w:firstLine="720"/>
        <w:jc w:val="both"/>
        <w:rPr>
          <w:rFonts w:ascii="Arial" w:hAnsi="Arial" w:cs="Arial"/>
          <w:sz w:val="22"/>
        </w:rPr>
      </w:pPr>
    </w:p>
    <w:p w14:paraId="61997798" w14:textId="77777777" w:rsidR="00CA5258" w:rsidRDefault="00CA5258" w:rsidP="00CA5258">
      <w:pPr>
        <w:keepNext/>
        <w:jc w:val="both"/>
      </w:pPr>
      <w:r>
        <w:rPr>
          <w:rFonts w:ascii="Arial" w:hAnsi="Arial" w:cs="Arial"/>
          <w:b/>
          <w:noProof/>
          <w:sz w:val="22"/>
          <w:szCs w:val="22"/>
        </w:rPr>
        <w:drawing>
          <wp:inline distT="0" distB="0" distL="0" distR="0" wp14:anchorId="795F702F" wp14:editId="5D5FC4B7">
            <wp:extent cx="5934710" cy="3881887"/>
            <wp:effectExtent l="0" t="0" r="8890" b="4445"/>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2.jpg"/>
                    <pic:cNvPicPr>
                      <a:picLocks noChangeAspect="1" noChangeArrowheads="1"/>
                    </pic:cNvPicPr>
                  </pic:nvPicPr>
                  <pic:blipFill rotWithShape="1">
                    <a:blip r:embed="rId7">
                      <a:extLst>
                        <a:ext uri="{28A0092B-C50C-407E-A947-70E740481C1C}">
                          <a14:useLocalDpi xmlns:a14="http://schemas.microsoft.com/office/drawing/2010/main" val="0"/>
                        </a:ext>
                      </a:extLst>
                    </a:blip>
                    <a:srcRect b="49440"/>
                    <a:stretch/>
                  </pic:blipFill>
                  <pic:spPr bwMode="auto">
                    <a:xfrm>
                      <a:off x="0" y="0"/>
                      <a:ext cx="5934710" cy="3881887"/>
                    </a:xfrm>
                    <a:prstGeom prst="rect">
                      <a:avLst/>
                    </a:prstGeom>
                    <a:noFill/>
                    <a:ln>
                      <a:noFill/>
                    </a:ln>
                    <a:extLst>
                      <a:ext uri="{53640926-AAD7-44d8-BBD7-CCE9431645EC}">
                        <a14:shadowObscured xmlns:a14="http://schemas.microsoft.com/office/drawing/2010/main"/>
                      </a:ext>
                    </a:extLst>
                  </pic:spPr>
                </pic:pic>
              </a:graphicData>
            </a:graphic>
          </wp:inline>
        </w:drawing>
      </w:r>
    </w:p>
    <w:p w14:paraId="6242CED4" w14:textId="689D41B4" w:rsidR="008F1BE2" w:rsidRDefault="00CA5258" w:rsidP="00265B61">
      <w:pPr>
        <w:pStyle w:val="Caption"/>
        <w:jc w:val="both"/>
        <w:rPr>
          <w:rFonts w:ascii="Arial" w:hAnsi="Arial" w:cs="Arial"/>
          <w:b w:val="0"/>
          <w:color w:val="auto"/>
        </w:rPr>
      </w:pPr>
      <w:r w:rsidRPr="00F0700E">
        <w:rPr>
          <w:rFonts w:ascii="Arial" w:hAnsi="Arial" w:cs="Arial"/>
          <w:color w:val="auto"/>
        </w:rPr>
        <w:t xml:space="preserve">Figure </w:t>
      </w:r>
      <w:r w:rsidRPr="00F0700E">
        <w:rPr>
          <w:rFonts w:ascii="Arial" w:hAnsi="Arial" w:cs="Arial"/>
          <w:color w:val="auto"/>
        </w:rPr>
        <w:fldChar w:fldCharType="begin"/>
      </w:r>
      <w:r w:rsidRPr="00F0700E">
        <w:rPr>
          <w:rFonts w:ascii="Arial" w:hAnsi="Arial" w:cs="Arial"/>
          <w:color w:val="auto"/>
        </w:rPr>
        <w:instrText xml:space="preserve"> SEQ Figure \* ARABIC </w:instrText>
      </w:r>
      <w:r w:rsidRPr="00F0700E">
        <w:rPr>
          <w:rFonts w:ascii="Arial" w:hAnsi="Arial" w:cs="Arial"/>
          <w:color w:val="auto"/>
        </w:rPr>
        <w:fldChar w:fldCharType="separate"/>
      </w:r>
      <w:r>
        <w:rPr>
          <w:rFonts w:ascii="Arial" w:hAnsi="Arial" w:cs="Arial"/>
          <w:noProof/>
          <w:color w:val="auto"/>
        </w:rPr>
        <w:t>1</w:t>
      </w:r>
      <w:r w:rsidRPr="00F0700E">
        <w:rPr>
          <w:rFonts w:ascii="Arial" w:hAnsi="Arial" w:cs="Arial"/>
          <w:color w:val="auto"/>
        </w:rPr>
        <w:fldChar w:fldCharType="end"/>
      </w:r>
      <w:r>
        <w:rPr>
          <w:rFonts w:ascii="Arial" w:hAnsi="Arial" w:cs="Arial"/>
          <w:color w:val="auto"/>
        </w:rPr>
        <w:t xml:space="preserve">. Our assembled training transcriptome collection is transcriptionally comprehensive and stable. </w:t>
      </w:r>
      <w:r>
        <w:rPr>
          <w:rFonts w:ascii="Arial" w:hAnsi="Arial" w:cs="Arial"/>
          <w:b w:val="0"/>
          <w:color w:val="auto"/>
        </w:rPr>
        <w:t xml:space="preserve">a &amp; b) Principal components analysis revealed that the major drivers of variation in our training collection are tissue and developmental context, for both </w:t>
      </w:r>
      <w:r>
        <w:rPr>
          <w:rFonts w:ascii="Arial" w:hAnsi="Arial" w:cs="Arial"/>
          <w:b w:val="0"/>
          <w:i/>
          <w:color w:val="auto"/>
        </w:rPr>
        <w:t>A. thaliana</w:t>
      </w:r>
      <w:r>
        <w:rPr>
          <w:rFonts w:ascii="Arial" w:hAnsi="Arial" w:cs="Arial"/>
          <w:b w:val="0"/>
          <w:color w:val="auto"/>
        </w:rPr>
        <w:t xml:space="preserve"> and </w:t>
      </w:r>
      <w:r>
        <w:rPr>
          <w:rFonts w:ascii="Arial" w:hAnsi="Arial" w:cs="Arial"/>
          <w:b w:val="0"/>
          <w:i/>
          <w:color w:val="auto"/>
        </w:rPr>
        <w:t>M. musculus</w:t>
      </w:r>
      <w:r>
        <w:rPr>
          <w:rFonts w:ascii="Arial" w:hAnsi="Arial" w:cs="Arial"/>
          <w:b w:val="0"/>
          <w:color w:val="auto"/>
        </w:rPr>
        <w:t xml:space="preserve">. c) The transcriptome is of strikingly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 d &amp; e) the expression space is comprehensive and stabilized ~2.5 years ago. For each of the first 100 principal components (PCs), depicted is the Pearson correlation between how samples are distributed along the PC at a select point in the past and how they are distributed currently. Each line, representing a PC, is shaded by the percent variance explained by that PC. </w:t>
      </w:r>
    </w:p>
    <w:p w14:paraId="609A306C" w14:textId="4EAF9EE1" w:rsidR="00265B61" w:rsidRDefault="0063067A" w:rsidP="00265B61">
      <w:r w:rsidRPr="0063067A">
        <w:rPr>
          <w:highlight w:val="yellow"/>
        </w:rPr>
        <w:t>Need to change order of panels in this figure to reflect text.</w:t>
      </w:r>
    </w:p>
    <w:p w14:paraId="59392B26" w14:textId="77777777" w:rsidR="00AE3ABA" w:rsidRDefault="00AE3ABA" w:rsidP="002271FF">
      <w:pPr>
        <w:jc w:val="both"/>
      </w:pPr>
    </w:p>
    <w:p w14:paraId="267E055A" w14:textId="77777777" w:rsidR="00AE3ABA" w:rsidRDefault="00AE3ABA" w:rsidP="002271FF">
      <w:pPr>
        <w:jc w:val="both"/>
      </w:pPr>
    </w:p>
    <w:p w14:paraId="69AB7765" w14:textId="77777777" w:rsidR="002271FF" w:rsidRDefault="00D057F8" w:rsidP="002271FF">
      <w:pPr>
        <w:jc w:val="both"/>
        <w:rPr>
          <w:rFonts w:ascii="Arial" w:hAnsi="Arial" w:cs="Arial"/>
          <w:b/>
          <w:sz w:val="22"/>
          <w:szCs w:val="22"/>
        </w:rPr>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7260541F" w14:textId="27AC3338" w:rsidR="00523214" w:rsidRPr="00523214" w:rsidRDefault="00DC30C0" w:rsidP="002271FF">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447B6D55" w14:textId="6AC06746" w:rsidR="00D057F8" w:rsidRDefault="002271FF" w:rsidP="000C39E4">
      <w:pPr>
        <w:keepNext/>
        <w:ind w:firstLine="720"/>
        <w:jc w:val="both"/>
        <w:rPr>
          <w:rFonts w:ascii="Arial" w:hAnsi="Arial"/>
          <w:sz w:val="22"/>
          <w:szCs w:val="22"/>
        </w:rPr>
      </w:pPr>
      <w:r>
        <w:rPr>
          <w:rFonts w:ascii="Arial" w:hAnsi="Arial"/>
          <w:sz w:val="22"/>
          <w:szCs w:val="22"/>
        </w:rPr>
        <w:t xml:space="preserve">We attempted to download 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sequencing depth and mapping rates. See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filtering, and expression filtering.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70E9AFB" w14:textId="39EA618C" w:rsidR="00D04CB8" w:rsidRPr="00BE1D25" w:rsidRDefault="00BB105F" w:rsidP="00BE1D25">
      <w:pPr>
        <w:keepNext/>
        <w:ind w:firstLine="720"/>
        <w:jc w:val="both"/>
        <w:rPr>
          <w:rFonts w:ascii="Arial" w:hAnsi="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 xml:space="preserve">iptome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DE59BA">
        <w:rPr>
          <w:rFonts w:ascii="Arial" w:hAnsi="Arial" w:cs="Arial"/>
          <w:sz w:val="22"/>
          <w:szCs w:val="22"/>
        </w:rPr>
        <w:t>), with many significant, biologically reali</w:t>
      </w:r>
      <w:r w:rsidR="000C480B">
        <w:rPr>
          <w:rFonts w:ascii="Arial" w:hAnsi="Arial" w:cs="Arial"/>
          <w:sz w:val="22"/>
          <w:szCs w:val="22"/>
        </w:rPr>
        <w:t>stic trends withi</w:t>
      </w:r>
      <w:r w:rsidR="00920F44">
        <w:rPr>
          <w:rFonts w:ascii="Arial" w:hAnsi="Arial" w:cs="Arial"/>
          <w:sz w:val="22"/>
          <w:szCs w:val="22"/>
        </w:rPr>
        <w:t xml:space="preserve">n each cluster (Supplemental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920F44">
        <w:rPr>
          <w:rFonts w:ascii="Arial" w:hAnsi="Arial" w:cs="Arial"/>
          <w:sz w:val="22"/>
          <w:szCs w:val="22"/>
        </w:rPr>
        <w:t xml:space="preserve"> (Supplemental Note 1)</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bookmarkStart w:id="0" w:name="_GoBack"/>
      <w:bookmarkEnd w:id="0"/>
    </w:p>
    <w:p w14:paraId="3D559870" w14:textId="77777777" w:rsidR="0094237A" w:rsidRDefault="0094237A" w:rsidP="004E2446">
      <w:pPr>
        <w:pStyle w:val="NormalWeb"/>
        <w:spacing w:before="0" w:beforeAutospacing="0" w:after="0" w:afterAutospacing="0"/>
        <w:ind w:firstLine="720"/>
        <w:jc w:val="both"/>
        <w:rPr>
          <w:rFonts w:ascii="Arial" w:hAnsi="Arial" w:cs="Arial"/>
          <w:sz w:val="22"/>
          <w:szCs w:val="22"/>
        </w:rPr>
      </w:pPr>
    </w:p>
    <w:p w14:paraId="21DA6C8F" w14:textId="77777777" w:rsidR="0094237A" w:rsidRDefault="0094237A" w:rsidP="0094237A">
      <w:pPr>
        <w:keepNext/>
        <w:jc w:val="both"/>
      </w:pPr>
      <w:r>
        <w:rPr>
          <w:noProof/>
        </w:rPr>
        <w:drawing>
          <wp:inline distT="0" distB="0" distL="0" distR="0" wp14:anchorId="71703298" wp14:editId="7851EE6C">
            <wp:extent cx="5935432" cy="3510366"/>
            <wp:effectExtent l="0" t="0" r="8255" b="0"/>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8">
                      <a:extLst>
                        <a:ext uri="{28A0092B-C50C-407E-A947-70E740481C1C}">
                          <a14:useLocalDpi xmlns:a14="http://schemas.microsoft.com/office/drawing/2010/main" val="0"/>
                        </a:ext>
                      </a:extLst>
                    </a:blip>
                    <a:srcRect b="54286"/>
                    <a:stretch/>
                  </pic:blipFill>
                  <pic:spPr bwMode="auto">
                    <a:xfrm>
                      <a:off x="0" y="0"/>
                      <a:ext cx="5935980" cy="3510690"/>
                    </a:xfrm>
                    <a:prstGeom prst="rect">
                      <a:avLst/>
                    </a:prstGeom>
                    <a:noFill/>
                    <a:ln>
                      <a:noFill/>
                    </a:ln>
                    <a:extLst>
                      <a:ext uri="{53640926-AAD7-44d8-BBD7-CCE9431645EC}">
                        <a14:shadowObscured xmlns:a14="http://schemas.microsoft.com/office/drawing/2010/main"/>
                      </a:ext>
                    </a:extLst>
                  </pic:spPr>
                </pic:pic>
              </a:graphicData>
            </a:graphic>
          </wp:inline>
        </w:drawing>
      </w:r>
    </w:p>
    <w:p w14:paraId="79A4E202" w14:textId="558BFAF8" w:rsidR="008906AD" w:rsidRPr="0094237A" w:rsidRDefault="0094237A" w:rsidP="0094237A">
      <w:pPr>
        <w:pStyle w:val="Caption"/>
        <w:jc w:val="both"/>
        <w:rPr>
          <w:rFonts w:ascii="Arial" w:hAnsi="Arial" w:cs="Arial"/>
          <w:b w:val="0"/>
          <w:color w:val="auto"/>
          <w:sz w:val="22"/>
          <w:szCs w:val="22"/>
        </w:rPr>
      </w:pPr>
      <w:r w:rsidRPr="00267556">
        <w:rPr>
          <w:rFonts w:ascii="Arial" w:hAnsi="Arial" w:cs="Arial"/>
          <w:color w:val="auto"/>
        </w:rPr>
        <w:t xml:space="preserve">Figure </w:t>
      </w:r>
      <w:r w:rsidR="001948CC">
        <w:rPr>
          <w:rFonts w:ascii="Arial" w:hAnsi="Arial" w:cs="Arial"/>
          <w:color w:val="auto"/>
        </w:rPr>
        <w:t>2</w:t>
      </w:r>
      <w:r>
        <w:rPr>
          <w:rFonts w:ascii="Arial" w:hAnsi="Arial" w:cs="Arial"/>
          <w:color w:val="auto"/>
        </w:rPr>
        <w:t>. Tradict’s algorithmic workflow.</w:t>
      </w:r>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non-markers.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measurement, there is an unmeasured, denoised latent abundance the logarithm of which comes from a Multivariate Normal distribution over all genes and transcriptional programs.</w:t>
      </w:r>
    </w:p>
    <w:p w14:paraId="2E22DBEC" w14:textId="63D7ACE4" w:rsidR="00D94320" w:rsidRPr="00BF6911" w:rsidRDefault="00D23A47" w:rsidP="00BF6911">
      <w:pPr>
        <w:jc w:val="both"/>
        <w:rPr>
          <w:rFonts w:ascii="Arial" w:hAnsi="Arial" w:cs="Arial"/>
          <w:b/>
          <w:sz w:val="22"/>
          <w:szCs w:val="22"/>
        </w:rPr>
      </w:pPr>
      <w:r>
        <w:rPr>
          <w:rFonts w:ascii="Arial" w:hAnsi="Arial" w:cs="Arial"/>
          <w:b/>
          <w:sz w:val="22"/>
          <w:szCs w:val="22"/>
        </w:rPr>
        <w:t>Tradict and baseline algorithms overview</w:t>
      </w:r>
    </w:p>
    <w:p w14:paraId="59B06B1E" w14:textId="2B958B63" w:rsidR="00840B3D" w:rsidRPr="00B439BC" w:rsidRDefault="00840B3D" w:rsidP="008906AD">
      <w:pPr>
        <w:jc w:val="both"/>
        <w:rPr>
          <w:rFonts w:ascii="Arial" w:hAnsi="Arial" w:cs="Arial"/>
          <w:sz w:val="22"/>
          <w:szCs w:val="22"/>
        </w:rPr>
      </w:pPr>
      <w:r>
        <w:rPr>
          <w:rFonts w:ascii="Arial" w:hAnsi="Arial" w:cs="Arial"/>
          <w:sz w:val="22"/>
          <w:szCs w:val="22"/>
        </w:rPr>
        <w:t>[expression optimization]</w:t>
      </w:r>
    </w:p>
    <w:p w14:paraId="60206AB7" w14:textId="788CB69F"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simultaneously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face of extreme noise.  </w:t>
      </w:r>
    </w:p>
    <w:p w14:paraId="56AAC911" w14:textId="664F688C"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a given sample varies, but it is estimatable.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872CE1">
        <w:rPr>
          <w:rFonts w:ascii="Arial" w:hAnsi="Arial" w:cs="Arial"/>
          <w:sz w:val="22"/>
          <w:szCs w:val="22"/>
        </w:rPr>
        <w:t>logl-</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C41395">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"&lt;sup&gt;20&lt;/sup&gt;", "plainTextFormattedCitation" : "20", "previouslyFormattedCitation" : "&lt;sup&gt;20&lt;/sup&gt;" }, "properties" : { "noteIndex" : 0 }, "schema" : "https://github.com/citation-style-language/schema/raw/master/csl-citation.json" }</w:instrText>
      </w:r>
      <w:r w:rsidR="00D11BDC">
        <w:rPr>
          <w:rFonts w:ascii="Arial" w:hAnsi="Arial" w:cs="Arial"/>
          <w:sz w:val="22"/>
          <w:szCs w:val="22"/>
        </w:rPr>
        <w:fldChar w:fldCharType="separate"/>
      </w:r>
      <w:r w:rsidR="00D11BDC" w:rsidRPr="00D11BDC">
        <w:rPr>
          <w:rFonts w:ascii="Arial" w:hAnsi="Arial" w:cs="Arial"/>
          <w:noProof/>
          <w:sz w:val="22"/>
          <w:szCs w:val="22"/>
          <w:vertAlign w:val="superscript"/>
        </w:rPr>
        <w:t>20</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an accordingly named transcriptional </w:t>
      </w:r>
      <w:r w:rsidR="004761D8">
        <w:rPr>
          <w:rFonts w:ascii="Arial" w:hAnsi="Arial" w:cs="Arial"/>
          <w:sz w:val="22"/>
          <w:szCs w:val="22"/>
        </w:rPr>
        <w:t>program</w:t>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B2961">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"&lt;sup&gt;21,22&lt;/sup&gt;", "plainTextFormattedCitation" : "21,22", "previouslyFormattedCitation" : "&lt;sup&gt;21,22&lt;/sup&gt;" }, "properties" : { "noteIndex" : 0 }, "schema" : "https://github.com/citation-style-language/schema/raw/master/csl-citation.json" }</w:instrText>
      </w:r>
      <w:r w:rsidR="00C41395">
        <w:rPr>
          <w:rFonts w:ascii="Arial" w:hAnsi="Arial" w:cs="Arial"/>
          <w:sz w:val="22"/>
          <w:szCs w:val="22"/>
        </w:rPr>
        <w:fldChar w:fldCharType="separate"/>
      </w:r>
      <w:r w:rsidR="00C41395" w:rsidRPr="00C41395">
        <w:rPr>
          <w:rFonts w:ascii="Arial" w:hAnsi="Arial" w:cs="Arial"/>
          <w:noProof/>
          <w:sz w:val="22"/>
          <w:szCs w:val="22"/>
          <w:vertAlign w:val="superscript"/>
        </w:rPr>
        <w:t>21,22</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70F0822A" w14:textId="2AA8BD17" w:rsidR="008906AD"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transcriptional programs and/or the rest of the transcriptome can be inferred as needed. During this process of decoding, Tradict first utilizes an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denoising step adds considerable robustness to Tradict’s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55BE822A" w14:textId="5F4511FF" w:rsidR="008906AD" w:rsidRDefault="008906AD" w:rsidP="008906AD">
      <w:pPr>
        <w:jc w:val="both"/>
        <w:rPr>
          <w:rFonts w:ascii="Arial" w:eastAsia="ＭＳ ゴシック" w:hAnsi="Arial" w:cs="Arial"/>
          <w:color w:val="000000"/>
          <w:sz w:val="22"/>
        </w:rPr>
      </w:pPr>
      <w:r>
        <w:rPr>
          <w:rFonts w:ascii="Arial" w:hAnsi="Arial" w:cs="Arial"/>
          <w:sz w:val="22"/>
          <w:szCs w:val="22"/>
        </w:rPr>
        <w:tab/>
        <w:t xml:space="preserve">As baselines for Tradict, we consider three alternative approaches. The first two, locally weighted averaging (LWA) and structured regression (SR) are the two best performing methods used in Donner </w:t>
      </w:r>
      <w:r>
        <w:rPr>
          <w:rFonts w:ascii="Arial" w:hAnsi="Arial" w:cs="Arial"/>
          <w:i/>
          <w:sz w:val="22"/>
          <w:szCs w:val="22"/>
        </w:rPr>
        <w:t xml:space="preserve">et al. </w:t>
      </w:r>
      <w:r>
        <w:rPr>
          <w:rFonts w:ascii="Arial" w:hAnsi="Arial" w:cs="Arial"/>
          <w:sz w:val="22"/>
          <w:szCs w:val="22"/>
        </w:rPr>
        <w:t>(2012)</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A167CF">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LWA, a non-parametric and non-linear approach, formulates predictions as weighted averages of the entire training set, where weights are determined by the distance between a query set of marker expressions and the expression of those markers in a training transcriptome. The exact weighting function is given by a Gaussian kernel, whose b</w:t>
      </w:r>
      <w:r w:rsidR="009A1297">
        <w:rPr>
          <w:rFonts w:ascii="Arial" w:hAnsi="Arial" w:cs="Arial"/>
          <w:sz w:val="22"/>
          <w:szCs w:val="22"/>
        </w:rPr>
        <w:t>andwidth we learn through cross-</w:t>
      </w:r>
      <w:r>
        <w:rPr>
          <w:rFonts w:ascii="Arial" w:hAnsi="Arial" w:cs="Arial"/>
          <w:sz w:val="22"/>
          <w:szCs w:val="22"/>
        </w:rPr>
        <w:t xml:space="preserve">validation. In contrast, SR selects markers and predicts expression using regularized regression and the </w:t>
      </w:r>
      <w:r>
        <w:rPr>
          <w:rFonts w:ascii="Arial" w:hAnsi="Arial" w:cs="Arial"/>
          <w:i/>
          <w:sz w:val="22"/>
          <w:szCs w:val="22"/>
        </w:rPr>
        <w:t>L</w:t>
      </w:r>
      <w:r>
        <w:rPr>
          <w:rFonts w:ascii="Arial" w:hAnsi="Arial" w:cs="Arial"/>
          <w:sz w:val="22"/>
          <w:szCs w:val="22"/>
          <w:vertAlign w:val="subscript"/>
        </w:rPr>
        <w:t>0,</w:t>
      </w:r>
      <w:r w:rsidRPr="00A167CF">
        <w:rPr>
          <w:rFonts w:ascii="ＭＳ ゴシック" w:eastAsia="ＭＳ ゴシック" w:hAnsi="ＭＳ ゴシック" w:hint="eastAsia"/>
          <w:color w:val="000000"/>
          <w:sz w:val="22"/>
          <w:vertAlign w:val="subscript"/>
        </w:rPr>
        <w:t>∞</w:t>
      </w:r>
      <w:r>
        <w:rPr>
          <w:rFonts w:ascii="Arial" w:hAnsi="Arial" w:cs="Arial"/>
          <w:sz w:val="22"/>
          <w:szCs w:val="22"/>
        </w:rPr>
        <w:t xml:space="preserve"> objective.</w:t>
      </w:r>
      <w:r w:rsidR="007B044E">
        <w:rPr>
          <w:rFonts w:ascii="Arial" w:hAnsi="Arial" w:cs="Arial"/>
          <w:sz w:val="22"/>
          <w:szCs w:val="22"/>
        </w:rPr>
        <w:t xml:space="preserve"> </w:t>
      </w:r>
      <w:r w:rsidR="009A1297">
        <w:rPr>
          <w:rFonts w:ascii="Arial" w:hAnsi="Arial" w:cs="Arial"/>
          <w:sz w:val="22"/>
          <w:szCs w:val="22"/>
        </w:rPr>
        <w:t>The appropriate level of regularization is again learned through cross-validation.</w:t>
      </w:r>
    </w:p>
    <w:p w14:paraId="0894574F" w14:textId="4D4E005E" w:rsidR="008906AD" w:rsidRPr="00A167CF" w:rsidRDefault="008906AD" w:rsidP="008906AD">
      <w:pPr>
        <w:jc w:val="both"/>
        <w:rPr>
          <w:rFonts w:ascii="Arial" w:hAnsi="Arial" w:cs="Arial"/>
          <w:sz w:val="22"/>
          <w:szCs w:val="22"/>
        </w:rPr>
      </w:pPr>
      <w:r>
        <w:rPr>
          <w:rFonts w:ascii="Arial" w:eastAsia="ＭＳ ゴシック" w:hAnsi="Arial" w:cs="Arial"/>
          <w:color w:val="000000"/>
          <w:sz w:val="22"/>
        </w:rPr>
        <w:tab/>
        <w:t>In the third baseline</w:t>
      </w:r>
      <w:r w:rsidR="005D6BD7">
        <w:rPr>
          <w:rFonts w:ascii="Arial" w:eastAsia="ＭＳ ゴシック" w:hAnsi="Arial" w:cs="Arial"/>
          <w:color w:val="000000"/>
          <w:sz w:val="22"/>
        </w:rPr>
        <w:t xml:space="preserve"> (Tradict Shallow-Seq)</w:t>
      </w:r>
      <w:r>
        <w:rPr>
          <w:rFonts w:ascii="Arial" w:eastAsia="ＭＳ ゴシック" w:hAnsi="Arial" w:cs="Arial"/>
          <w:color w:val="000000"/>
          <w:sz w:val="22"/>
        </w:rPr>
        <w:t xml:space="preserve">, we employ Tradict as usual; however, we restrict Tradict’s selected markers to be the 100 most abundant genes in the transcriptome. This provides a control </w:t>
      </w:r>
      <w:r w:rsidR="007B044E">
        <w:rPr>
          <w:rFonts w:ascii="Arial" w:eastAsia="ＭＳ ゴシック" w:hAnsi="Arial" w:cs="Arial"/>
          <w:color w:val="000000"/>
          <w:sz w:val="22"/>
        </w:rPr>
        <w:t xml:space="preserve">for </w:t>
      </w:r>
      <w:r>
        <w:rPr>
          <w:rFonts w:ascii="Arial" w:eastAsia="ＭＳ ゴシック" w:hAnsi="Arial" w:cs="Arial"/>
          <w:color w:val="000000"/>
          <w:sz w:val="22"/>
        </w:rPr>
        <w:t xml:space="preserve">Tradict’s marker selection algorithm, and simulates a situation that would be typical of shallow sequencing, where only the most abundant genes are </w:t>
      </w:r>
      <w:r w:rsidR="004E5839">
        <w:rPr>
          <w:rFonts w:ascii="Arial" w:eastAsia="ＭＳ ゴシック" w:hAnsi="Arial" w:cs="Arial"/>
          <w:color w:val="000000"/>
          <w:sz w:val="22"/>
        </w:rPr>
        <w:t>used to make conclusions about the rest of the transcriptome</w:t>
      </w:r>
      <w:r>
        <w:rPr>
          <w:rFonts w:ascii="Arial" w:eastAsia="ＭＳ ゴシック" w:hAnsi="Arial" w:cs="Arial"/>
          <w:color w:val="000000"/>
          <w:sz w:val="22"/>
        </w:rPr>
        <w:t xml:space="preserve">. </w:t>
      </w:r>
    </w:p>
    <w:p w14:paraId="740CE7AD" w14:textId="77777777" w:rsidR="00DC30C0" w:rsidRDefault="00DC30C0" w:rsidP="00DC30C0">
      <w:pPr>
        <w:pStyle w:val="NormalWeb"/>
        <w:spacing w:before="0" w:beforeAutospacing="0" w:after="0" w:afterAutospacing="0"/>
        <w:jc w:val="both"/>
        <w:rPr>
          <w:rFonts w:ascii="Arial" w:hAnsi="Arial" w:cs="Arial"/>
          <w:sz w:val="22"/>
          <w:szCs w:val="22"/>
        </w:rPr>
      </w:pPr>
    </w:p>
    <w:p w14:paraId="48596D97" w14:textId="6427768E" w:rsidR="00DC30C0" w:rsidRPr="00DC30C0" w:rsidRDefault="00DC30C0" w:rsidP="00DC30C0">
      <w:pPr>
        <w:pStyle w:val="NormalWeb"/>
        <w:spacing w:before="0" w:beforeAutospacing="0" w:after="0" w:afterAutospacing="0"/>
        <w:jc w:val="both"/>
        <w:rPr>
          <w:rFonts w:ascii="Arial" w:hAnsi="Arial" w:cs="Arial"/>
          <w:b/>
          <w:sz w:val="22"/>
          <w:szCs w:val="22"/>
        </w:rPr>
      </w:pPr>
      <w:r>
        <w:rPr>
          <w:rFonts w:ascii="Arial" w:hAnsi="Arial" w:cs="Arial"/>
          <w:b/>
          <w:sz w:val="22"/>
          <w:szCs w:val="22"/>
        </w:rPr>
        <w:t>The eukaryotic transcriptome is compressible</w:t>
      </w:r>
      <w:r w:rsidR="00D11BDC">
        <w:rPr>
          <w:rFonts w:ascii="Arial" w:hAnsi="Arial" w:cs="Arial"/>
          <w:b/>
          <w:sz w:val="22"/>
          <w:szCs w:val="22"/>
        </w:rPr>
        <w:t xml:space="preserve"> -- </w:t>
      </w:r>
      <w:r w:rsidR="00D11BDC" w:rsidRPr="00D11BDC">
        <w:rPr>
          <w:rFonts w:ascii="Arial" w:hAnsi="Arial" w:cs="Arial"/>
          <w:b/>
          <w:sz w:val="22"/>
          <w:szCs w:val="22"/>
          <w:highlight w:val="yellow"/>
        </w:rPr>
        <w:t>[move to supplemental information]</w:t>
      </w:r>
    </w:p>
    <w:p w14:paraId="36C58C86" w14:textId="1C0A4474" w:rsidR="00DC30C0" w:rsidRDefault="00DC30C0" w:rsidP="00DC30C0">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transcriptomes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M. musculus</w:t>
      </w:r>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sidR="009A27F1">
        <w:rPr>
          <w:rFonts w:ascii="Arial" w:hAnsi="Arial" w:cs="Arial"/>
          <w:sz w:val="22"/>
          <w:szCs w:val="22"/>
        </w:rPr>
        <w:t>(Figure 1</w:t>
      </w:r>
      <w:r>
        <w:rPr>
          <w:rFonts w:ascii="Arial" w:hAnsi="Arial" w:cs="Arial"/>
          <w:sz w:val="22"/>
          <w:szCs w:val="22"/>
        </w:rPr>
        <w:t xml:space="preserve">c).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transcriptomic</w:t>
      </w:r>
      <w:r w:rsidRPr="00900E57">
        <w:rPr>
          <w:rFonts w:ascii="Arial" w:hAnsi="Arial" w:cs="Arial"/>
          <w:sz w:val="22"/>
          <w:szCs w:val="22"/>
        </w:rPr>
        <w:t xml:space="preserve"> compressibility is likely a shared property of all eukaryotes.</w:t>
      </w:r>
    </w:p>
    <w:p w14:paraId="0DFBA1C5" w14:textId="5DA059E3" w:rsidR="00CF3A1A" w:rsidRDefault="00BF57F9" w:rsidP="008906AD">
      <w:pPr>
        <w:pStyle w:val="NormalWeb"/>
        <w:spacing w:before="0" w:beforeAutospacing="0" w:after="0" w:afterAutospacing="0"/>
        <w:ind w:firstLine="720"/>
        <w:jc w:val="both"/>
        <w:rPr>
          <w:rFonts w:ascii="Arial" w:hAnsi="Arial" w:cs="Arial"/>
          <w:sz w:val="22"/>
          <w:szCs w:val="22"/>
        </w:rPr>
      </w:pPr>
      <w:r w:rsidRPr="00BF57F9">
        <w:rPr>
          <w:rFonts w:ascii="Arial" w:hAnsi="Arial" w:cs="Arial"/>
          <w:sz w:val="22"/>
          <w:szCs w:val="22"/>
        </w:rPr>
        <w:t xml:space="preserve">We applied Tradict to compress all observed transcriptomes for both </w:t>
      </w:r>
      <w:r>
        <w:rPr>
          <w:rFonts w:ascii="Arial" w:hAnsi="Arial" w:cs="Arial"/>
          <w:i/>
          <w:sz w:val="22"/>
          <w:szCs w:val="22"/>
        </w:rPr>
        <w:t xml:space="preserve">A. thaliana </w:t>
      </w:r>
      <w:r>
        <w:rPr>
          <w:rFonts w:ascii="Arial" w:hAnsi="Arial" w:cs="Arial"/>
          <w:sz w:val="22"/>
          <w:szCs w:val="22"/>
        </w:rPr>
        <w:t xml:space="preserve">and </w:t>
      </w:r>
      <w:r>
        <w:rPr>
          <w:rFonts w:ascii="Arial" w:hAnsi="Arial" w:cs="Arial"/>
          <w:i/>
          <w:sz w:val="22"/>
          <w:szCs w:val="22"/>
        </w:rPr>
        <w:t>M. musculus</w:t>
      </w:r>
      <w:r>
        <w:rPr>
          <w:rFonts w:ascii="Arial" w:hAnsi="Arial" w:cs="Arial"/>
          <w:sz w:val="22"/>
          <w:szCs w:val="22"/>
        </w:rPr>
        <w:t>.</w:t>
      </w:r>
      <w:r w:rsidRPr="00BF57F9">
        <w:rPr>
          <w:rFonts w:ascii="Arial" w:hAnsi="Arial" w:cs="Arial"/>
          <w:sz w:val="22"/>
          <w:szCs w:val="22"/>
        </w:rPr>
        <w:t xml:space="preserve"> Despite being a highly restricted co</w:t>
      </w:r>
      <w:r>
        <w:rPr>
          <w:rFonts w:ascii="Arial" w:hAnsi="Arial" w:cs="Arial"/>
          <w:sz w:val="22"/>
          <w:szCs w:val="22"/>
        </w:rPr>
        <w:t>mpared to PCA, Tradict was 92.0% and 86.3</w:t>
      </w:r>
      <w:r w:rsidRPr="00BF57F9">
        <w:rPr>
          <w:rFonts w:ascii="Arial" w:hAnsi="Arial" w:cs="Arial"/>
          <w:sz w:val="22"/>
          <w:szCs w:val="22"/>
        </w:rPr>
        <w:t xml:space="preserve">% as efficient as PCA for 100 </w:t>
      </w:r>
      <w:r>
        <w:rPr>
          <w:rFonts w:ascii="Arial" w:hAnsi="Arial" w:cs="Arial"/>
          <w:sz w:val="22"/>
          <w:szCs w:val="22"/>
        </w:rPr>
        <w:t>selected markers</w:t>
      </w:r>
      <w:r w:rsidRPr="00BF57F9">
        <w:rPr>
          <w:rFonts w:ascii="Arial" w:hAnsi="Arial" w:cs="Arial"/>
          <w:sz w:val="22"/>
          <w:szCs w:val="22"/>
        </w:rPr>
        <w:t xml:space="preserve"> for </w:t>
      </w:r>
      <w:r>
        <w:rPr>
          <w:rFonts w:ascii="Arial" w:hAnsi="Arial" w:cs="Arial"/>
          <w:i/>
          <w:sz w:val="22"/>
          <w:szCs w:val="22"/>
        </w:rPr>
        <w:t xml:space="preserve">A. thaliana </w:t>
      </w:r>
      <w:r w:rsidRPr="00BF57F9">
        <w:rPr>
          <w:rFonts w:ascii="Arial" w:hAnsi="Arial" w:cs="Arial"/>
          <w:sz w:val="22"/>
          <w:szCs w:val="22"/>
        </w:rPr>
        <w:t xml:space="preserve">and </w:t>
      </w:r>
      <w:r>
        <w:rPr>
          <w:rFonts w:ascii="Arial" w:hAnsi="Arial" w:cs="Arial"/>
          <w:i/>
          <w:sz w:val="22"/>
          <w:szCs w:val="22"/>
        </w:rPr>
        <w:t>M. musculus</w:t>
      </w:r>
      <w:r>
        <w:rPr>
          <w:rFonts w:ascii="Arial" w:hAnsi="Arial" w:cs="Arial"/>
          <w:sz w:val="22"/>
          <w:szCs w:val="22"/>
        </w:rPr>
        <w:t xml:space="preserve">, respectively. </w:t>
      </w:r>
      <w:r w:rsidR="00D44528">
        <w:rPr>
          <w:rFonts w:ascii="Arial" w:hAnsi="Arial" w:cs="Arial"/>
          <w:sz w:val="22"/>
          <w:szCs w:val="22"/>
        </w:rPr>
        <w:t>A</w:t>
      </w:r>
      <w:r w:rsidRPr="00BF57F9">
        <w:rPr>
          <w:rFonts w:ascii="Arial" w:hAnsi="Arial" w:cs="Arial"/>
          <w:sz w:val="22"/>
          <w:szCs w:val="22"/>
        </w:rPr>
        <w:t xml:space="preserve"> small minority of markers explained a substantial proportion of expression variation, wi</w:t>
      </w:r>
      <w:r w:rsidR="00D44528">
        <w:rPr>
          <w:rFonts w:ascii="Arial" w:hAnsi="Arial" w:cs="Arial"/>
          <w:sz w:val="22"/>
          <w:szCs w:val="22"/>
        </w:rPr>
        <w:t>th the first 5 explaining 41.3% (</w:t>
      </w:r>
      <w:r w:rsidR="00D44528">
        <w:rPr>
          <w:rFonts w:ascii="Arial" w:hAnsi="Arial" w:cs="Arial"/>
          <w:i/>
          <w:sz w:val="22"/>
          <w:szCs w:val="22"/>
        </w:rPr>
        <w:t>A. thaliana)</w:t>
      </w:r>
      <w:r w:rsidRPr="00BF57F9">
        <w:rPr>
          <w:rFonts w:ascii="Arial" w:hAnsi="Arial" w:cs="Arial"/>
          <w:sz w:val="22"/>
          <w:szCs w:val="22"/>
        </w:rPr>
        <w:t xml:space="preserve"> and 35.1</w:t>
      </w:r>
      <w:r w:rsidR="00D44528">
        <w:rPr>
          <w:rFonts w:ascii="Arial" w:hAnsi="Arial" w:cs="Arial"/>
          <w:sz w:val="22"/>
          <w:szCs w:val="22"/>
        </w:rPr>
        <w:t>% (</w:t>
      </w:r>
      <w:r w:rsidR="00D44528">
        <w:rPr>
          <w:rFonts w:ascii="Arial" w:hAnsi="Arial" w:cs="Arial"/>
          <w:i/>
          <w:sz w:val="22"/>
          <w:szCs w:val="22"/>
        </w:rPr>
        <w:t>M. musculus</w:t>
      </w:r>
      <w:r w:rsidRPr="00BF57F9">
        <w:rPr>
          <w:rFonts w:ascii="Arial" w:hAnsi="Arial" w:cs="Arial"/>
          <w:sz w:val="22"/>
          <w:szCs w:val="22"/>
        </w:rPr>
        <w:t>).</w:t>
      </w:r>
      <w:r w:rsidR="00CF3A1A">
        <w:rPr>
          <w:rFonts w:ascii="Arial" w:hAnsi="Arial" w:cs="Arial"/>
          <w:sz w:val="22"/>
          <w:szCs w:val="22"/>
        </w:rPr>
        <w:t xml:space="preserve"> In terms of in-sample prediction accuracy, </w:t>
      </w:r>
      <w:r w:rsidR="00CF3A1A" w:rsidRPr="00CF3A1A">
        <w:rPr>
          <w:rFonts w:ascii="Arial" w:hAnsi="Arial" w:cs="Arial"/>
          <w:sz w:val="22"/>
          <w:szCs w:val="22"/>
        </w:rPr>
        <w:t>Tradict achieved a Pearson Correlation Coefficient (PCC) between pre</w:t>
      </w:r>
      <w:r w:rsidR="00C05BA9">
        <w:rPr>
          <w:rFonts w:ascii="Arial" w:hAnsi="Arial" w:cs="Arial"/>
          <w:sz w:val="22"/>
          <w:szCs w:val="22"/>
        </w:rPr>
        <w:t xml:space="preserve">dicted and actual gene </w:t>
      </w:r>
      <w:r w:rsidR="00CF3A1A" w:rsidRPr="00CF3A1A">
        <w:rPr>
          <w:rFonts w:ascii="Arial" w:hAnsi="Arial" w:cs="Arial"/>
          <w:sz w:val="22"/>
          <w:szCs w:val="22"/>
        </w:rPr>
        <w:t xml:space="preserve">expression of 0.9 and 0.84 for </w:t>
      </w:r>
      <w:r w:rsidR="00CF3A1A">
        <w:rPr>
          <w:rFonts w:ascii="Arial" w:hAnsi="Arial" w:cs="Arial"/>
          <w:i/>
          <w:sz w:val="22"/>
          <w:szCs w:val="22"/>
        </w:rPr>
        <w:t>A. thaliana</w:t>
      </w:r>
      <w:r w:rsidR="00CF3A1A" w:rsidRPr="00CF3A1A">
        <w:rPr>
          <w:rFonts w:ascii="Arial" w:hAnsi="Arial" w:cs="Arial"/>
          <w:sz w:val="22"/>
          <w:szCs w:val="22"/>
        </w:rPr>
        <w:t xml:space="preserve"> and </w:t>
      </w:r>
      <w:r w:rsidR="00CF3A1A">
        <w:rPr>
          <w:rFonts w:ascii="Arial" w:hAnsi="Arial" w:cs="Arial"/>
          <w:i/>
          <w:sz w:val="22"/>
          <w:szCs w:val="22"/>
        </w:rPr>
        <w:t>M. musculus</w:t>
      </w:r>
      <w:r w:rsidR="00CF3A1A">
        <w:rPr>
          <w:rFonts w:ascii="Arial" w:hAnsi="Arial" w:cs="Arial"/>
          <w:sz w:val="22"/>
          <w:szCs w:val="22"/>
        </w:rPr>
        <w:t>,</w:t>
      </w:r>
      <w:r w:rsidR="00CF3A1A" w:rsidRPr="00CF3A1A">
        <w:rPr>
          <w:rFonts w:ascii="Arial" w:hAnsi="Arial" w:cs="Arial"/>
          <w:sz w:val="22"/>
          <w:szCs w:val="22"/>
        </w:rPr>
        <w:t xml:space="preserve"> respectively. Importantly, Tradict's reconstruction </w:t>
      </w:r>
      <w:r w:rsidR="00CF3A1A">
        <w:rPr>
          <w:rFonts w:ascii="Arial" w:hAnsi="Arial" w:cs="Arial"/>
          <w:sz w:val="22"/>
          <w:szCs w:val="22"/>
        </w:rPr>
        <w:t>was unbiased (p-value = 0.43, paired t</w:t>
      </w:r>
      <w:r w:rsidR="00CF3A1A" w:rsidRPr="00CF3A1A">
        <w:rPr>
          <w:rFonts w:ascii="Arial" w:hAnsi="Arial" w:cs="Arial"/>
          <w:sz w:val="22"/>
          <w:szCs w:val="22"/>
        </w:rPr>
        <w:t>-test)</w:t>
      </w:r>
      <w:r w:rsidR="00CF3A1A">
        <w:rPr>
          <w:rFonts w:ascii="Arial" w:hAnsi="Arial" w:cs="Arial"/>
          <w:sz w:val="22"/>
          <w:szCs w:val="22"/>
        </w:rPr>
        <w:t>.</w:t>
      </w:r>
    </w:p>
    <w:p w14:paraId="7B383807" w14:textId="77777777" w:rsidR="00412898" w:rsidRDefault="00412898" w:rsidP="008906AD">
      <w:pPr>
        <w:pStyle w:val="NormalWeb"/>
        <w:spacing w:before="0" w:beforeAutospacing="0" w:after="0" w:afterAutospacing="0"/>
        <w:ind w:firstLine="720"/>
        <w:jc w:val="both"/>
        <w:rPr>
          <w:rFonts w:ascii="Arial" w:hAnsi="Arial" w:cs="Arial"/>
          <w:sz w:val="22"/>
          <w:szCs w:val="22"/>
        </w:rPr>
      </w:pPr>
    </w:p>
    <w:p w14:paraId="131F89AF" w14:textId="77777777" w:rsidR="00412898" w:rsidRDefault="00412898" w:rsidP="00412898">
      <w:pPr>
        <w:keepNext/>
        <w:jc w:val="both"/>
      </w:pPr>
      <w:r>
        <w:rPr>
          <w:noProof/>
        </w:rPr>
        <w:drawing>
          <wp:inline distT="0" distB="0" distL="0" distR="0" wp14:anchorId="42037180" wp14:editId="192604B5">
            <wp:extent cx="5932170" cy="4724400"/>
            <wp:effectExtent l="0" t="0" r="11430" b="0"/>
            <wp:docPr id="4" name="Picture 4"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3.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8471"/>
                    <a:stretch/>
                  </pic:blipFill>
                  <pic:spPr bwMode="auto">
                    <a:xfrm>
                      <a:off x="0" y="0"/>
                      <a:ext cx="593217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664F4637" w14:textId="2B0E07B2" w:rsidR="008906AD" w:rsidRPr="00412898" w:rsidRDefault="00412898" w:rsidP="00412898">
      <w:pPr>
        <w:pStyle w:val="Caption"/>
        <w:jc w:val="both"/>
        <w:rPr>
          <w:rFonts w:ascii="Arial" w:hAnsi="Arial" w:cs="Arial"/>
          <w:b w:val="0"/>
          <w:color w:val="auto"/>
        </w:rPr>
      </w:pPr>
      <w:r w:rsidRPr="00723A67">
        <w:rPr>
          <w:rFonts w:ascii="Arial" w:hAnsi="Arial" w:cs="Arial"/>
          <w:color w:val="auto"/>
        </w:rPr>
        <w:t xml:space="preserve">Figure </w:t>
      </w:r>
      <w:r w:rsidRPr="00723A67">
        <w:rPr>
          <w:rFonts w:ascii="Arial" w:hAnsi="Arial" w:cs="Arial"/>
          <w:color w:val="auto"/>
        </w:rPr>
        <w:fldChar w:fldCharType="begin"/>
      </w:r>
      <w:r w:rsidRPr="00723A67">
        <w:rPr>
          <w:rFonts w:ascii="Arial" w:hAnsi="Arial" w:cs="Arial"/>
          <w:color w:val="auto"/>
        </w:rPr>
        <w:instrText xml:space="preserve"> SEQ Figure \* ARABIC </w:instrText>
      </w:r>
      <w:r w:rsidRPr="00723A67">
        <w:rPr>
          <w:rFonts w:ascii="Arial" w:hAnsi="Arial" w:cs="Arial"/>
          <w:color w:val="auto"/>
        </w:rPr>
        <w:fldChar w:fldCharType="separate"/>
      </w:r>
      <w:r>
        <w:rPr>
          <w:rFonts w:ascii="Arial" w:hAnsi="Arial" w:cs="Arial"/>
          <w:noProof/>
          <w:color w:val="auto"/>
        </w:rPr>
        <w:t>2</w:t>
      </w:r>
      <w:r w:rsidRPr="00723A67">
        <w:rPr>
          <w:rFonts w:ascii="Arial" w:hAnsi="Arial" w:cs="Arial"/>
          <w:color w:val="auto"/>
        </w:rPr>
        <w:fldChar w:fldCharType="end"/>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 was trained on the first (historically speaking) 90% of SRA submissions and then tasked with predicting the remaining 10% of “test-set” submissions. a) Average Pearson correlation coefficients between predicted and actual expression of genes (left) and transcriptional programs (tr. programs; right) in the test-set as a function of the number of markers used in the model. b) Prediction performance on the same test-set processed normally or rarefied to 0.1x depth. ‘Tradict no nc’ uses the same algorithm as Tradict, however, a diagonal covariance is used over markers, instead of a full one. c-f) Tradict’s prospective prediction accuracy during 20-fold cross validation of the entire training collection for both organisms. c)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d)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dynamics comprarable. e &amp; f) Same as c &amp; d, but for </w:t>
      </w:r>
      <w:r>
        <w:rPr>
          <w:rFonts w:ascii="Arial" w:hAnsi="Arial" w:cs="Arial"/>
          <w:b w:val="0"/>
          <w:i/>
          <w:color w:val="auto"/>
        </w:rPr>
        <w:t>M. musculus</w:t>
      </w:r>
      <w:r>
        <w:rPr>
          <w:rFonts w:ascii="Arial" w:hAnsi="Arial" w:cs="Arial"/>
          <w:b w:val="0"/>
          <w:color w:val="auto"/>
        </w:rPr>
        <w:t xml:space="preserve">. </w:t>
      </w:r>
    </w:p>
    <w:p w14:paraId="32C49CD1" w14:textId="5D082582" w:rsidR="008906AD" w:rsidRDefault="008906AD" w:rsidP="008906AD">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sidR="00F33726">
        <w:rPr>
          <w:rFonts w:ascii="Arial" w:hAnsi="Arial" w:cs="Arial"/>
          <w:b/>
          <w:sz w:val="22"/>
          <w:szCs w:val="22"/>
        </w:rPr>
        <w:t xml:space="preserve">robust </w:t>
      </w:r>
      <w:r w:rsidRPr="008906AD">
        <w:rPr>
          <w:rFonts w:ascii="Arial" w:hAnsi="Arial" w:cs="Arial"/>
          <w:b/>
          <w:sz w:val="22"/>
          <w:szCs w:val="22"/>
        </w:rPr>
        <w:t>accuracy</w:t>
      </w:r>
    </w:p>
    <w:p w14:paraId="74269902" w14:textId="1AD7E37D" w:rsidR="004C493C" w:rsidRPr="004C493C" w:rsidRDefault="004C493C" w:rsidP="008906AD">
      <w:pPr>
        <w:pStyle w:val="NormalWeb"/>
        <w:spacing w:before="0" w:beforeAutospacing="0" w:after="0" w:afterAutospacing="0"/>
        <w:rPr>
          <w:rFonts w:ascii="Arial" w:hAnsi="Arial" w:cs="Arial"/>
          <w:sz w:val="22"/>
          <w:szCs w:val="22"/>
        </w:rPr>
      </w:pPr>
      <w:r w:rsidRPr="004C493C">
        <w:rPr>
          <w:rFonts w:ascii="Arial" w:hAnsi="Arial" w:cs="Arial"/>
          <w:sz w:val="22"/>
          <w:szCs w:val="22"/>
        </w:rPr>
        <w:t>[Error increases in decreasing mean expression]</w:t>
      </w:r>
    </w:p>
    <w:p w14:paraId="268A2F48" w14:textId="0C953C1C" w:rsidR="008906AD" w:rsidRDefault="008906AD" w:rsidP="00AC0B35">
      <w:pPr>
        <w:pStyle w:val="NormalWeb"/>
        <w:spacing w:before="0" w:beforeAutospacing="0" w:after="0" w:afterAutospacing="0"/>
        <w:jc w:val="both"/>
        <w:rPr>
          <w:rFonts w:ascii="Arial" w:hAnsi="Arial" w:cs="Arial"/>
          <w:sz w:val="22"/>
          <w:szCs w:val="22"/>
        </w:rPr>
      </w:pPr>
      <w:r>
        <w:rPr>
          <w:rFonts w:ascii="Arial" w:hAnsi="Arial" w:cs="Arial"/>
          <w:sz w:val="22"/>
          <w:szCs w:val="22"/>
        </w:rPr>
        <w:tab/>
      </w:r>
      <w:r w:rsidRPr="008D6B70">
        <w:rPr>
          <w:rFonts w:ascii="Arial" w:hAnsi="Arial" w:cs="Arial"/>
          <w:sz w:val="22"/>
          <w:szCs w:val="22"/>
        </w:rPr>
        <w:t>To assess Tradict’s prospective predictive performance and how it c</w:t>
      </w:r>
      <w:r w:rsidR="008D6B70" w:rsidRPr="008D6B70">
        <w:rPr>
          <w:rFonts w:ascii="Arial" w:hAnsi="Arial" w:cs="Arial"/>
          <w:sz w:val="22"/>
          <w:szCs w:val="22"/>
        </w:rPr>
        <w:t xml:space="preserve">ompares to the baseline models, we first partitioned our transcriptome collection for </w:t>
      </w:r>
      <w:r w:rsidR="008D6B70" w:rsidRPr="008D6B70">
        <w:rPr>
          <w:rFonts w:ascii="Arial" w:hAnsi="Arial" w:cs="Arial"/>
          <w:i/>
          <w:sz w:val="22"/>
          <w:szCs w:val="22"/>
        </w:rPr>
        <w:t>A. thaliana</w:t>
      </w:r>
      <w:r w:rsidR="008D6B70" w:rsidRPr="008D6B70">
        <w:rPr>
          <w:rFonts w:ascii="Arial" w:hAnsi="Arial" w:cs="Arial"/>
          <w:sz w:val="22"/>
          <w:szCs w:val="22"/>
        </w:rPr>
        <w:t xml:space="preserve"> into a training set and test set by submission and historical date. An SRA submission consists of multiple, experimentally linked samples submitted concurrently by an individual or lab. Consequently, high </w:t>
      </w:r>
      <w:r w:rsidR="008D6B70" w:rsidRPr="008D6B70">
        <w:rPr>
          <w:rFonts w:ascii="Arial" w:hAnsi="Arial" w:cs="Arial"/>
          <w:i/>
          <w:sz w:val="22"/>
          <w:szCs w:val="22"/>
        </w:rPr>
        <w:t>intra</w:t>
      </w:r>
      <w:r w:rsidR="008D6B70" w:rsidRPr="008D6B70">
        <w:rPr>
          <w:rFonts w:ascii="Arial" w:hAnsi="Arial" w:cs="Arial"/>
          <w:sz w:val="22"/>
          <w:szCs w:val="22"/>
        </w:rPr>
        <w:t xml:space="preserve">-submission prospective prediction accuracy is most indicative </w:t>
      </w:r>
      <w:r w:rsidR="00AC0B35">
        <w:rPr>
          <w:rFonts w:ascii="Arial" w:hAnsi="Arial" w:cs="Arial"/>
          <w:sz w:val="22"/>
          <w:szCs w:val="22"/>
        </w:rPr>
        <w:t>a</w:t>
      </w:r>
      <w:r w:rsidR="008D6B70" w:rsidRPr="008D6B70">
        <w:rPr>
          <w:rFonts w:ascii="Arial" w:hAnsi="Arial" w:cs="Arial"/>
          <w:sz w:val="22"/>
          <w:szCs w:val="22"/>
        </w:rPr>
        <w:t xml:space="preserve"> method’s </w:t>
      </w:r>
      <w:r w:rsidR="00357BA9">
        <w:rPr>
          <w:rFonts w:ascii="Arial" w:hAnsi="Arial" w:cs="Arial"/>
          <w:sz w:val="22"/>
          <w:szCs w:val="22"/>
        </w:rPr>
        <w:t>performance</w:t>
      </w:r>
      <w:r w:rsidR="008D6B70" w:rsidRPr="008D6B70">
        <w:rPr>
          <w:rFonts w:ascii="Arial" w:hAnsi="Arial" w:cs="Arial"/>
          <w:sz w:val="22"/>
          <w:szCs w:val="22"/>
        </w:rPr>
        <w:t>.</w:t>
      </w:r>
      <w:r w:rsidR="00AC0B35">
        <w:rPr>
          <w:rFonts w:ascii="Arial" w:hAnsi="Arial" w:cs="Arial"/>
          <w:sz w:val="22"/>
          <w:szCs w:val="22"/>
        </w:rPr>
        <w:t xml:space="preserve"> In order to mimic Tradict’s use in practice as closely as possible, the training set contained the first 90% of submissions</w:t>
      </w:r>
      <w:r w:rsidR="00E10778">
        <w:rPr>
          <w:rFonts w:ascii="Arial" w:hAnsi="Arial" w:cs="Arial"/>
          <w:sz w:val="22"/>
          <w:szCs w:val="22"/>
        </w:rPr>
        <w:t xml:space="preserve"> (</w:t>
      </w:r>
      <w:r w:rsidR="00E10778" w:rsidRPr="00E10778">
        <w:rPr>
          <w:rFonts w:ascii="Arial" w:hAnsi="Arial" w:cs="Arial"/>
          <w:sz w:val="22"/>
          <w:szCs w:val="22"/>
        </w:rPr>
        <w:t>208</w:t>
      </w:r>
      <w:r w:rsidR="00E10778">
        <w:rPr>
          <w:rFonts w:ascii="Arial" w:hAnsi="Arial" w:cs="Arial"/>
          <w:sz w:val="22"/>
          <w:szCs w:val="22"/>
        </w:rPr>
        <w:t xml:space="preserve"> submissions comprised of </w:t>
      </w:r>
      <w:r w:rsidR="00E10778" w:rsidRPr="00E10778">
        <w:rPr>
          <w:rFonts w:ascii="Arial" w:hAnsi="Arial" w:cs="Arial"/>
          <w:sz w:val="22"/>
          <w:szCs w:val="22"/>
        </w:rPr>
        <w:t>2</w:t>
      </w:r>
      <w:r w:rsidR="00E10778">
        <w:rPr>
          <w:rFonts w:ascii="Arial" w:hAnsi="Arial" w:cs="Arial"/>
          <w:sz w:val="22"/>
          <w:szCs w:val="22"/>
        </w:rPr>
        <w:t>,</w:t>
      </w:r>
      <w:r w:rsidR="00E10778" w:rsidRPr="00E10778">
        <w:rPr>
          <w:rFonts w:ascii="Arial" w:hAnsi="Arial" w:cs="Arial"/>
          <w:sz w:val="22"/>
          <w:szCs w:val="22"/>
        </w:rPr>
        <w:t>389</w:t>
      </w:r>
      <w:r w:rsidR="00E10778">
        <w:rPr>
          <w:rFonts w:ascii="Arial" w:hAnsi="Arial" w:cs="Arial"/>
          <w:sz w:val="22"/>
          <w:szCs w:val="22"/>
        </w:rPr>
        <w:t xml:space="preserve"> samples)</w:t>
      </w:r>
      <w:r w:rsidR="00AC0B35">
        <w:rPr>
          <w:rFonts w:ascii="Arial" w:hAnsi="Arial" w:cs="Arial"/>
          <w:sz w:val="22"/>
          <w:szCs w:val="22"/>
        </w:rPr>
        <w:t xml:space="preserve"> deposited on the SRA, and the test set contained the remaining 10%</w:t>
      </w:r>
      <w:r w:rsidR="00E10778">
        <w:rPr>
          <w:rFonts w:ascii="Arial" w:hAnsi="Arial" w:cs="Arial"/>
          <w:sz w:val="22"/>
          <w:szCs w:val="22"/>
        </w:rPr>
        <w:t xml:space="preserve"> (</w:t>
      </w:r>
      <w:r w:rsidR="00E10778" w:rsidRPr="00E10778">
        <w:rPr>
          <w:rFonts w:ascii="Arial" w:hAnsi="Arial" w:cs="Arial"/>
          <w:sz w:val="22"/>
          <w:szCs w:val="22"/>
        </w:rPr>
        <w:t>17</w:t>
      </w:r>
      <w:r w:rsidR="00E10778">
        <w:rPr>
          <w:rFonts w:ascii="Arial" w:hAnsi="Arial" w:cs="Arial"/>
          <w:sz w:val="22"/>
          <w:szCs w:val="22"/>
        </w:rPr>
        <w:t xml:space="preserve"> submissions comprised of 208 samples)</w:t>
      </w:r>
      <w:r w:rsidR="00AC0B35">
        <w:rPr>
          <w:rFonts w:ascii="Arial" w:hAnsi="Arial" w:cs="Arial"/>
          <w:sz w:val="22"/>
          <w:szCs w:val="22"/>
        </w:rPr>
        <w:t xml:space="preserve">. </w:t>
      </w:r>
    </w:p>
    <w:p w14:paraId="28559B88" w14:textId="3C4458FD" w:rsidR="00E04185" w:rsidRDefault="00E10778" w:rsidP="00AC0B3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Tradict and the baseline models were each first trained on the training set. Their predictive performance on the test set was then determined by providing only the expression values of selected markers as input, and subsequently examining the Pearson correlation coefficient (PCC) between the predicted and actual expression of transcriptional programs and the remaining non-marker genes in the transcriptome. </w:t>
      </w:r>
      <w:r w:rsidR="00E04185">
        <w:rPr>
          <w:rFonts w:ascii="Arial" w:hAnsi="Arial" w:cs="Arial"/>
          <w:sz w:val="22"/>
          <w:szCs w:val="22"/>
        </w:rPr>
        <w:t>Because submissions to the SRA span a broad array of biological contexts, the total biological signal contained in the test set exceeds that of what would be expected for typical application</w:t>
      </w:r>
      <w:r w:rsidR="00F95192">
        <w:rPr>
          <w:rFonts w:ascii="Arial" w:hAnsi="Arial" w:cs="Arial"/>
          <w:sz w:val="22"/>
          <w:szCs w:val="22"/>
        </w:rPr>
        <w:t>, which in turn would lead to overly optimistic estimates of prediction accuracy</w:t>
      </w:r>
      <w:r w:rsidR="00E04185">
        <w:rPr>
          <w:rFonts w:ascii="Arial" w:hAnsi="Arial" w:cs="Arial"/>
          <w:sz w:val="22"/>
          <w:szCs w:val="22"/>
        </w:rPr>
        <w:t xml:space="preserve">. </w:t>
      </w:r>
      <w:r w:rsidR="008D1D8E">
        <w:rPr>
          <w:rFonts w:ascii="Arial" w:hAnsi="Arial" w:cs="Arial"/>
          <w:sz w:val="22"/>
          <w:szCs w:val="22"/>
        </w:rPr>
        <w:t xml:space="preserve">To therefore evaluate </w:t>
      </w:r>
      <w:r w:rsidR="008D1D8E" w:rsidRPr="00BF6911">
        <w:rPr>
          <w:rFonts w:ascii="Arial" w:hAnsi="Arial" w:cs="Arial"/>
          <w:i/>
          <w:sz w:val="22"/>
          <w:szCs w:val="22"/>
        </w:rPr>
        <w:t>intra-submission</w:t>
      </w:r>
      <w:r w:rsidR="008D1D8E">
        <w:rPr>
          <w:rFonts w:ascii="Arial" w:hAnsi="Arial" w:cs="Arial"/>
          <w:sz w:val="22"/>
          <w:szCs w:val="22"/>
        </w:rPr>
        <w:t xml:space="preserve"> accuracy, PCC calculations were performed on ‘submission-adjusted’ expression values in which each submission’s mean</w:t>
      </w:r>
      <w:r w:rsidR="00AF4124">
        <w:rPr>
          <w:rFonts w:ascii="Arial" w:hAnsi="Arial" w:cs="Arial"/>
          <w:sz w:val="22"/>
          <w:szCs w:val="22"/>
        </w:rPr>
        <w:t xml:space="preserve"> expression</w:t>
      </w:r>
      <w:r w:rsidR="008D1D8E">
        <w:rPr>
          <w:rFonts w:ascii="Arial" w:hAnsi="Arial" w:cs="Arial"/>
          <w:sz w:val="22"/>
          <w:szCs w:val="22"/>
        </w:rPr>
        <w:t xml:space="preserve"> </w:t>
      </w:r>
      <w:r w:rsidR="009D2472">
        <w:rPr>
          <w:rFonts w:ascii="Arial" w:hAnsi="Arial" w:cs="Arial"/>
          <w:sz w:val="22"/>
          <w:szCs w:val="22"/>
        </w:rPr>
        <w:t>was</w:t>
      </w:r>
      <w:r w:rsidR="008D1D8E">
        <w:rPr>
          <w:rFonts w:ascii="Arial" w:hAnsi="Arial" w:cs="Arial"/>
          <w:sz w:val="22"/>
          <w:szCs w:val="22"/>
        </w:rPr>
        <w:t xml:space="preserve"> subtracted </w:t>
      </w:r>
      <w:r w:rsidR="00AF4124">
        <w:rPr>
          <w:rFonts w:ascii="Arial" w:hAnsi="Arial" w:cs="Arial"/>
          <w:sz w:val="22"/>
          <w:szCs w:val="22"/>
        </w:rPr>
        <w:t>from</w:t>
      </w:r>
      <w:r w:rsidR="00B10210">
        <w:rPr>
          <w:rFonts w:ascii="Arial" w:hAnsi="Arial" w:cs="Arial"/>
          <w:sz w:val="22"/>
          <w:szCs w:val="22"/>
        </w:rPr>
        <w:t xml:space="preserve"> the expression values of</w:t>
      </w:r>
      <w:r w:rsidR="008D1D8E">
        <w:rPr>
          <w:rFonts w:ascii="Arial" w:hAnsi="Arial" w:cs="Arial"/>
          <w:sz w:val="22"/>
          <w:szCs w:val="22"/>
        </w:rPr>
        <w:t xml:space="preserve"> all associated samples. </w:t>
      </w:r>
    </w:p>
    <w:p w14:paraId="1A5AE450" w14:textId="27298F9B" w:rsidR="00E10778" w:rsidRDefault="00B54703" w:rsidP="00210F3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Figure 3a illustrates the</w:t>
      </w:r>
      <w:r w:rsidR="00A57AE0">
        <w:rPr>
          <w:rFonts w:ascii="Arial" w:hAnsi="Arial" w:cs="Arial"/>
          <w:sz w:val="22"/>
          <w:szCs w:val="22"/>
        </w:rPr>
        <w:t xml:space="preserve"> intra-submission</w:t>
      </w:r>
      <w:r>
        <w:rPr>
          <w:rFonts w:ascii="Arial" w:hAnsi="Arial" w:cs="Arial"/>
          <w:sz w:val="22"/>
          <w:szCs w:val="22"/>
        </w:rPr>
        <w:t xml:space="preserve"> </w:t>
      </w:r>
      <w:r w:rsidR="003E40C6">
        <w:rPr>
          <w:rFonts w:ascii="Arial" w:hAnsi="Arial" w:cs="Arial"/>
          <w:sz w:val="22"/>
          <w:szCs w:val="22"/>
        </w:rPr>
        <w:t xml:space="preserve">performance of each method as a function of the number of markers </w:t>
      </w:r>
      <w:r w:rsidR="00E04185">
        <w:rPr>
          <w:rFonts w:ascii="Arial" w:hAnsi="Arial" w:cs="Arial"/>
          <w:sz w:val="22"/>
          <w:szCs w:val="22"/>
        </w:rPr>
        <w:t xml:space="preserve">entered into the model. LWA </w:t>
      </w:r>
      <w:r w:rsidR="006C776D">
        <w:rPr>
          <w:rFonts w:ascii="Arial" w:hAnsi="Arial" w:cs="Arial"/>
          <w:sz w:val="22"/>
          <w:szCs w:val="22"/>
        </w:rPr>
        <w:t xml:space="preserve">demonstrates the quickest performance gain, but then saturates after 10 markers. This is likely because </w:t>
      </w:r>
      <w:r w:rsidR="00210F32">
        <w:rPr>
          <w:rFonts w:ascii="Arial" w:hAnsi="Arial" w:cs="Arial"/>
          <w:sz w:val="22"/>
          <w:szCs w:val="22"/>
        </w:rPr>
        <w:t>a</w:t>
      </w:r>
      <w:r w:rsidR="006C776D">
        <w:rPr>
          <w:rFonts w:ascii="Arial" w:hAnsi="Arial" w:cs="Arial"/>
          <w:sz w:val="22"/>
          <w:szCs w:val="22"/>
        </w:rPr>
        <w:t xml:space="preserve"> non-linear kernel based approach </w:t>
      </w:r>
      <w:r w:rsidR="00210F32">
        <w:rPr>
          <w:rFonts w:ascii="Arial" w:hAnsi="Arial" w:cs="Arial"/>
          <w:sz w:val="22"/>
          <w:szCs w:val="22"/>
        </w:rPr>
        <w:t>make</w:t>
      </w:r>
      <w:r w:rsidR="00B26499">
        <w:rPr>
          <w:rFonts w:ascii="Arial" w:hAnsi="Arial" w:cs="Arial"/>
          <w:sz w:val="22"/>
          <w:szCs w:val="22"/>
        </w:rPr>
        <w:t>s</w:t>
      </w:r>
      <w:r w:rsidR="006C776D">
        <w:rPr>
          <w:rFonts w:ascii="Arial" w:hAnsi="Arial" w:cs="Arial"/>
          <w:sz w:val="22"/>
          <w:szCs w:val="22"/>
        </w:rPr>
        <w:t xml:space="preserve"> the </w:t>
      </w:r>
      <w:r w:rsidR="005D6BD7">
        <w:rPr>
          <w:rFonts w:ascii="Arial" w:hAnsi="Arial" w:cs="Arial"/>
          <w:sz w:val="22"/>
          <w:szCs w:val="22"/>
        </w:rPr>
        <w:t>cleverest</w:t>
      </w:r>
      <w:r w:rsidR="006C776D">
        <w:rPr>
          <w:rFonts w:ascii="Arial" w:hAnsi="Arial" w:cs="Arial"/>
          <w:sz w:val="22"/>
          <w:szCs w:val="22"/>
        </w:rPr>
        <w:t xml:space="preserve"> use of a few markers</w:t>
      </w:r>
      <w:r w:rsidR="005D6BD7">
        <w:rPr>
          <w:rFonts w:ascii="Arial" w:hAnsi="Arial" w:cs="Arial"/>
          <w:sz w:val="22"/>
          <w:szCs w:val="22"/>
        </w:rPr>
        <w:t>, but is plagued by the curse of dimensionality as more markers are added</w:t>
      </w:r>
      <w:r w:rsidR="00210F32">
        <w:rPr>
          <w:rFonts w:ascii="Arial" w:hAnsi="Arial" w:cs="Arial"/>
          <w:sz w:val="22"/>
          <w:szCs w:val="22"/>
        </w:rPr>
        <w:t xml:space="preserve">. </w:t>
      </w:r>
      <w:r w:rsidR="005D6BD7">
        <w:rPr>
          <w:rFonts w:ascii="Arial" w:hAnsi="Arial" w:cs="Arial"/>
          <w:sz w:val="22"/>
          <w:szCs w:val="22"/>
        </w:rPr>
        <w:t>The parametric methods (Tradict, SR) navigate this dimensionality increase more efficiently and ultimately realize better performance for still reasonable numbers of markers.</w:t>
      </w:r>
      <w:r w:rsidR="00B26499">
        <w:rPr>
          <w:rFonts w:ascii="Arial" w:hAnsi="Arial" w:cs="Arial"/>
          <w:sz w:val="22"/>
          <w:szCs w:val="22"/>
        </w:rPr>
        <w:t xml:space="preserve"> </w:t>
      </w:r>
      <w:r w:rsidR="005D6BD7">
        <w:rPr>
          <w:rFonts w:ascii="Arial" w:hAnsi="Arial" w:cs="Arial"/>
          <w:sz w:val="22"/>
          <w:szCs w:val="22"/>
        </w:rPr>
        <w:t xml:space="preserve">Tradict outperforms SR and Tradict Shallow-Seq, ultimately obtaining a PCC between </w:t>
      </w:r>
      <w:r w:rsidR="00A76C0B">
        <w:rPr>
          <w:rFonts w:ascii="Arial" w:hAnsi="Arial" w:cs="Arial"/>
          <w:sz w:val="22"/>
          <w:szCs w:val="22"/>
        </w:rPr>
        <w:t>predicted and actual expression of 0.71 for genes and strikingly 0.96 for transcriptional programs.</w:t>
      </w:r>
      <w:r w:rsidR="005E0357">
        <w:rPr>
          <w:rFonts w:ascii="Arial" w:hAnsi="Arial" w:cs="Arial"/>
          <w:sz w:val="22"/>
          <w:szCs w:val="22"/>
        </w:rPr>
        <w:t xml:space="preserve"> This suggests Tradict’s probabilistic framework is more reasonable than SR’s and that Tradict’s marker selection is more optimal than picking the most abundant genes. </w:t>
      </w:r>
    </w:p>
    <w:p w14:paraId="647025F8" w14:textId="54FFF301" w:rsidR="00417A1A" w:rsidRDefault="00F33726" w:rsidP="00B6295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noticed that though Tradict iteratively selects markers to maximize explanatory power, </w:t>
      </w:r>
      <w:r w:rsidR="00206AF6">
        <w:rPr>
          <w:rFonts w:ascii="Arial" w:hAnsi="Arial" w:cs="Arial"/>
          <w:sz w:val="22"/>
          <w:szCs w:val="22"/>
        </w:rPr>
        <w:t>these markers</w:t>
      </w:r>
      <w:r w:rsidR="00B05E93">
        <w:rPr>
          <w:rFonts w:ascii="Arial" w:hAnsi="Arial" w:cs="Arial"/>
          <w:sz w:val="22"/>
          <w:szCs w:val="22"/>
        </w:rPr>
        <w:t xml:space="preserve"> are not orthogonal. </w:t>
      </w:r>
      <w:r w:rsidR="00206AF6">
        <w:rPr>
          <w:rFonts w:ascii="Arial" w:hAnsi="Arial" w:cs="Arial"/>
          <w:sz w:val="22"/>
          <w:szCs w:val="22"/>
        </w:rPr>
        <w:t>Consequently,</w:t>
      </w:r>
      <w:r w:rsidR="00B6330C">
        <w:rPr>
          <w:rFonts w:ascii="Arial" w:hAnsi="Arial" w:cs="Arial"/>
          <w:sz w:val="22"/>
          <w:szCs w:val="22"/>
        </w:rPr>
        <w:t xml:space="preserve"> during inference of the marker latent abundances, on which all expression predictions are based,</w:t>
      </w:r>
      <w:r w:rsidR="00206AF6">
        <w:rPr>
          <w:rFonts w:ascii="Arial" w:hAnsi="Arial" w:cs="Arial"/>
          <w:sz w:val="22"/>
          <w:szCs w:val="22"/>
        </w:rPr>
        <w:t xml:space="preserve"> </w:t>
      </w:r>
      <w:r w:rsidR="00B6330C">
        <w:rPr>
          <w:rFonts w:ascii="Arial" w:hAnsi="Arial" w:cs="Arial"/>
          <w:sz w:val="22"/>
          <w:szCs w:val="22"/>
        </w:rPr>
        <w:t xml:space="preserve">the </w:t>
      </w:r>
      <w:r w:rsidR="002D4A0D">
        <w:rPr>
          <w:rFonts w:ascii="Arial" w:hAnsi="Arial" w:cs="Arial"/>
          <w:sz w:val="22"/>
          <w:szCs w:val="22"/>
        </w:rPr>
        <w:t>internal covariance</w:t>
      </w:r>
      <w:r w:rsidR="00B6330C">
        <w:rPr>
          <w:rFonts w:ascii="Arial" w:hAnsi="Arial" w:cs="Arial"/>
          <w:sz w:val="22"/>
          <w:szCs w:val="22"/>
        </w:rPr>
        <w:t xml:space="preserve"> among the markers </w:t>
      </w:r>
      <w:r w:rsidR="00417A1A">
        <w:rPr>
          <w:rFonts w:ascii="Arial" w:hAnsi="Arial" w:cs="Arial"/>
          <w:sz w:val="22"/>
          <w:szCs w:val="22"/>
        </w:rPr>
        <w:t>will be used during</w:t>
      </w:r>
      <w:r w:rsidR="00B6330C">
        <w:rPr>
          <w:rFonts w:ascii="Arial" w:hAnsi="Arial" w:cs="Arial"/>
          <w:sz w:val="22"/>
          <w:szCs w:val="22"/>
        </w:rPr>
        <w:t xml:space="preserve"> estimation. In increasing data (larger sequencing depth, higher </w:t>
      </w:r>
      <w:r w:rsidR="00B6330C">
        <w:rPr>
          <w:rFonts w:ascii="Arial" w:hAnsi="Arial" w:cs="Arial"/>
          <w:i/>
          <w:sz w:val="22"/>
          <w:szCs w:val="22"/>
        </w:rPr>
        <w:t>a priori</w:t>
      </w:r>
      <w:r w:rsidR="00B6330C">
        <w:rPr>
          <w:rFonts w:ascii="Arial" w:hAnsi="Arial" w:cs="Arial"/>
          <w:sz w:val="22"/>
          <w:szCs w:val="22"/>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w:t>
      </w:r>
      <w:r w:rsidR="00417A1A">
        <w:rPr>
          <w:rFonts w:ascii="Arial" w:hAnsi="Arial" w:cs="Arial"/>
          <w:sz w:val="22"/>
          <w:szCs w:val="22"/>
        </w:rPr>
        <w:t>ictions in noisy situations.  To test this hypothesis,</w:t>
      </w:r>
      <w:r w:rsidR="00A20818">
        <w:rPr>
          <w:rFonts w:ascii="Arial" w:hAnsi="Arial" w:cs="Arial"/>
          <w:sz w:val="22"/>
          <w:szCs w:val="22"/>
        </w:rPr>
        <w:t xml:space="preserve"> we considered a version of Tradict, ‘Tradict no nc’ (noise correction), in which only the diagonal of the internal marker covariance was used, effectively decoupling marker abundances in Tradict’s underlying model. We </w:t>
      </w:r>
      <w:r w:rsidR="00417A1A">
        <w:rPr>
          <w:rFonts w:ascii="Arial" w:hAnsi="Arial" w:cs="Arial"/>
          <w:sz w:val="22"/>
          <w:szCs w:val="22"/>
        </w:rPr>
        <w:t>re-evaluated intra-submission prediction accuracy for all of the methods</w:t>
      </w:r>
      <w:r w:rsidR="00A20818">
        <w:rPr>
          <w:rFonts w:ascii="Arial" w:hAnsi="Arial" w:cs="Arial"/>
          <w:sz w:val="22"/>
          <w:szCs w:val="22"/>
        </w:rPr>
        <w:t>, excluding Tradict Shallow-Seq,</w:t>
      </w:r>
      <w:r w:rsidR="00417A1A">
        <w:rPr>
          <w:rFonts w:ascii="Arial" w:hAnsi="Arial" w:cs="Arial"/>
          <w:sz w:val="22"/>
          <w:szCs w:val="22"/>
        </w:rPr>
        <w:t xml:space="preserve"> on the same training and test set above using 100 markers. However this time,</w:t>
      </w:r>
      <w:r w:rsidR="00A20818">
        <w:rPr>
          <w:rFonts w:ascii="Arial" w:hAnsi="Arial" w:cs="Arial"/>
          <w:sz w:val="22"/>
          <w:szCs w:val="22"/>
        </w:rPr>
        <w:t xml:space="preserve"> in order to simulate situations of high measurement error,</w:t>
      </w:r>
      <w:r w:rsidR="00417A1A">
        <w:rPr>
          <w:rFonts w:ascii="Arial" w:hAnsi="Arial" w:cs="Arial"/>
          <w:sz w:val="22"/>
          <w:szCs w:val="22"/>
        </w:rPr>
        <w:t xml:space="preserve"> we rarefied samples in the test set to 0.1x depth and evaluated each method’s predicted (depth-normalized) expression accuracy; the original 1x depth values formed the basis of comparison. </w:t>
      </w:r>
      <w:r w:rsidR="00A20818">
        <w:rPr>
          <w:rFonts w:ascii="Arial" w:hAnsi="Arial" w:cs="Arial"/>
          <w:sz w:val="22"/>
          <w:szCs w:val="22"/>
        </w:rPr>
        <w:t>The 10</w:t>
      </w:r>
      <w:r w:rsidR="00A20818" w:rsidRPr="00A20818">
        <w:rPr>
          <w:rFonts w:ascii="Arial" w:hAnsi="Arial" w:cs="Arial"/>
          <w:sz w:val="22"/>
          <w:szCs w:val="22"/>
          <w:vertAlign w:val="superscript"/>
        </w:rPr>
        <w:t>th</w:t>
      </w:r>
      <w:r w:rsidR="00A20818">
        <w:rPr>
          <w:rFonts w:ascii="Arial" w:hAnsi="Arial" w:cs="Arial"/>
          <w:sz w:val="22"/>
          <w:szCs w:val="22"/>
        </w:rPr>
        <w:t>, 25</w:t>
      </w:r>
      <w:r w:rsidR="00A20818" w:rsidRPr="00A20818">
        <w:rPr>
          <w:rFonts w:ascii="Arial" w:hAnsi="Arial" w:cs="Arial"/>
          <w:sz w:val="22"/>
          <w:szCs w:val="22"/>
          <w:vertAlign w:val="superscript"/>
        </w:rPr>
        <w:t>th</w:t>
      </w:r>
      <w:r w:rsidR="00A20818">
        <w:rPr>
          <w:rFonts w:ascii="Arial" w:hAnsi="Arial" w:cs="Arial"/>
          <w:sz w:val="22"/>
          <w:szCs w:val="22"/>
        </w:rPr>
        <w:t>, 50</w:t>
      </w:r>
      <w:r w:rsidR="00A20818" w:rsidRPr="00A20818">
        <w:rPr>
          <w:rFonts w:ascii="Arial" w:hAnsi="Arial" w:cs="Arial"/>
          <w:sz w:val="22"/>
          <w:szCs w:val="22"/>
          <w:vertAlign w:val="superscript"/>
        </w:rPr>
        <w:t>th</w:t>
      </w:r>
      <w:r w:rsidR="00A20818">
        <w:rPr>
          <w:rFonts w:ascii="Arial" w:hAnsi="Arial" w:cs="Arial"/>
          <w:sz w:val="22"/>
          <w:szCs w:val="22"/>
        </w:rPr>
        <w:t>, 75</w:t>
      </w:r>
      <w:r w:rsidR="00A20818" w:rsidRPr="00A20818">
        <w:rPr>
          <w:rFonts w:ascii="Arial" w:hAnsi="Arial" w:cs="Arial"/>
          <w:sz w:val="22"/>
          <w:szCs w:val="22"/>
          <w:vertAlign w:val="superscript"/>
        </w:rPr>
        <w:t>th</w:t>
      </w:r>
      <w:r w:rsidR="00A20818">
        <w:rPr>
          <w:rFonts w:ascii="Arial" w:hAnsi="Arial" w:cs="Arial"/>
          <w:sz w:val="22"/>
          <w:szCs w:val="22"/>
        </w:rPr>
        <w:t>, and 90</w:t>
      </w:r>
      <w:r w:rsidR="00A20818" w:rsidRPr="00A20818">
        <w:rPr>
          <w:rFonts w:ascii="Arial" w:hAnsi="Arial" w:cs="Arial"/>
          <w:sz w:val="22"/>
          <w:szCs w:val="22"/>
          <w:vertAlign w:val="superscript"/>
        </w:rPr>
        <w:t>th</w:t>
      </w:r>
      <w:r w:rsidR="00A20818">
        <w:rPr>
          <w:rFonts w:ascii="Arial" w:hAnsi="Arial" w:cs="Arial"/>
          <w:sz w:val="22"/>
          <w:szCs w:val="22"/>
        </w:rPr>
        <w:t xml:space="preserve"> percentiles of read depths in the 0.1x scenario were </w:t>
      </w:r>
      <w:r w:rsidR="00046337">
        <w:rPr>
          <w:rFonts w:ascii="Arial" w:hAnsi="Arial" w:cs="Arial"/>
          <w:sz w:val="22"/>
          <w:szCs w:val="22"/>
        </w:rPr>
        <w:t xml:space="preserve">0.65, 1.1, 2.1, 3.1, and 4.4 million reads, respectively -- all below the recommended depths for </w:t>
      </w:r>
      <w:r w:rsidR="00046337">
        <w:rPr>
          <w:rFonts w:ascii="Arial" w:hAnsi="Arial" w:cs="Arial"/>
          <w:i/>
          <w:sz w:val="22"/>
          <w:szCs w:val="22"/>
        </w:rPr>
        <w:t>A. thaliana</w:t>
      </w:r>
      <w:r w:rsidR="00046337">
        <w:rPr>
          <w:rFonts w:ascii="Arial" w:hAnsi="Arial" w:cs="Arial"/>
          <w:sz w:val="22"/>
          <w:szCs w:val="22"/>
        </w:rPr>
        <w:t xml:space="preserve">. </w:t>
      </w:r>
      <w:r w:rsidR="006D7CCC">
        <w:rPr>
          <w:rFonts w:ascii="Arial" w:hAnsi="Arial" w:cs="Arial"/>
          <w:sz w:val="22"/>
          <w:szCs w:val="22"/>
        </w:rPr>
        <w:t xml:space="preserve">30-40% of the markers had zero abundance in nearly half of the samples. </w:t>
      </w:r>
      <w:r w:rsidR="00417A1A">
        <w:rPr>
          <w:rFonts w:ascii="Arial" w:hAnsi="Arial" w:cs="Arial"/>
          <w:sz w:val="22"/>
          <w:szCs w:val="22"/>
        </w:rPr>
        <w:t xml:space="preserve">Figure 3b illustrates </w:t>
      </w:r>
      <w:r w:rsidR="00042BBC">
        <w:rPr>
          <w:rFonts w:ascii="Arial" w:hAnsi="Arial" w:cs="Arial"/>
          <w:sz w:val="22"/>
          <w:szCs w:val="22"/>
        </w:rPr>
        <w:t>that though all methods perform worse at 0.1x depth, Tradict is least affected. Importantl</w:t>
      </w:r>
      <w:r w:rsidR="00BD1A01">
        <w:rPr>
          <w:rFonts w:ascii="Arial" w:hAnsi="Arial" w:cs="Arial"/>
          <w:sz w:val="22"/>
          <w:szCs w:val="22"/>
        </w:rPr>
        <w:t>y, we notice that Tradict no nc’s performance is substantially reduced at lower depth, confirming our hypothesis that the internal marker covariance provides a valuable source of noise correction.</w:t>
      </w:r>
    </w:p>
    <w:p w14:paraId="36DCD521" w14:textId="295776F8" w:rsidR="00CD4A09" w:rsidRDefault="0016775E" w:rsidP="00460C89">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Tradict’s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 xml:space="preserve"> and evaluated intra-submission PCC for each fold when the remaining 95% of folds were used for training. To make this experiment as reflective of reality as possible, folds were </w:t>
      </w:r>
      <w:r w:rsidR="00141B80">
        <w:rPr>
          <w:rFonts w:ascii="Arial" w:hAnsi="Arial" w:cs="Arial"/>
          <w:sz w:val="22"/>
          <w:szCs w:val="22"/>
        </w:rPr>
        <w:t xml:space="preserve">again </w:t>
      </w:r>
      <w:r>
        <w:rPr>
          <w:rFonts w:ascii="Arial" w:hAnsi="Arial" w:cs="Arial"/>
          <w:sz w:val="22"/>
          <w:szCs w:val="22"/>
        </w:rPr>
        <w:t xml:space="preserve">divided by submission so that samples from the same set of </w:t>
      </w:r>
      <w:r w:rsidR="00CD787A">
        <w:rPr>
          <w:rFonts w:ascii="Arial" w:hAnsi="Arial" w:cs="Arial"/>
          <w:sz w:val="22"/>
          <w:szCs w:val="22"/>
        </w:rPr>
        <w:t>experiments</w:t>
      </w:r>
      <w:r>
        <w:rPr>
          <w:rFonts w:ascii="Arial" w:hAnsi="Arial" w:cs="Arial"/>
          <w:sz w:val="22"/>
          <w:szCs w:val="22"/>
        </w:rPr>
        <w:t xml:space="preserve"> would not appear both in training and test sets.</w:t>
      </w:r>
      <w:r w:rsidR="00B439BC">
        <w:rPr>
          <w:rFonts w:ascii="Arial" w:hAnsi="Arial" w:cs="Arial"/>
          <w:sz w:val="22"/>
          <w:szCs w:val="22"/>
        </w:rPr>
        <w:t xml:space="preserve"> Figures 3c and 3e illustrate that the reconstruction performance for transcriptional programs in both organisms is strikingly accurate across all collected submissions. Q</w:t>
      </w:r>
      <w:r w:rsidR="00D94320">
        <w:rPr>
          <w:rFonts w:ascii="Arial" w:hAnsi="Arial" w:cs="Arial"/>
          <w:sz w:val="22"/>
          <w:szCs w:val="22"/>
        </w:rPr>
        <w:t>uantitatively speaking, the average intra-submission PCC</w:t>
      </w:r>
      <w:r w:rsidR="00D0023C">
        <w:rPr>
          <w:rFonts w:ascii="Arial" w:hAnsi="Arial" w:cs="Arial"/>
          <w:sz w:val="22"/>
          <w:szCs w:val="22"/>
        </w:rPr>
        <w:t>s</w:t>
      </w:r>
      <w:r w:rsidR="00D94320">
        <w:rPr>
          <w:rFonts w:ascii="Arial" w:hAnsi="Arial" w:cs="Arial"/>
          <w:sz w:val="22"/>
          <w:szCs w:val="22"/>
        </w:rPr>
        <w:t xml:space="preserve"> </w:t>
      </w:r>
      <w:r w:rsidR="00D0023C">
        <w:rPr>
          <w:rFonts w:ascii="Arial" w:hAnsi="Arial" w:cs="Arial"/>
          <w:sz w:val="22"/>
          <w:szCs w:val="22"/>
        </w:rPr>
        <w:t xml:space="preserve">for transcriptional programs are 0.94 and 0.93 for </w:t>
      </w:r>
      <w:r w:rsidR="00D0023C">
        <w:rPr>
          <w:rFonts w:ascii="Arial" w:hAnsi="Arial" w:cs="Arial"/>
          <w:i/>
          <w:sz w:val="22"/>
          <w:szCs w:val="22"/>
        </w:rPr>
        <w:t>A. thaliana</w:t>
      </w:r>
      <w:r w:rsidR="00D0023C">
        <w:rPr>
          <w:rFonts w:ascii="Arial" w:hAnsi="Arial" w:cs="Arial"/>
          <w:sz w:val="22"/>
          <w:szCs w:val="22"/>
        </w:rPr>
        <w:t xml:space="preserve"> and </w:t>
      </w:r>
      <w:r w:rsidR="00D0023C">
        <w:rPr>
          <w:rFonts w:ascii="Arial" w:hAnsi="Arial" w:cs="Arial"/>
          <w:i/>
          <w:sz w:val="22"/>
          <w:szCs w:val="22"/>
        </w:rPr>
        <w:t>M. musculus</w:t>
      </w:r>
      <w:r w:rsidR="00D0023C">
        <w:rPr>
          <w:rFonts w:ascii="Arial" w:hAnsi="Arial" w:cs="Arial"/>
          <w:sz w:val="22"/>
          <w:szCs w:val="22"/>
        </w:rPr>
        <w:t>, respectively</w:t>
      </w:r>
      <w:r w:rsidR="00D27A19">
        <w:rPr>
          <w:rFonts w:ascii="Arial" w:hAnsi="Arial" w:cs="Arial"/>
          <w:sz w:val="22"/>
          <w:szCs w:val="22"/>
        </w:rPr>
        <w:t>. This is</w:t>
      </w:r>
      <w:r w:rsidR="00D0023C">
        <w:rPr>
          <w:rFonts w:ascii="Arial" w:hAnsi="Arial" w:cs="Arial"/>
          <w:sz w:val="22"/>
          <w:szCs w:val="22"/>
        </w:rPr>
        <w:t xml:space="preserve"> despite lower, but still accurate prediction performance on gene expression (Figures 3d and 3f). </w:t>
      </w:r>
      <w:r w:rsidR="001B5B45">
        <w:rPr>
          <w:rFonts w:ascii="Arial" w:hAnsi="Arial" w:cs="Arial"/>
          <w:sz w:val="22"/>
          <w:szCs w:val="22"/>
        </w:rPr>
        <w:t xml:space="preserve">Intuitively, </w:t>
      </w:r>
      <w:r w:rsidR="009E7A40">
        <w:rPr>
          <w:rFonts w:ascii="Arial" w:hAnsi="Arial" w:cs="Arial"/>
          <w:sz w:val="22"/>
          <w:szCs w:val="22"/>
        </w:rPr>
        <w:t>this</w:t>
      </w:r>
      <w:r w:rsidR="00D0023C">
        <w:rPr>
          <w:rFonts w:ascii="Arial" w:hAnsi="Arial" w:cs="Arial"/>
          <w:sz w:val="22"/>
          <w:szCs w:val="22"/>
        </w:rPr>
        <w:t xml:space="preserve"> is </w:t>
      </w:r>
      <w:r w:rsidR="004638BC">
        <w:rPr>
          <w:rFonts w:ascii="Arial" w:hAnsi="Arial" w:cs="Arial"/>
          <w:sz w:val="22"/>
          <w:szCs w:val="22"/>
        </w:rPr>
        <w:t>a consequence of the Central Limit Theorem --</w:t>
      </w:r>
      <w:r w:rsidR="00D0023C">
        <w:rPr>
          <w:rFonts w:ascii="Arial" w:hAnsi="Arial" w:cs="Arial"/>
          <w:sz w:val="22"/>
          <w:szCs w:val="22"/>
        </w:rPr>
        <w:t xml:space="preserve"> </w:t>
      </w:r>
      <w:r w:rsidR="00210074">
        <w:rPr>
          <w:rFonts w:ascii="Arial" w:hAnsi="Arial" w:cs="Arial"/>
          <w:sz w:val="22"/>
          <w:szCs w:val="22"/>
        </w:rPr>
        <w:t>transcriptional programs are measured as</w:t>
      </w:r>
      <w:r w:rsidR="00D0023C">
        <w:rPr>
          <w:rFonts w:ascii="Arial" w:hAnsi="Arial" w:cs="Arial"/>
          <w:sz w:val="22"/>
          <w:szCs w:val="22"/>
        </w:rPr>
        <w:t xml:space="preserve"> as linear combinations of the</w:t>
      </w:r>
      <w:r w:rsidR="00210074">
        <w:rPr>
          <w:rFonts w:ascii="Arial" w:hAnsi="Arial" w:cs="Arial"/>
          <w:sz w:val="22"/>
          <w:szCs w:val="22"/>
        </w:rPr>
        <w:t xml:space="preserve"> log-latent TPMs of the</w:t>
      </w:r>
      <w:r w:rsidR="00D0023C">
        <w:rPr>
          <w:rFonts w:ascii="Arial" w:hAnsi="Arial" w:cs="Arial"/>
          <w:sz w:val="22"/>
          <w:szCs w:val="22"/>
        </w:rPr>
        <w:t xml:space="preserve"> genes that comprise them, effectively smoothing over noise in each gene’s expression </w:t>
      </w:r>
      <w:r w:rsidR="009F7720">
        <w:rPr>
          <w:rFonts w:ascii="Arial" w:hAnsi="Arial" w:cs="Arial"/>
          <w:sz w:val="22"/>
          <w:szCs w:val="22"/>
        </w:rPr>
        <w:t>prediction</w:t>
      </w:r>
      <w:r w:rsidR="00A14360">
        <w:rPr>
          <w:rFonts w:ascii="Arial" w:hAnsi="Arial" w:cs="Arial"/>
          <w:sz w:val="22"/>
          <w:szCs w:val="22"/>
        </w:rPr>
        <w:t>.</w:t>
      </w:r>
    </w:p>
    <w:p w14:paraId="17612EC3" w14:textId="77777777" w:rsidR="003260E5" w:rsidRDefault="003260E5" w:rsidP="00A14360">
      <w:pPr>
        <w:pStyle w:val="NormalWeb"/>
        <w:spacing w:before="0" w:beforeAutospacing="0" w:after="0" w:afterAutospacing="0"/>
        <w:jc w:val="both"/>
        <w:rPr>
          <w:rFonts w:ascii="Arial" w:hAnsi="Arial" w:cs="Arial"/>
          <w:sz w:val="22"/>
          <w:szCs w:val="22"/>
        </w:rPr>
      </w:pPr>
    </w:p>
    <w:p w14:paraId="3C133CAC" w14:textId="63979DCE" w:rsidR="003260E5" w:rsidRDefault="003260E5" w:rsidP="00A14360">
      <w:pPr>
        <w:pStyle w:val="NormalWeb"/>
        <w:spacing w:before="0" w:beforeAutospacing="0" w:after="0" w:afterAutospacing="0"/>
        <w:jc w:val="both"/>
        <w:rPr>
          <w:rFonts w:ascii="Arial" w:hAnsi="Arial" w:cs="Arial"/>
          <w:sz w:val="22"/>
          <w:szCs w:val="22"/>
        </w:rPr>
      </w:pPr>
      <w:r w:rsidRPr="003260E5">
        <w:rPr>
          <w:rFonts w:ascii="Arial" w:hAnsi="Arial" w:cs="Arial"/>
          <w:sz w:val="22"/>
          <w:szCs w:val="22"/>
          <w:highlight w:val="yellow"/>
        </w:rPr>
        <w:t>Need marker lists in supplemental</w:t>
      </w:r>
    </w:p>
    <w:p w14:paraId="122959A3" w14:textId="77777777" w:rsidR="003260E5" w:rsidRDefault="003260E5" w:rsidP="00A14360">
      <w:pPr>
        <w:pStyle w:val="NormalWeb"/>
        <w:spacing w:before="0" w:beforeAutospacing="0" w:after="0" w:afterAutospacing="0"/>
        <w:jc w:val="both"/>
        <w:rPr>
          <w:rFonts w:ascii="Arial" w:hAnsi="Arial" w:cs="Arial"/>
          <w:sz w:val="22"/>
          <w:szCs w:val="22"/>
        </w:rPr>
      </w:pPr>
    </w:p>
    <w:p w14:paraId="01A2C4BB" w14:textId="534840F5" w:rsidR="00A14360" w:rsidRDefault="00A14360" w:rsidP="00A14360">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Case studies reveal the </w:t>
      </w:r>
      <w:r w:rsidR="00835FB4">
        <w:rPr>
          <w:rFonts w:ascii="Arial" w:hAnsi="Arial" w:cs="Arial"/>
          <w:b/>
          <w:sz w:val="22"/>
          <w:szCs w:val="22"/>
        </w:rPr>
        <w:t>power of predicting and studying predefined transcriptional programs</w:t>
      </w:r>
    </w:p>
    <w:p w14:paraId="49927F4D" w14:textId="025B7DFF" w:rsidR="000C76CB" w:rsidRDefault="00A14360" w:rsidP="00A14360">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better contextualize how Tradict </w:t>
      </w:r>
      <w:r w:rsidR="000C76CB">
        <w:rPr>
          <w:rFonts w:ascii="Arial" w:hAnsi="Arial" w:cs="Arial"/>
          <w:sz w:val="22"/>
          <w:szCs w:val="22"/>
        </w:rPr>
        <w:t>may</w:t>
      </w:r>
      <w:r>
        <w:rPr>
          <w:rFonts w:ascii="Arial" w:hAnsi="Arial" w:cs="Arial"/>
          <w:sz w:val="22"/>
          <w:szCs w:val="22"/>
        </w:rPr>
        <w:t xml:space="preserve"> be applied in practice</w:t>
      </w:r>
      <w:r w:rsidR="000C76CB">
        <w:rPr>
          <w:rFonts w:ascii="Arial" w:hAnsi="Arial" w:cs="Arial"/>
          <w:sz w:val="22"/>
          <w:szCs w:val="22"/>
        </w:rPr>
        <w:t>,</w:t>
      </w:r>
      <w:r>
        <w:rPr>
          <w:rFonts w:ascii="Arial" w:hAnsi="Arial" w:cs="Arial"/>
          <w:sz w:val="22"/>
          <w:szCs w:val="22"/>
        </w:rPr>
        <w:t xml:space="preserve"> we focused on two case stud</w:t>
      </w:r>
      <w:r w:rsidR="000C76CB">
        <w:rPr>
          <w:rFonts w:ascii="Arial" w:hAnsi="Arial" w:cs="Arial"/>
          <w:sz w:val="22"/>
          <w:szCs w:val="22"/>
        </w:rPr>
        <w:t xml:space="preserve">ies related to innate immune signaling -- one in </w:t>
      </w:r>
      <w:r w:rsidR="000C76CB">
        <w:rPr>
          <w:rFonts w:ascii="Arial" w:hAnsi="Arial" w:cs="Arial"/>
          <w:i/>
          <w:sz w:val="22"/>
          <w:szCs w:val="22"/>
        </w:rPr>
        <w:t>A. thaliana</w:t>
      </w:r>
      <w:r w:rsidR="000C76CB">
        <w:rPr>
          <w:rFonts w:ascii="Arial" w:hAnsi="Arial" w:cs="Arial"/>
          <w:sz w:val="22"/>
          <w:szCs w:val="22"/>
        </w:rPr>
        <w:t xml:space="preserve">, and the other in </w:t>
      </w:r>
      <w:r w:rsidR="000C76CB">
        <w:rPr>
          <w:rFonts w:ascii="Arial" w:hAnsi="Arial" w:cs="Arial"/>
          <w:i/>
          <w:sz w:val="22"/>
          <w:szCs w:val="22"/>
        </w:rPr>
        <w:t>M. musculus</w:t>
      </w:r>
      <w:r w:rsidR="000C76CB">
        <w:rPr>
          <w:rFonts w:ascii="Arial" w:hAnsi="Arial" w:cs="Arial"/>
          <w:sz w:val="22"/>
          <w:szCs w:val="22"/>
        </w:rPr>
        <w:t>.</w:t>
      </w:r>
      <w:r w:rsidR="00C829D9">
        <w:rPr>
          <w:rFonts w:ascii="Arial" w:hAnsi="Arial" w:cs="Arial"/>
          <w:sz w:val="22"/>
          <w:szCs w:val="22"/>
        </w:rPr>
        <w:t xml:space="preserve"> </w:t>
      </w:r>
      <w:r w:rsidR="00860F9C">
        <w:rPr>
          <w:rFonts w:ascii="Arial" w:hAnsi="Arial" w:cs="Arial"/>
          <w:sz w:val="22"/>
          <w:szCs w:val="22"/>
        </w:rPr>
        <w:t xml:space="preserve">We trained Tradict on our full collection of training transcriptomes </w:t>
      </w:r>
      <w:r w:rsidR="00C570E4">
        <w:rPr>
          <w:rFonts w:ascii="Arial" w:hAnsi="Arial" w:cs="Arial"/>
          <w:sz w:val="22"/>
          <w:szCs w:val="22"/>
        </w:rPr>
        <w:t>for each organism</w:t>
      </w:r>
      <w:r w:rsidR="00860F9C">
        <w:rPr>
          <w:rFonts w:ascii="Arial" w:hAnsi="Arial" w:cs="Arial"/>
          <w:sz w:val="22"/>
          <w:szCs w:val="22"/>
        </w:rPr>
        <w:t xml:space="preserve"> to produce two organism-specific Tradict</w:t>
      </w:r>
      <w:r w:rsidR="00393B69">
        <w:rPr>
          <w:rFonts w:ascii="Arial" w:hAnsi="Arial" w:cs="Arial"/>
          <w:sz w:val="22"/>
          <w:szCs w:val="22"/>
        </w:rPr>
        <w:t xml:space="preserve"> models. Each was </w:t>
      </w:r>
      <w:r w:rsidR="00860F9C">
        <w:rPr>
          <w:rFonts w:ascii="Arial" w:hAnsi="Arial" w:cs="Arial"/>
          <w:sz w:val="22"/>
          <w:szCs w:val="22"/>
        </w:rPr>
        <w:t>based on the selection of 100</w:t>
      </w:r>
      <w:r w:rsidR="0030673B">
        <w:rPr>
          <w:rFonts w:ascii="Arial" w:hAnsi="Arial" w:cs="Arial"/>
          <w:sz w:val="22"/>
          <w:szCs w:val="22"/>
        </w:rPr>
        <w:t xml:space="preserve"> markers that we assert are</w:t>
      </w:r>
      <w:r w:rsidR="00860F9C">
        <w:rPr>
          <w:rFonts w:ascii="Arial" w:hAnsi="Arial" w:cs="Arial"/>
          <w:sz w:val="22"/>
          <w:szCs w:val="22"/>
        </w:rPr>
        <w:t xml:space="preserve"> globally representative, </w:t>
      </w:r>
      <w:r w:rsidR="00F90117">
        <w:rPr>
          <w:rFonts w:ascii="Arial" w:hAnsi="Arial" w:cs="Arial"/>
          <w:sz w:val="22"/>
          <w:szCs w:val="22"/>
        </w:rPr>
        <w:t xml:space="preserve">and </w:t>
      </w:r>
      <w:r w:rsidR="00860F9C">
        <w:rPr>
          <w:rFonts w:ascii="Arial" w:hAnsi="Arial" w:cs="Arial"/>
          <w:sz w:val="22"/>
          <w:szCs w:val="22"/>
        </w:rPr>
        <w:t>context-inde</w:t>
      </w:r>
      <w:r w:rsidR="00695B8D">
        <w:rPr>
          <w:rFonts w:ascii="Arial" w:hAnsi="Arial" w:cs="Arial"/>
          <w:sz w:val="22"/>
          <w:szCs w:val="22"/>
        </w:rPr>
        <w:t>pe</w:t>
      </w:r>
      <w:r w:rsidR="00860F9C">
        <w:rPr>
          <w:rFonts w:ascii="Arial" w:hAnsi="Arial" w:cs="Arial"/>
          <w:sz w:val="22"/>
          <w:szCs w:val="22"/>
        </w:rPr>
        <w:t xml:space="preserve">ndent. </w:t>
      </w:r>
      <w:r w:rsidR="00F544E7">
        <w:rPr>
          <w:rFonts w:ascii="Arial" w:hAnsi="Arial" w:cs="Arial"/>
          <w:sz w:val="22"/>
          <w:szCs w:val="22"/>
        </w:rPr>
        <w:t>The case study samples do not, of course, appear in the collection of training transcriptomes.</w:t>
      </w:r>
    </w:p>
    <w:p w14:paraId="3222F994" w14:textId="77777777" w:rsidR="0049793E" w:rsidRDefault="0049793E" w:rsidP="00A14360">
      <w:pPr>
        <w:pStyle w:val="NormalWeb"/>
        <w:spacing w:before="0" w:beforeAutospacing="0" w:after="0" w:afterAutospacing="0"/>
        <w:jc w:val="both"/>
        <w:rPr>
          <w:rFonts w:ascii="Arial" w:hAnsi="Arial" w:cs="Arial"/>
          <w:sz w:val="22"/>
          <w:szCs w:val="22"/>
        </w:rPr>
      </w:pPr>
    </w:p>
    <w:p w14:paraId="7ED3CFC5" w14:textId="77777777" w:rsidR="0049793E" w:rsidRDefault="0049793E" w:rsidP="0049793E">
      <w:pPr>
        <w:keepNext/>
      </w:pPr>
      <w:r>
        <w:rPr>
          <w:noProof/>
        </w:rPr>
        <w:drawing>
          <wp:inline distT="0" distB="0" distL="0" distR="0" wp14:anchorId="2D8918FD" wp14:editId="7F906C29">
            <wp:extent cx="5931634" cy="4794738"/>
            <wp:effectExtent l="0" t="0" r="12065" b="6350"/>
            <wp:docPr id="6" name="Picture 6"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biswas:GitHub:transcriptome_compression:paper:fig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7550"/>
                    <a:stretch/>
                  </pic:blipFill>
                  <pic:spPr bwMode="auto">
                    <a:xfrm>
                      <a:off x="0" y="0"/>
                      <a:ext cx="5932170" cy="4795171"/>
                    </a:xfrm>
                    <a:prstGeom prst="rect">
                      <a:avLst/>
                    </a:prstGeom>
                    <a:noFill/>
                    <a:ln>
                      <a:noFill/>
                    </a:ln>
                    <a:extLst>
                      <a:ext uri="{53640926-AAD7-44d8-BBD7-CCE9431645EC}">
                        <a14:shadowObscured xmlns:a14="http://schemas.microsoft.com/office/drawing/2010/main"/>
                      </a:ext>
                    </a:extLst>
                  </pic:spPr>
                </pic:pic>
              </a:graphicData>
            </a:graphic>
          </wp:inline>
        </w:drawing>
      </w:r>
    </w:p>
    <w:p w14:paraId="1ED6AC3B" w14:textId="77777777" w:rsidR="0049793E" w:rsidRDefault="0049793E" w:rsidP="0049793E">
      <w:pPr>
        <w:pStyle w:val="Caption"/>
        <w:jc w:val="both"/>
        <w:rPr>
          <w:rFonts w:ascii="Arial" w:hAnsi="Arial" w:cs="Arial"/>
          <w:b w:val="0"/>
          <w:color w:val="auto"/>
        </w:rPr>
      </w:pPr>
      <w:r w:rsidRPr="00774CAC">
        <w:rPr>
          <w:rFonts w:ascii="Arial" w:hAnsi="Arial" w:cs="Arial"/>
          <w:color w:val="auto"/>
        </w:rPr>
        <w:t xml:space="preserve">Figure </w:t>
      </w:r>
      <w:r w:rsidRPr="00774CAC">
        <w:rPr>
          <w:rFonts w:ascii="Arial" w:hAnsi="Arial" w:cs="Arial"/>
          <w:color w:val="auto"/>
        </w:rPr>
        <w:fldChar w:fldCharType="begin"/>
      </w:r>
      <w:r w:rsidRPr="00774CAC">
        <w:rPr>
          <w:rFonts w:ascii="Arial" w:hAnsi="Arial" w:cs="Arial"/>
          <w:color w:val="auto"/>
        </w:rPr>
        <w:instrText xml:space="preserve"> SEQ Figure \* ARABIC </w:instrText>
      </w:r>
      <w:r w:rsidRPr="00774CAC">
        <w:rPr>
          <w:rFonts w:ascii="Arial" w:hAnsi="Arial" w:cs="Arial"/>
          <w:color w:val="auto"/>
        </w:rPr>
        <w:fldChar w:fldCharType="separate"/>
      </w:r>
      <w:r>
        <w:rPr>
          <w:rFonts w:ascii="Arial" w:hAnsi="Arial" w:cs="Arial"/>
          <w:noProof/>
          <w:color w:val="auto"/>
        </w:rPr>
        <w:t>3</w:t>
      </w:r>
      <w:r w:rsidRPr="00774CAC">
        <w:rPr>
          <w:rFonts w:ascii="Arial" w:hAnsi="Arial" w:cs="Arial"/>
          <w:color w:val="auto"/>
        </w:rPr>
        <w:fldChar w:fldCharType="end"/>
      </w:r>
      <w:r>
        <w:rPr>
          <w:rFonts w:ascii="Arial" w:hAnsi="Arial" w:cs="Arial"/>
          <w:color w:val="auto"/>
        </w:rPr>
        <w:t xml:space="preserve">.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p w14:paraId="30E31128" w14:textId="04A12E74" w:rsidR="000C76CB" w:rsidRDefault="0049793E" w:rsidP="008F6D5E">
      <w:r w:rsidRPr="009957AD">
        <w:rPr>
          <w:highlight w:val="yellow"/>
        </w:rPr>
        <w:t>Change  “JA response pathway score” to “JA response”</w:t>
      </w:r>
    </w:p>
    <w:p w14:paraId="1C7A4809" w14:textId="77777777" w:rsidR="008F6D5E" w:rsidRPr="008F6D5E" w:rsidRDefault="008F6D5E" w:rsidP="008F6D5E"/>
    <w:p w14:paraId="37E4C67F" w14:textId="704CC51E" w:rsidR="00FE09BD" w:rsidRDefault="000C76CB" w:rsidP="00192AED">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sidR="0033617B">
        <w:rPr>
          <w:rFonts w:ascii="Arial" w:hAnsi="Arial" w:cs="Arial"/>
          <w:b/>
          <w:sz w:val="22"/>
          <w:szCs w:val="22"/>
        </w:rPr>
        <w:t xml:space="preserve">expression </w:t>
      </w:r>
      <w:r w:rsidRPr="000C76CB">
        <w:rPr>
          <w:rFonts w:ascii="Arial" w:hAnsi="Arial" w:cs="Arial"/>
          <w:b/>
          <w:sz w:val="22"/>
          <w:szCs w:val="22"/>
        </w:rPr>
        <w:t xml:space="preserve">patterns for </w:t>
      </w:r>
      <w:r w:rsidR="00D77330">
        <w:rPr>
          <w:rFonts w:ascii="Arial" w:hAnsi="Arial" w:cs="Arial"/>
          <w:b/>
          <w:sz w:val="22"/>
          <w:szCs w:val="22"/>
        </w:rPr>
        <w:t>a diverse panel</w:t>
      </w:r>
      <w:r w:rsidRPr="000C76CB">
        <w:rPr>
          <w:rFonts w:ascii="Arial" w:hAnsi="Arial" w:cs="Arial"/>
          <w:b/>
          <w:sz w:val="22"/>
          <w:szCs w:val="22"/>
        </w:rPr>
        <w:t xml:space="preserve"> </w:t>
      </w:r>
      <w:r w:rsidR="005A5020">
        <w:rPr>
          <w:rFonts w:ascii="Arial" w:hAnsi="Arial" w:cs="Arial"/>
          <w:b/>
          <w:sz w:val="22"/>
          <w:szCs w:val="22"/>
        </w:rPr>
        <w:t xml:space="preserve">of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sidR="005D148C">
        <w:rPr>
          <w:rFonts w:ascii="Arial" w:hAnsi="Arial" w:cs="Arial"/>
          <w:sz w:val="22"/>
          <w:szCs w:val="22"/>
        </w:rPr>
        <w:t>The hormones salicylic acid (SA) and jasmonic acid (JA) play a major</w:t>
      </w:r>
      <w:r w:rsidR="003F2BC9">
        <w:rPr>
          <w:rFonts w:ascii="Arial" w:hAnsi="Arial" w:cs="Arial"/>
          <w:sz w:val="22"/>
          <w:szCs w:val="22"/>
        </w:rPr>
        <w:t>, antagonistic</w:t>
      </w:r>
      <w:r w:rsidR="005D148C">
        <w:rPr>
          <w:rFonts w:ascii="Arial" w:hAnsi="Arial" w:cs="Arial"/>
          <w:sz w:val="22"/>
          <w:szCs w:val="22"/>
        </w:rPr>
        <w:t xml:space="preserve"> regulatory role</w:t>
      </w:r>
      <w:r w:rsidR="00E24219">
        <w:rPr>
          <w:rFonts w:ascii="Arial" w:hAnsi="Arial" w:cs="Arial"/>
          <w:sz w:val="22"/>
          <w:szCs w:val="22"/>
        </w:rPr>
        <w:t xml:space="preserve"> in the activation of plant defense responses</w:t>
      </w:r>
      <w:r w:rsidR="00DC715A">
        <w:rPr>
          <w:rFonts w:ascii="Arial" w:hAnsi="Arial" w:cs="Arial"/>
          <w:sz w:val="22"/>
          <w:szCs w:val="22"/>
        </w:rPr>
        <w:t xml:space="preserve"> to pathogens. </w:t>
      </w:r>
      <w:r w:rsidR="009D552C">
        <w:rPr>
          <w:rFonts w:ascii="Arial" w:hAnsi="Arial" w:cs="Arial"/>
          <w:sz w:val="22"/>
          <w:szCs w:val="22"/>
        </w:rPr>
        <w:t xml:space="preserve">Yang </w:t>
      </w:r>
      <w:r w:rsidR="009D552C">
        <w:rPr>
          <w:rFonts w:ascii="Arial" w:hAnsi="Arial" w:cs="Arial"/>
          <w:i/>
          <w:sz w:val="22"/>
          <w:szCs w:val="22"/>
        </w:rPr>
        <w:t>et al.</w:t>
      </w:r>
      <w:r w:rsidR="009D552C">
        <w:rPr>
          <w:rFonts w:ascii="Arial" w:hAnsi="Arial" w:cs="Arial"/>
          <w:sz w:val="22"/>
          <w:szCs w:val="22"/>
        </w:rPr>
        <w:t xml:space="preserve"> (2016) investigate </w:t>
      </w:r>
      <w:r w:rsidR="00E20CBA">
        <w:rPr>
          <w:rFonts w:ascii="Arial" w:hAnsi="Arial" w:cs="Arial"/>
          <w:sz w:val="22"/>
          <w:szCs w:val="22"/>
        </w:rPr>
        <w:t xml:space="preserve">the effect of a transgenically expressed bacterial effector, HopBB1, on JA signaling in </w:t>
      </w:r>
      <w:r w:rsidR="00E20CBA">
        <w:rPr>
          <w:rFonts w:ascii="Arial" w:hAnsi="Arial" w:cs="Arial"/>
          <w:i/>
          <w:sz w:val="22"/>
          <w:szCs w:val="22"/>
        </w:rPr>
        <w:t>A. thaliana</w:t>
      </w:r>
      <w:r w:rsidR="00E521BD">
        <w:rPr>
          <w:rFonts w:ascii="Arial" w:hAnsi="Arial" w:cs="Arial"/>
          <w:sz w:val="22"/>
          <w:szCs w:val="22"/>
        </w:rPr>
        <w:fldChar w:fldCharType="begin" w:fldLock="1"/>
      </w:r>
      <w:r w:rsidR="002138E6">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"&lt;sup&gt;23&lt;/sup&gt;", "plainTextFormattedCitation" : "23", "previouslyFormattedCitation" : "&lt;sup&gt;23&lt;/sup&gt;" }, "properties" : { "noteIndex" : 0 }, "schema" : "https://github.com/citation-style-language/schema/raw/master/csl-citation.json" }</w:instrText>
      </w:r>
      <w:r w:rsidR="00E521BD">
        <w:rPr>
          <w:rFonts w:ascii="Arial" w:hAnsi="Arial" w:cs="Arial"/>
          <w:sz w:val="22"/>
          <w:szCs w:val="22"/>
        </w:rPr>
        <w:fldChar w:fldCharType="separate"/>
      </w:r>
      <w:r w:rsidR="00E521BD" w:rsidRPr="00E521BD">
        <w:rPr>
          <w:rFonts w:ascii="Arial" w:hAnsi="Arial" w:cs="Arial"/>
          <w:noProof/>
          <w:sz w:val="22"/>
          <w:szCs w:val="22"/>
          <w:vertAlign w:val="superscript"/>
        </w:rPr>
        <w:t>23</w:t>
      </w:r>
      <w:r w:rsidR="00E521BD">
        <w:rPr>
          <w:rFonts w:ascii="Arial" w:hAnsi="Arial" w:cs="Arial"/>
          <w:sz w:val="22"/>
          <w:szCs w:val="22"/>
        </w:rPr>
        <w:fldChar w:fldCharType="end"/>
      </w:r>
      <w:r w:rsidR="00E521BD">
        <w:rPr>
          <w:rFonts w:ascii="Arial" w:hAnsi="Arial" w:cs="Arial"/>
          <w:i/>
          <w:sz w:val="22"/>
          <w:szCs w:val="22"/>
        </w:rPr>
        <w:t xml:space="preserve">. </w:t>
      </w:r>
      <w:r w:rsidR="00E20CBA">
        <w:rPr>
          <w:rFonts w:ascii="Arial" w:hAnsi="Arial" w:cs="Arial"/>
          <w:sz w:val="22"/>
          <w:szCs w:val="22"/>
        </w:rPr>
        <w:t>In their study, the</w:t>
      </w:r>
      <w:r w:rsidR="008B544A">
        <w:rPr>
          <w:rFonts w:ascii="Arial" w:hAnsi="Arial" w:cs="Arial"/>
          <w:sz w:val="22"/>
          <w:szCs w:val="22"/>
        </w:rPr>
        <w:t>y</w:t>
      </w:r>
      <w:r w:rsidR="00E20CBA">
        <w:rPr>
          <w:rFonts w:ascii="Arial" w:hAnsi="Arial" w:cs="Arial"/>
          <w:sz w:val="22"/>
          <w:szCs w:val="22"/>
        </w:rPr>
        <w:t xml:space="preserve"> perform a time course experiment, treating plants with MeJA (</w:t>
      </w:r>
      <w:r w:rsidR="00CA5EE2">
        <w:rPr>
          <w:rFonts w:ascii="Arial" w:hAnsi="Arial" w:cs="Arial"/>
          <w:sz w:val="22"/>
          <w:szCs w:val="22"/>
        </w:rPr>
        <w:t xml:space="preserve">a </w:t>
      </w:r>
      <w:r w:rsidR="00E20CBA">
        <w:rPr>
          <w:rFonts w:ascii="Arial" w:hAnsi="Arial" w:cs="Arial"/>
          <w:sz w:val="22"/>
          <w:szCs w:val="22"/>
        </w:rPr>
        <w:t>JA response inducer), BTH (an SA mimic and SA response inducer), or mock buffer and monitoring the transcriptome</w:t>
      </w:r>
      <w:r w:rsidR="00FE09BD">
        <w:rPr>
          <w:rFonts w:ascii="Arial" w:hAnsi="Arial" w:cs="Arial"/>
          <w:sz w:val="22"/>
          <w:szCs w:val="22"/>
        </w:rPr>
        <w:t xml:space="preserve"> of bulk seedlings</w:t>
      </w:r>
      <w:r w:rsidR="00E20CBA">
        <w:rPr>
          <w:rFonts w:ascii="Arial" w:hAnsi="Arial" w:cs="Arial"/>
          <w:sz w:val="22"/>
          <w:szCs w:val="22"/>
        </w:rPr>
        <w:t xml:space="preserve"> at 0 hr, 1 hr, 5 hr, and 8 hr post treatment.</w:t>
      </w:r>
      <w:r w:rsidR="00FE09BD">
        <w:rPr>
          <w:rFonts w:ascii="Arial" w:hAnsi="Arial" w:cs="Arial"/>
          <w:sz w:val="22"/>
          <w:szCs w:val="22"/>
        </w:rPr>
        <w:t xml:space="preserve"> Importantly, their experiments include several immune signaling mutants</w:t>
      </w:r>
      <w:r w:rsidR="00D01B69">
        <w:rPr>
          <w:rFonts w:ascii="Arial" w:hAnsi="Arial" w:cs="Arial"/>
          <w:sz w:val="22"/>
          <w:szCs w:val="22"/>
        </w:rPr>
        <w:t xml:space="preserve"> with differing degrees of response efficiency to MeJA and BTH treatment.</w:t>
      </w:r>
      <w:r w:rsidR="00443361">
        <w:rPr>
          <w:rFonts w:ascii="Arial" w:hAnsi="Arial" w:cs="Arial"/>
          <w:sz w:val="22"/>
          <w:szCs w:val="22"/>
        </w:rPr>
        <w:t xml:space="preserve"> </w:t>
      </w:r>
      <w:r w:rsidR="00FE09BD">
        <w:rPr>
          <w:rFonts w:ascii="Arial" w:hAnsi="Arial" w:cs="Arial"/>
          <w:sz w:val="22"/>
          <w:szCs w:val="22"/>
        </w:rPr>
        <w:t>Among other findings, they conclude that HopBB1 enhances the JA response, thereby repressing the SA response and facilitating pathogen infection.</w:t>
      </w:r>
    </w:p>
    <w:p w14:paraId="0F631C55" w14:textId="3DAFA5E6" w:rsidR="00AC1AAB" w:rsidRDefault="00FE09BD" w:rsidP="00FE09B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asked to what extent reduced 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delivers a slightly </w:t>
      </w:r>
      <w:r w:rsidR="003231FE">
        <w:rPr>
          <w:rFonts w:ascii="Arial" w:hAnsi="Arial" w:cs="Arial"/>
          <w:sz w:val="22"/>
          <w:szCs w:val="22"/>
        </w:rPr>
        <w:t>below-</w:t>
      </w:r>
      <w:r w:rsidR="000B798E">
        <w:rPr>
          <w:rFonts w:ascii="Arial" w:hAnsi="Arial" w:cs="Arial"/>
          <w:sz w:val="22"/>
          <w:szCs w:val="22"/>
        </w:rPr>
        <w:t xml:space="preserve">average </w:t>
      </w:r>
      <w:r w:rsidR="009A7C82">
        <w:rPr>
          <w:rFonts w:ascii="Arial" w:hAnsi="Arial" w:cs="Arial"/>
          <w:sz w:val="22"/>
          <w:szCs w:val="22"/>
        </w:rPr>
        <w:t xml:space="preserve">performance, but is able to reconstruct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72C92675" w:rsidR="00896418" w:rsidRDefault="00E96A06" w:rsidP="00F66E8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Recall the genes participating in each of our transcriptional programs are pre-defined, in this work, by a carefully chosen, interpretable, but maximally representative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demonstrates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D50350">
        <w:rPr>
          <w:rFonts w:ascii="Arial" w:hAnsi="Arial" w:cs="Arial"/>
          <w:sz w:val="22"/>
          <w:szCs w:val="22"/>
        </w:rPr>
        <w:t xml:space="preserve"> [REF]</w:t>
      </w:r>
      <w:r w:rsidR="00DA50B1">
        <w:rPr>
          <w:rFonts w:ascii="Arial" w:hAnsi="Arial" w:cs="Arial"/>
          <w:sz w:val="22"/>
          <w:szCs w:val="22"/>
        </w:rPr>
        <w:t xml:space="preserve">. </w:t>
      </w:r>
    </w:p>
    <w:p w14:paraId="12C951B9" w14:textId="496B4040" w:rsidR="003F4838" w:rsidRDefault="00F225F9" w:rsidP="003F483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4049A01B" w14:textId="77777777" w:rsidR="000F3FC7" w:rsidRDefault="000F3FC7" w:rsidP="003F4838">
      <w:pPr>
        <w:pStyle w:val="NormalWeb"/>
        <w:spacing w:before="0" w:beforeAutospacing="0" w:after="0" w:afterAutospacing="0"/>
        <w:ind w:firstLine="720"/>
        <w:jc w:val="both"/>
        <w:rPr>
          <w:rFonts w:ascii="Arial" w:hAnsi="Arial" w:cs="Arial"/>
          <w:sz w:val="22"/>
          <w:szCs w:val="22"/>
        </w:rPr>
      </w:pPr>
    </w:p>
    <w:p w14:paraId="7685513A" w14:textId="77777777" w:rsidR="000F3FC7" w:rsidRDefault="000F3FC7" w:rsidP="000F3FC7">
      <w:pPr>
        <w:keepNext/>
        <w:jc w:val="both"/>
      </w:pPr>
      <w:r>
        <w:rPr>
          <w:rFonts w:ascii="Arial" w:hAnsi="Arial" w:cs="Arial"/>
          <w:b/>
          <w:noProof/>
          <w:sz w:val="22"/>
          <w:szCs w:val="22"/>
        </w:rPr>
        <w:drawing>
          <wp:inline distT="0" distB="0" distL="0" distR="0" wp14:anchorId="29803BB2" wp14:editId="377EF3C8">
            <wp:extent cx="5932170" cy="3223846"/>
            <wp:effectExtent l="0" t="0" r="11430" b="2540"/>
            <wp:docPr id="7" name="Picture 7" descr="Macintosh HD:Users:sbiswas:GitHub:transcriptome_compression:pape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58014"/>
                    <a:stretch/>
                  </pic:blipFill>
                  <pic:spPr bwMode="auto">
                    <a:xfrm>
                      <a:off x="0" y="0"/>
                      <a:ext cx="5932170" cy="3223846"/>
                    </a:xfrm>
                    <a:prstGeom prst="rect">
                      <a:avLst/>
                    </a:prstGeom>
                    <a:noFill/>
                    <a:ln>
                      <a:noFill/>
                    </a:ln>
                    <a:extLst>
                      <a:ext uri="{53640926-AAD7-44d8-BBD7-CCE9431645EC}">
                        <a14:shadowObscured xmlns:a14="http://schemas.microsoft.com/office/drawing/2010/main"/>
                      </a:ext>
                    </a:extLst>
                  </pic:spPr>
                </pic:pic>
              </a:graphicData>
            </a:graphic>
          </wp:inline>
        </w:drawing>
      </w:r>
    </w:p>
    <w:p w14:paraId="161CA525" w14:textId="5D200023" w:rsidR="000F3FC7" w:rsidRPr="000F3FC7" w:rsidRDefault="000F3FC7" w:rsidP="000F3FC7">
      <w:pPr>
        <w:pStyle w:val="Caption"/>
        <w:jc w:val="both"/>
        <w:rPr>
          <w:rFonts w:ascii="Arial" w:hAnsi="Arial" w:cs="Arial"/>
          <w:b w:val="0"/>
          <w:color w:val="auto"/>
        </w:rPr>
      </w:pPr>
      <w:r w:rsidRPr="005056E1">
        <w:rPr>
          <w:rFonts w:ascii="Arial" w:hAnsi="Arial" w:cs="Arial"/>
          <w:color w:val="auto"/>
        </w:rPr>
        <w:t xml:space="preserve">Figure </w:t>
      </w:r>
      <w:r w:rsidRPr="005056E1">
        <w:rPr>
          <w:rFonts w:ascii="Arial" w:hAnsi="Arial" w:cs="Arial"/>
          <w:color w:val="auto"/>
        </w:rPr>
        <w:fldChar w:fldCharType="begin"/>
      </w:r>
      <w:r w:rsidRPr="005056E1">
        <w:rPr>
          <w:rFonts w:ascii="Arial" w:hAnsi="Arial" w:cs="Arial"/>
          <w:color w:val="auto"/>
        </w:rPr>
        <w:instrText xml:space="preserve"> SEQ Figure \* ARABIC </w:instrText>
      </w:r>
      <w:r w:rsidRPr="005056E1">
        <w:rPr>
          <w:rFonts w:ascii="Arial" w:hAnsi="Arial" w:cs="Arial"/>
          <w:color w:val="auto"/>
        </w:rPr>
        <w:fldChar w:fldCharType="separate"/>
      </w:r>
      <w:r>
        <w:rPr>
          <w:rFonts w:ascii="Arial" w:hAnsi="Arial" w:cs="Arial"/>
          <w:noProof/>
          <w:color w:val="auto"/>
        </w:rPr>
        <w:t>4</w:t>
      </w:r>
      <w:r w:rsidRPr="005056E1">
        <w:rPr>
          <w:rFonts w:ascii="Arial" w:hAnsi="Arial" w:cs="Arial"/>
          <w:color w:val="auto"/>
        </w:rPr>
        <w:fldChar w:fldCharType="end"/>
      </w:r>
      <w:r>
        <w:rPr>
          <w:rFonts w:ascii="Arial" w:hAnsi="Arial" w:cs="Arial"/>
          <w:color w:val="auto"/>
        </w:rPr>
        <w:t xml:space="preserve">. Tradict accurately predicts temporal transcriptional responses to lipopolysaccharide treatment in a dendritic cell line CRISPR library. </w:t>
      </w:r>
      <w:r>
        <w:rPr>
          <w:rFonts w:ascii="Arial" w:hAnsi="Arial" w:cs="Arial"/>
          <w:b w:val="0"/>
          <w:color w:val="auto"/>
        </w:rPr>
        <w:t xml:space="preserve">a) Actual vs. predicted z-score standardized expression of the “response to lipopolysachharide” transcriptional program. Samples are colored by time point. b) Receiver operator characteristic (ROC) curve illustrating Tradict’s accuracy for identifying differentially expressed (DE) transcriptional programs. Here the “truth set” was considered to be all DE programs with FDR &lt; 0.01 based on actually measured expression values. The marked point along the ROC curve and the inset venn diagram depict the concordance between the predicted and actual set of DE transcriptional programs when an FDR threshold of 0.01 for predicted DE programs was also used. c) Predicted vs actual heatmaps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Tnf expression. The expression of programs in each sub-block is z-score normalized to their expression in the negative control guide lines. The bottom 26 programs are all of those directly related to innate immunity among the 368 programs we’ve defined for </w:t>
      </w:r>
      <w:r>
        <w:rPr>
          <w:rFonts w:ascii="Arial" w:hAnsi="Arial" w:cs="Arial"/>
          <w:b w:val="0"/>
          <w:i/>
          <w:color w:val="auto"/>
        </w:rPr>
        <w:t>M. musculus</w:t>
      </w:r>
      <w:r>
        <w:rPr>
          <w:rFonts w:ascii="Arial" w:hAnsi="Arial" w:cs="Arial"/>
          <w:b w:val="0"/>
          <w:color w:val="auto"/>
        </w:rPr>
        <w:t>. All heatmaps are clustered in the same order across time, genotype, and between predicted and actual.</w:t>
      </w:r>
    </w:p>
    <w:p w14:paraId="63F82A39" w14:textId="77777777" w:rsidR="000F3FC7" w:rsidRDefault="000F3FC7" w:rsidP="000F3FC7">
      <w:r>
        <w:rPr>
          <w:highlight w:val="yellow"/>
        </w:rPr>
        <w:t>Change  “score” to “expression</w:t>
      </w:r>
      <w:r w:rsidRPr="009957AD">
        <w:rPr>
          <w:highlight w:val="yellow"/>
        </w:rPr>
        <w:t>”</w:t>
      </w:r>
      <w:r>
        <w:t xml:space="preserve"> -- score is a previous terminology.</w:t>
      </w:r>
    </w:p>
    <w:p w14:paraId="704EB03F" w14:textId="5D4FDA06" w:rsidR="000F3FC7" w:rsidRPr="00CD27E1" w:rsidRDefault="000F3FC7" w:rsidP="00CD27E1">
      <w:r>
        <w:t xml:space="preserve">Add PCC between predicted and actual in part (a). </w:t>
      </w:r>
    </w:p>
    <w:p w14:paraId="4ADA77F9" w14:textId="6C7CAF6C" w:rsidR="00FE09BD" w:rsidRDefault="00FE09BD" w:rsidP="00840B3D">
      <w:pPr>
        <w:pStyle w:val="NormalWeb"/>
        <w:spacing w:before="0" w:beforeAutospacing="0" w:after="0" w:afterAutospacing="0"/>
        <w:jc w:val="both"/>
        <w:rPr>
          <w:rFonts w:ascii="Arial" w:hAnsi="Arial" w:cs="Arial"/>
          <w:sz w:val="22"/>
          <w:szCs w:val="22"/>
        </w:rPr>
      </w:pPr>
    </w:p>
    <w:p w14:paraId="6DF0C095" w14:textId="4A813053" w:rsidR="0062386E" w:rsidRDefault="00192AED" w:rsidP="00FE09BD">
      <w:pPr>
        <w:pStyle w:val="NormalWeb"/>
        <w:spacing w:before="0" w:beforeAutospacing="0" w:after="0" w:afterAutospacing="0"/>
        <w:jc w:val="both"/>
        <w:rPr>
          <w:rFonts w:ascii="Arial" w:hAnsi="Arial" w:cs="Arial"/>
          <w:b/>
          <w:sz w:val="22"/>
          <w:szCs w:val="22"/>
        </w:rPr>
      </w:pPr>
      <w:r w:rsidRPr="000C76CB">
        <w:rPr>
          <w:rFonts w:ascii="Arial" w:hAnsi="Arial" w:cs="Arial"/>
          <w:b/>
          <w:sz w:val="22"/>
          <w:szCs w:val="22"/>
        </w:rPr>
        <w:t xml:space="preserve">Tradict accurately predicts </w:t>
      </w:r>
      <w:r>
        <w:rPr>
          <w:rFonts w:ascii="Arial" w:hAnsi="Arial" w:cs="Arial"/>
          <w:b/>
          <w:sz w:val="22"/>
          <w:szCs w:val="22"/>
        </w:rPr>
        <w:t xml:space="preserve">temporal dynamics of innate immune signaling </w:t>
      </w:r>
      <w:r w:rsidR="0062386E">
        <w:rPr>
          <w:rFonts w:ascii="Arial" w:hAnsi="Arial" w:cs="Arial"/>
          <w:b/>
          <w:sz w:val="22"/>
          <w:szCs w:val="22"/>
        </w:rPr>
        <w:t xml:space="preserve">in CRISPRed </w:t>
      </w:r>
      <w:r w:rsidR="00820EA6">
        <w:rPr>
          <w:rFonts w:ascii="Arial" w:hAnsi="Arial" w:cs="Arial"/>
          <w:b/>
          <w:sz w:val="22"/>
          <w:szCs w:val="22"/>
        </w:rPr>
        <w:t>in primary immune</w:t>
      </w:r>
      <w:r w:rsidR="00FD5068">
        <w:rPr>
          <w:rFonts w:ascii="Arial" w:hAnsi="Arial" w:cs="Arial"/>
          <w:b/>
          <w:sz w:val="22"/>
          <w:szCs w:val="22"/>
        </w:rPr>
        <w:t xml:space="preserve"> cells</w:t>
      </w:r>
    </w:p>
    <w:p w14:paraId="47664FFF" w14:textId="77777777" w:rsidR="00C32302" w:rsidRDefault="00820EA6" w:rsidP="00FE09BD">
      <w:pPr>
        <w:pStyle w:val="NormalWeb"/>
        <w:spacing w:before="0" w:beforeAutospacing="0" w:after="0" w:afterAutospacing="0"/>
        <w:jc w:val="both"/>
        <w:rPr>
          <w:rFonts w:ascii="Arial" w:hAnsi="Arial" w:cs="Arial"/>
          <w:sz w:val="22"/>
          <w:szCs w:val="22"/>
        </w:rPr>
      </w:pPr>
      <w:r>
        <w:rPr>
          <w:rFonts w:ascii="Arial" w:hAnsi="Arial" w:cs="Arial"/>
          <w:sz w:val="22"/>
          <w:szCs w:val="22"/>
        </w:rPr>
        <w:tab/>
      </w:r>
      <w:r w:rsidR="006B351A">
        <w:rPr>
          <w:rFonts w:ascii="Arial" w:hAnsi="Arial" w:cs="Arial"/>
          <w:sz w:val="22"/>
          <w:szCs w:val="22"/>
        </w:rPr>
        <w:t xml:space="preserve">To further dissect Tradict’s capabilities, we examined a </w:t>
      </w:r>
      <w:r w:rsidR="006B351A">
        <w:rPr>
          <w:rFonts w:ascii="Arial" w:hAnsi="Arial" w:cs="Arial"/>
          <w:i/>
          <w:sz w:val="22"/>
          <w:szCs w:val="22"/>
        </w:rPr>
        <w:t>M. musculus</w:t>
      </w:r>
      <w:r w:rsidR="00FD5068">
        <w:rPr>
          <w:rFonts w:ascii="Arial" w:hAnsi="Arial" w:cs="Arial"/>
          <w:sz w:val="22"/>
          <w:szCs w:val="22"/>
        </w:rPr>
        <w:t xml:space="preserve"> dataset from Parnas </w:t>
      </w:r>
      <w:r w:rsidR="00FD5068">
        <w:rPr>
          <w:rFonts w:ascii="Arial" w:hAnsi="Arial" w:cs="Arial"/>
          <w:i/>
          <w:sz w:val="22"/>
          <w:szCs w:val="22"/>
        </w:rPr>
        <w:t xml:space="preserve">et al. </w:t>
      </w:r>
      <w:r w:rsidR="00FD5068">
        <w:rPr>
          <w:rFonts w:ascii="Arial" w:hAnsi="Arial" w:cs="Arial"/>
          <w:sz w:val="22"/>
          <w:szCs w:val="22"/>
        </w:rPr>
        <w:t>(2015) in which one of the first CRISPR screens were performed on primary immune cells to look for regulators of tumor ne</w:t>
      </w:r>
      <w:r w:rsidR="002138E6">
        <w:rPr>
          <w:rFonts w:ascii="Arial" w:hAnsi="Arial" w:cs="Arial"/>
          <w:sz w:val="22"/>
          <w:szCs w:val="22"/>
        </w:rPr>
        <w:t>crosis factor (Tnf) expression</w:t>
      </w:r>
      <w:r w:rsidR="002138E6">
        <w:rPr>
          <w:rFonts w:ascii="Arial" w:hAnsi="Arial" w:cs="Arial"/>
          <w:sz w:val="22"/>
          <w:szCs w:val="22"/>
        </w:rPr>
        <w:fldChar w:fldCharType="begin" w:fldLock="1"/>
      </w:r>
      <w:r w:rsidR="002138E6">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"&lt;sup&gt;24&lt;/sup&gt;", "plainTextFormattedCitation" : "24" }, "properties" : { "noteIndex" : 0 }, "schema" : "https://github.com/citation-style-language/schema/raw/master/csl-citation.json" }</w:instrText>
      </w:r>
      <w:r w:rsidR="002138E6">
        <w:rPr>
          <w:rFonts w:ascii="Arial" w:hAnsi="Arial" w:cs="Arial"/>
          <w:sz w:val="22"/>
          <w:szCs w:val="22"/>
        </w:rPr>
        <w:fldChar w:fldCharType="separate"/>
      </w:r>
      <w:r w:rsidR="002138E6" w:rsidRPr="002138E6">
        <w:rPr>
          <w:rFonts w:ascii="Arial" w:hAnsi="Arial" w:cs="Arial"/>
          <w:noProof/>
          <w:sz w:val="22"/>
          <w:szCs w:val="22"/>
          <w:vertAlign w:val="superscript"/>
        </w:rPr>
        <w:t>24</w:t>
      </w:r>
      <w:r w:rsidR="002138E6">
        <w:rPr>
          <w:rFonts w:ascii="Arial" w:hAnsi="Arial" w:cs="Arial"/>
          <w:sz w:val="22"/>
          <w:szCs w:val="22"/>
        </w:rPr>
        <w:fldChar w:fldCharType="end"/>
      </w:r>
      <w:r w:rsidR="002138E6">
        <w:rPr>
          <w:rFonts w:ascii="Arial" w:hAnsi="Arial" w:cs="Arial"/>
          <w:sz w:val="22"/>
          <w:szCs w:val="22"/>
        </w:rPr>
        <w:t xml:space="preserve">. They found many positive regulators of Tnf expression and created clonal bone-marrow derived dendritic cell (BDMC) lines where each positive regulator was disrupted using CRISPR. </w:t>
      </w:r>
      <w:r w:rsidR="003E2153">
        <w:rPr>
          <w:rFonts w:ascii="Arial" w:hAnsi="Arial" w:cs="Arial"/>
          <w:sz w:val="22"/>
          <w:szCs w:val="22"/>
        </w:rPr>
        <w:t>They used</w:t>
      </w:r>
      <w:r w:rsidR="007B30E3">
        <w:rPr>
          <w:rFonts w:ascii="Arial" w:hAnsi="Arial" w:cs="Arial"/>
          <w:sz w:val="22"/>
          <w:szCs w:val="22"/>
        </w:rPr>
        <w:t xml:space="preserve"> shallow RNA-sequencing </w:t>
      </w:r>
      <w:r w:rsidR="00BB7616">
        <w:rPr>
          <w:rFonts w:ascii="Arial" w:hAnsi="Arial" w:cs="Arial"/>
          <w:sz w:val="22"/>
          <w:szCs w:val="22"/>
        </w:rPr>
        <w:t xml:space="preserve">(2.75 +/- 1.2 million reads) to profile the transcriptomes of these lines </w:t>
      </w:r>
      <w:r w:rsidR="00454D8E">
        <w:rPr>
          <w:rFonts w:ascii="Arial" w:hAnsi="Arial" w:cs="Arial"/>
          <w:sz w:val="22"/>
          <w:szCs w:val="22"/>
        </w:rPr>
        <w:t xml:space="preserve">for 6 hours </w:t>
      </w:r>
      <w:r w:rsidR="00BB7616">
        <w:rPr>
          <w:rFonts w:ascii="Arial" w:hAnsi="Arial" w:cs="Arial"/>
          <w:sz w:val="22"/>
          <w:szCs w:val="22"/>
        </w:rPr>
        <w:t>after lipopolysaccharide (LPS) treatment</w:t>
      </w:r>
      <w:r w:rsidR="00454D8E">
        <w:rPr>
          <w:rFonts w:ascii="Arial" w:hAnsi="Arial" w:cs="Arial"/>
          <w:sz w:val="22"/>
          <w:szCs w:val="22"/>
        </w:rPr>
        <w:t>.</w:t>
      </w:r>
      <w:r w:rsidR="000B2801">
        <w:rPr>
          <w:rFonts w:ascii="Arial" w:hAnsi="Arial" w:cs="Arial"/>
          <w:sz w:val="22"/>
          <w:szCs w:val="22"/>
        </w:rPr>
        <w:t xml:space="preserve"> We note that while our previous analysis focused on deeply sequenced, bulk seedling transcriptomes from </w:t>
      </w:r>
      <w:r w:rsidR="000B2801">
        <w:rPr>
          <w:rFonts w:ascii="Arial" w:hAnsi="Arial" w:cs="Arial"/>
          <w:i/>
          <w:sz w:val="22"/>
          <w:szCs w:val="22"/>
        </w:rPr>
        <w:t>A. thaliana</w:t>
      </w:r>
      <w:r w:rsidR="000B2801">
        <w:rPr>
          <w:rFonts w:ascii="Arial" w:hAnsi="Arial" w:cs="Arial"/>
          <w:sz w:val="22"/>
          <w:szCs w:val="22"/>
        </w:rPr>
        <w:t xml:space="preserve">, this dataset consists of shallowly sequenced cell lines from </w:t>
      </w:r>
      <w:r w:rsidR="000B2801">
        <w:rPr>
          <w:rFonts w:ascii="Arial" w:hAnsi="Arial" w:cs="Arial"/>
          <w:i/>
          <w:sz w:val="22"/>
          <w:szCs w:val="22"/>
        </w:rPr>
        <w:t>M. musculus</w:t>
      </w:r>
      <w:r w:rsidR="000B2801">
        <w:rPr>
          <w:rFonts w:ascii="Arial" w:hAnsi="Arial" w:cs="Arial"/>
          <w:sz w:val="22"/>
          <w:szCs w:val="22"/>
        </w:rPr>
        <w:t xml:space="preserve">. </w:t>
      </w:r>
      <w:r w:rsidR="006E540F">
        <w:rPr>
          <w:rFonts w:ascii="Arial" w:hAnsi="Arial" w:cs="Arial"/>
          <w:sz w:val="22"/>
          <w:szCs w:val="22"/>
        </w:rPr>
        <w:t xml:space="preserve"> </w:t>
      </w:r>
    </w:p>
    <w:p w14:paraId="6D096F47" w14:textId="7A3F5D44" w:rsidR="00FE09BD" w:rsidRDefault="006E540F" w:rsidP="00C323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Tradict’s predictions could quantitatively recapitulate </w:t>
      </w:r>
      <w:r w:rsidR="00B41911">
        <w:rPr>
          <w:rFonts w:ascii="Arial" w:hAnsi="Arial" w:cs="Arial"/>
          <w:sz w:val="22"/>
          <w:szCs w:val="22"/>
        </w:rPr>
        <w:t xml:space="preserve">actuality, despite the challengingly </w:t>
      </w:r>
      <w:r w:rsidR="00C32302">
        <w:rPr>
          <w:rFonts w:ascii="Arial" w:hAnsi="Arial" w:cs="Arial"/>
          <w:sz w:val="22"/>
          <w:szCs w:val="22"/>
        </w:rPr>
        <w:t xml:space="preserve">noisy marker measurements due to the low sequencing depth. </w:t>
      </w:r>
      <w:r w:rsidR="00B17345">
        <w:rPr>
          <w:rFonts w:ascii="Arial" w:hAnsi="Arial" w:cs="Arial"/>
          <w:sz w:val="22"/>
          <w:szCs w:val="22"/>
        </w:rPr>
        <w:t xml:space="preserve">To be specific, approximately 30% of the markers had zero measured expression in greater than 40% of samples. </w:t>
      </w:r>
      <w:r w:rsidR="00107191">
        <w:rPr>
          <w:rFonts w:ascii="Arial" w:hAnsi="Arial" w:cs="Arial"/>
          <w:sz w:val="22"/>
          <w:szCs w:val="22"/>
        </w:rPr>
        <w:t xml:space="preserve">After performing the </w:t>
      </w:r>
      <w:r w:rsidR="00122AFF">
        <w:rPr>
          <w:rFonts w:ascii="Arial" w:hAnsi="Arial" w:cs="Arial"/>
          <w:sz w:val="22"/>
          <w:szCs w:val="22"/>
        </w:rPr>
        <w:t xml:space="preserve">batch correction described in Parnas </w:t>
      </w:r>
      <w:r w:rsidR="00122AFF">
        <w:rPr>
          <w:rFonts w:ascii="Arial" w:hAnsi="Arial" w:cs="Arial"/>
          <w:i/>
          <w:sz w:val="22"/>
          <w:szCs w:val="22"/>
        </w:rPr>
        <w:t xml:space="preserve">et al. </w:t>
      </w:r>
      <w:r w:rsidR="00107191">
        <w:rPr>
          <w:rFonts w:ascii="Arial" w:hAnsi="Arial" w:cs="Arial"/>
          <w:sz w:val="22"/>
          <w:szCs w:val="22"/>
        </w:rPr>
        <w:t>(2015), we examined the expression of the “response to lipopolysaccharide” transcriptional program</w:t>
      </w:r>
      <w:r w:rsidR="00122AFF">
        <w:rPr>
          <w:rFonts w:ascii="Arial" w:hAnsi="Arial" w:cs="Arial"/>
          <w:sz w:val="22"/>
          <w:szCs w:val="22"/>
        </w:rPr>
        <w:t xml:space="preserve">.  </w:t>
      </w:r>
      <w:r w:rsidR="00110B2D">
        <w:rPr>
          <w:rFonts w:ascii="Arial" w:hAnsi="Arial" w:cs="Arial"/>
          <w:sz w:val="22"/>
          <w:szCs w:val="22"/>
        </w:rPr>
        <w:t>Figure 5</w:t>
      </w:r>
      <w:r w:rsidR="00122AFF">
        <w:rPr>
          <w:rFonts w:ascii="Arial" w:hAnsi="Arial" w:cs="Arial"/>
          <w:sz w:val="22"/>
          <w:szCs w:val="22"/>
        </w:rPr>
        <w:t xml:space="preserve">a illustrates that despite </w:t>
      </w:r>
      <w:r w:rsidR="00107191">
        <w:rPr>
          <w:rFonts w:ascii="Arial" w:hAnsi="Arial" w:cs="Arial"/>
          <w:sz w:val="22"/>
          <w:szCs w:val="22"/>
        </w:rPr>
        <w:t>the limitation on marker measurement accuracy</w:t>
      </w:r>
      <w:r w:rsidR="00122AFF">
        <w:rPr>
          <w:rFonts w:ascii="Arial" w:hAnsi="Arial" w:cs="Arial"/>
          <w:sz w:val="22"/>
          <w:szCs w:val="22"/>
        </w:rPr>
        <w:t xml:space="preserve">, Tradict predicts </w:t>
      </w:r>
      <w:r w:rsidR="00107191">
        <w:rPr>
          <w:rFonts w:ascii="Arial" w:hAnsi="Arial" w:cs="Arial"/>
          <w:sz w:val="22"/>
          <w:szCs w:val="22"/>
        </w:rPr>
        <w:t>response to LPS with a PCC accuracy of 0.89.</w:t>
      </w:r>
      <w:r w:rsidR="00D5475B">
        <w:rPr>
          <w:rFonts w:ascii="Arial" w:hAnsi="Arial" w:cs="Arial"/>
          <w:sz w:val="22"/>
          <w:szCs w:val="22"/>
        </w:rPr>
        <w:t xml:space="preserve"> Differential transcriptional program expression analysis rev</w:t>
      </w:r>
      <w:r w:rsidR="00F7762E">
        <w:rPr>
          <w:rFonts w:ascii="Arial" w:hAnsi="Arial" w:cs="Arial"/>
          <w:sz w:val="22"/>
          <w:szCs w:val="22"/>
        </w:rPr>
        <w:t>ealed that</w:t>
      </w:r>
      <w:r w:rsidR="00195E99">
        <w:rPr>
          <w:rFonts w:ascii="Arial" w:hAnsi="Arial" w:cs="Arial"/>
          <w:sz w:val="22"/>
          <w:szCs w:val="22"/>
        </w:rPr>
        <w:t xml:space="preserve"> DE programs based on Tradict’s predictions </w:t>
      </w:r>
      <w:r w:rsidR="00D5475B">
        <w:rPr>
          <w:rFonts w:ascii="Arial" w:hAnsi="Arial" w:cs="Arial"/>
          <w:sz w:val="22"/>
          <w:szCs w:val="22"/>
        </w:rPr>
        <w:t xml:space="preserve">were highly concordant with those </w:t>
      </w:r>
      <w:r w:rsidR="008A5AF9">
        <w:rPr>
          <w:rFonts w:ascii="Arial" w:hAnsi="Arial" w:cs="Arial"/>
          <w:sz w:val="22"/>
          <w:szCs w:val="22"/>
        </w:rPr>
        <w:t xml:space="preserve">based on actual measurements </w:t>
      </w:r>
      <w:r w:rsidR="00D5475B">
        <w:rPr>
          <w:rFonts w:ascii="Arial" w:hAnsi="Arial" w:cs="Arial"/>
          <w:sz w:val="22"/>
          <w:szCs w:val="22"/>
        </w:rPr>
        <w:t>(Figure 5b)</w:t>
      </w:r>
      <w:r w:rsidR="004A2B2B">
        <w:rPr>
          <w:rFonts w:ascii="Arial" w:hAnsi="Arial" w:cs="Arial"/>
          <w:sz w:val="22"/>
          <w:szCs w:val="22"/>
        </w:rPr>
        <w:t>.</w:t>
      </w:r>
      <w:r w:rsidR="00F76882">
        <w:rPr>
          <w:rFonts w:ascii="Arial" w:hAnsi="Arial" w:cs="Arial"/>
          <w:sz w:val="22"/>
          <w:szCs w:val="22"/>
        </w:rPr>
        <w:t xml:space="preserve"> Strikingly, programs found DE based on Tradict predictions included 92% of those directly related to innate immune signaling in mice. </w:t>
      </w:r>
    </w:p>
    <w:p w14:paraId="251372EC" w14:textId="49B190E9" w:rsidR="002379B7" w:rsidRDefault="002379B7" w:rsidP="00C323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examined the quantitative quality of Tradict predictions by observing how the DE programs found by either analysis of actual measurements or predictions behave across time. </w:t>
      </w:r>
      <w:r w:rsidR="005A21D0">
        <w:rPr>
          <w:rFonts w:ascii="Arial" w:hAnsi="Arial" w:cs="Arial"/>
          <w:sz w:val="22"/>
          <w:szCs w:val="22"/>
        </w:rPr>
        <w:t>Figure 5c illustrates that despite the high marker measurement error, Tradict’s</w:t>
      </w:r>
      <w:r w:rsidR="00176FEF">
        <w:rPr>
          <w:rFonts w:ascii="Arial" w:hAnsi="Arial" w:cs="Arial"/>
          <w:sz w:val="22"/>
          <w:szCs w:val="22"/>
        </w:rPr>
        <w:t xml:space="preserve"> predictions are quantitatively concordant with actuality (</w:t>
      </w:r>
      <w:r w:rsidR="00176FEF" w:rsidRPr="00176FEF">
        <w:rPr>
          <w:rFonts w:ascii="Arial" w:hAnsi="Arial" w:cs="Arial"/>
          <w:sz w:val="22"/>
          <w:szCs w:val="22"/>
          <w:highlight w:val="yellow"/>
        </w:rPr>
        <w:t>PCC value?)</w:t>
      </w:r>
      <w:r w:rsidR="00176FEF">
        <w:rPr>
          <w:rFonts w:ascii="Arial" w:hAnsi="Arial" w:cs="Arial"/>
          <w:sz w:val="22"/>
          <w:szCs w:val="22"/>
        </w:rPr>
        <w:t>.</w:t>
      </w:r>
      <w:r w:rsidR="00981597">
        <w:rPr>
          <w:rFonts w:ascii="Arial" w:hAnsi="Arial" w:cs="Arial"/>
          <w:sz w:val="22"/>
          <w:szCs w:val="22"/>
        </w:rPr>
        <w:t xml:space="preserve"> As expected most lines of CRISPRed positive regulators demonstrate loss of innate immune signaling.</w:t>
      </w:r>
    </w:p>
    <w:p w14:paraId="346BC32A" w14:textId="77777777" w:rsidR="002379B7" w:rsidRDefault="002379B7" w:rsidP="00C32302">
      <w:pPr>
        <w:pStyle w:val="NormalWeb"/>
        <w:spacing w:before="0" w:beforeAutospacing="0" w:after="0" w:afterAutospacing="0"/>
        <w:ind w:firstLine="720"/>
        <w:jc w:val="both"/>
        <w:rPr>
          <w:rFonts w:ascii="Arial" w:hAnsi="Arial" w:cs="Arial"/>
          <w:sz w:val="22"/>
          <w:szCs w:val="22"/>
        </w:rPr>
      </w:pPr>
    </w:p>
    <w:p w14:paraId="1269F02B" w14:textId="77777777" w:rsidR="00D5475B" w:rsidRDefault="00D5475B" w:rsidP="00C32302">
      <w:pPr>
        <w:pStyle w:val="NormalWeb"/>
        <w:spacing w:before="0" w:beforeAutospacing="0" w:after="0" w:afterAutospacing="0"/>
        <w:ind w:firstLine="720"/>
        <w:jc w:val="both"/>
        <w:rPr>
          <w:rFonts w:ascii="Arial" w:hAnsi="Arial" w:cs="Arial"/>
          <w:sz w:val="22"/>
          <w:szCs w:val="22"/>
        </w:rPr>
      </w:pPr>
    </w:p>
    <w:p w14:paraId="31BB408E" w14:textId="1CBCDA3E" w:rsidR="00D5475B"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CC6411D" w14:textId="7D260891" w:rsidR="00D5475B" w:rsidRDefault="00BB5BB5"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[pending]</w:t>
      </w:r>
    </w:p>
    <w:p w14:paraId="29D8CC65" w14:textId="77777777" w:rsidR="00BB5BB5" w:rsidRPr="00BB5BB5" w:rsidRDefault="00BB5BB5" w:rsidP="00D5475B">
      <w:pPr>
        <w:pStyle w:val="NormalWeb"/>
        <w:spacing w:before="0" w:beforeAutospacing="0" w:after="0" w:afterAutospacing="0"/>
        <w:jc w:val="both"/>
        <w:rPr>
          <w:rFonts w:ascii="Arial" w:hAnsi="Arial" w:cs="Arial"/>
          <w:sz w:val="22"/>
          <w:szCs w:val="22"/>
        </w:rPr>
      </w:pPr>
    </w:p>
    <w:p w14:paraId="67D21AB7" w14:textId="1FE72521" w:rsidR="00D5475B" w:rsidRPr="00D5475B"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Conclusion</w:t>
      </w:r>
    </w:p>
    <w:p w14:paraId="3992770F" w14:textId="77C5CF68" w:rsidR="003B2961" w:rsidRDefault="00BB5BB5" w:rsidP="00267556">
      <w:pPr>
        <w:pStyle w:val="NormalWeb"/>
        <w:spacing w:before="0" w:beforeAutospacing="0" w:after="0" w:afterAutospacing="0"/>
        <w:jc w:val="both"/>
        <w:rPr>
          <w:rFonts w:ascii="Arial" w:hAnsi="Arial" w:cs="Arial"/>
          <w:sz w:val="22"/>
          <w:szCs w:val="22"/>
        </w:rPr>
      </w:pPr>
      <w:r>
        <w:rPr>
          <w:rFonts w:ascii="Arial" w:hAnsi="Arial" w:cs="Arial"/>
          <w:sz w:val="22"/>
          <w:szCs w:val="22"/>
        </w:rPr>
        <w:t>[pending]</w:t>
      </w:r>
    </w:p>
    <w:p w14:paraId="114043B5" w14:textId="77777777" w:rsidR="00FB7CA9" w:rsidRDefault="00FB7CA9" w:rsidP="00267556">
      <w:pPr>
        <w:pStyle w:val="NormalWeb"/>
        <w:spacing w:before="0" w:beforeAutospacing="0" w:after="0" w:afterAutospacing="0"/>
        <w:jc w:val="both"/>
        <w:rPr>
          <w:rFonts w:ascii="Arial" w:hAnsi="Arial" w:cs="Arial"/>
          <w:sz w:val="22"/>
          <w:szCs w:val="22"/>
        </w:rPr>
      </w:pPr>
    </w:p>
    <w:p w14:paraId="63A05F2D" w14:textId="1B629F96" w:rsidR="003B2961" w:rsidRPr="003B2961" w:rsidRDefault="003B2961" w:rsidP="00FB7CA9">
      <w:pPr>
        <w:pStyle w:val="NormalWeb"/>
        <w:spacing w:before="0" w:beforeAutospacing="0" w:after="0" w:afterAutospacing="0"/>
        <w:ind w:left="634" w:hanging="634"/>
        <w:divId w:val="44567348"/>
        <w:rPr>
          <w:rFonts w:ascii="Arial" w:hAnsi="Arial" w:cs="Arial"/>
          <w:b/>
          <w:sz w:val="22"/>
          <w:szCs w:val="22"/>
        </w:rPr>
      </w:pPr>
      <w:r>
        <w:rPr>
          <w:rFonts w:ascii="Arial" w:hAnsi="Arial" w:cs="Arial"/>
          <w:b/>
          <w:sz w:val="22"/>
          <w:szCs w:val="22"/>
        </w:rPr>
        <w:t>References</w:t>
      </w:r>
    </w:p>
    <w:p w14:paraId="4782951B" w14:textId="77777777" w:rsidR="00B17345" w:rsidRDefault="003B2961" w:rsidP="00FB7CA9">
      <w:pPr>
        <w:pStyle w:val="NormalWeb"/>
        <w:spacing w:before="0" w:beforeAutospacing="0" w:after="0" w:afterAutospacing="0"/>
        <w:ind w:left="634" w:hanging="634"/>
        <w:divId w:val="1065839135"/>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2138E6" w:rsidRPr="002138E6">
        <w:rPr>
          <w:rFonts w:ascii="Arial" w:hAnsi="Arial" w:cs="Arial"/>
          <w:noProof/>
          <w:sz w:val="22"/>
        </w:rPr>
        <w:t>1.</w:t>
      </w:r>
      <w:r w:rsidR="002138E6" w:rsidRPr="002138E6">
        <w:rPr>
          <w:rFonts w:ascii="Arial" w:hAnsi="Arial" w:cs="Arial"/>
          <w:noProof/>
          <w:sz w:val="22"/>
        </w:rPr>
        <w:tab/>
        <w:t xml:space="preserve">Jacob, F. &amp; Monod, J. Genetic regulatory mechanisms in the synthesis of proteins. </w:t>
      </w:r>
      <w:r w:rsidR="002138E6" w:rsidRPr="002138E6">
        <w:rPr>
          <w:rFonts w:ascii="Arial" w:hAnsi="Arial" w:cs="Arial"/>
          <w:i/>
          <w:iCs/>
          <w:noProof/>
          <w:sz w:val="22"/>
        </w:rPr>
        <w:t>J. Mol. Biol.</w:t>
      </w:r>
      <w:r w:rsidR="002138E6" w:rsidRPr="002138E6">
        <w:rPr>
          <w:rFonts w:ascii="Arial" w:hAnsi="Arial" w:cs="Arial"/>
          <w:noProof/>
          <w:sz w:val="22"/>
        </w:rPr>
        <w:t xml:space="preserve"> </w:t>
      </w:r>
      <w:r w:rsidR="002138E6" w:rsidRPr="002138E6">
        <w:rPr>
          <w:rFonts w:ascii="Arial" w:hAnsi="Arial" w:cs="Arial"/>
          <w:b/>
          <w:bCs/>
          <w:noProof/>
          <w:sz w:val="22"/>
        </w:rPr>
        <w:t>3,</w:t>
      </w:r>
      <w:r w:rsidR="002138E6" w:rsidRPr="002138E6">
        <w:rPr>
          <w:rFonts w:ascii="Arial" w:hAnsi="Arial" w:cs="Arial"/>
          <w:noProof/>
          <w:sz w:val="22"/>
        </w:rPr>
        <w:t xml:space="preserve"> 318–356 (1961).</w:t>
      </w:r>
    </w:p>
    <w:p w14:paraId="734CE70D" w14:textId="779EFE2D"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w:t>
      </w:r>
      <w:r w:rsidRPr="002138E6">
        <w:rPr>
          <w:rFonts w:ascii="Arial" w:hAnsi="Arial" w:cs="Arial"/>
          <w:noProof/>
          <w:sz w:val="22"/>
        </w:rPr>
        <w:tab/>
        <w:t xml:space="preserve">Kaufmann, K., Pajoro, A. &amp; Angenent, G. C. Regulation of transcription in plants: mechanisms controlling developmental switches. </w:t>
      </w:r>
      <w:r w:rsidRPr="002138E6">
        <w:rPr>
          <w:rFonts w:ascii="Arial" w:hAnsi="Arial" w:cs="Arial"/>
          <w:i/>
          <w:iCs/>
          <w:noProof/>
          <w:sz w:val="22"/>
        </w:rPr>
        <w:t>Nat. Rev. Genet.</w:t>
      </w:r>
      <w:r w:rsidRPr="002138E6">
        <w:rPr>
          <w:rFonts w:ascii="Arial" w:hAnsi="Arial" w:cs="Arial"/>
          <w:noProof/>
          <w:sz w:val="22"/>
        </w:rPr>
        <w:t xml:space="preserve"> </w:t>
      </w:r>
      <w:r w:rsidRPr="002138E6">
        <w:rPr>
          <w:rFonts w:ascii="Arial" w:hAnsi="Arial" w:cs="Arial"/>
          <w:b/>
          <w:bCs/>
          <w:noProof/>
          <w:sz w:val="22"/>
        </w:rPr>
        <w:t>11,</w:t>
      </w:r>
      <w:r w:rsidRPr="002138E6">
        <w:rPr>
          <w:rFonts w:ascii="Arial" w:hAnsi="Arial" w:cs="Arial"/>
          <w:noProof/>
          <w:sz w:val="22"/>
        </w:rPr>
        <w:t xml:space="preserve"> 830–842 (2010).</w:t>
      </w:r>
    </w:p>
    <w:p w14:paraId="6848D24F"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3.</w:t>
      </w:r>
      <w:r w:rsidRPr="002138E6">
        <w:rPr>
          <w:rFonts w:ascii="Arial" w:hAnsi="Arial" w:cs="Arial"/>
          <w:noProof/>
          <w:sz w:val="22"/>
        </w:rPr>
        <w:tab/>
        <w:t xml:space="preserve">Mitchell, P. J. &amp; Tjian, R. Transcriptional Regulation in Mammalian Cells by DNA Binding Proteins. </w:t>
      </w:r>
      <w:r w:rsidRPr="002138E6">
        <w:rPr>
          <w:rFonts w:ascii="Arial" w:hAnsi="Arial" w:cs="Arial"/>
          <w:i/>
          <w:iCs/>
          <w:noProof/>
          <w:sz w:val="22"/>
        </w:rPr>
        <w:t>Science (80-. ).</w:t>
      </w:r>
      <w:r w:rsidRPr="002138E6">
        <w:rPr>
          <w:rFonts w:ascii="Arial" w:hAnsi="Arial" w:cs="Arial"/>
          <w:noProof/>
          <w:sz w:val="22"/>
        </w:rPr>
        <w:t xml:space="preserve"> </w:t>
      </w:r>
      <w:r w:rsidRPr="002138E6">
        <w:rPr>
          <w:rFonts w:ascii="Arial" w:hAnsi="Arial" w:cs="Arial"/>
          <w:b/>
          <w:bCs/>
          <w:noProof/>
          <w:sz w:val="22"/>
        </w:rPr>
        <w:t>245,</w:t>
      </w:r>
      <w:r w:rsidRPr="002138E6">
        <w:rPr>
          <w:rFonts w:ascii="Arial" w:hAnsi="Arial" w:cs="Arial"/>
          <w:noProof/>
          <w:sz w:val="22"/>
        </w:rPr>
        <w:t xml:space="preserve"> 371–378 (1989).</w:t>
      </w:r>
    </w:p>
    <w:p w14:paraId="4CB912D1"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4.</w:t>
      </w:r>
      <w:r w:rsidRPr="002138E6">
        <w:rPr>
          <w:rFonts w:ascii="Arial" w:hAnsi="Arial" w:cs="Arial"/>
          <w:noProof/>
          <w:sz w:val="22"/>
        </w:rPr>
        <w:tab/>
        <w:t xml:space="preserve">Segal, E. </w:t>
      </w:r>
      <w:r w:rsidRPr="002138E6">
        <w:rPr>
          <w:rFonts w:ascii="Arial" w:hAnsi="Arial" w:cs="Arial"/>
          <w:i/>
          <w:iCs/>
          <w:noProof/>
          <w:sz w:val="22"/>
        </w:rPr>
        <w:t>et al.</w:t>
      </w:r>
      <w:r w:rsidRPr="002138E6">
        <w:rPr>
          <w:rFonts w:ascii="Arial" w:hAnsi="Arial" w:cs="Arial"/>
          <w:noProof/>
          <w:sz w:val="22"/>
        </w:rPr>
        <w:t xml:space="preserve"> Module networks: identifying regulatory modules and their condition-specific regulators from gene expression data. </w:t>
      </w:r>
      <w:r w:rsidRPr="002138E6">
        <w:rPr>
          <w:rFonts w:ascii="Arial" w:hAnsi="Arial" w:cs="Arial"/>
          <w:i/>
          <w:iCs/>
          <w:noProof/>
          <w:sz w:val="22"/>
        </w:rPr>
        <w:t>Nat. Genet.</w:t>
      </w:r>
      <w:r w:rsidRPr="002138E6">
        <w:rPr>
          <w:rFonts w:ascii="Arial" w:hAnsi="Arial" w:cs="Arial"/>
          <w:noProof/>
          <w:sz w:val="22"/>
        </w:rPr>
        <w:t xml:space="preserve"> </w:t>
      </w:r>
      <w:r w:rsidRPr="002138E6">
        <w:rPr>
          <w:rFonts w:ascii="Arial" w:hAnsi="Arial" w:cs="Arial"/>
          <w:b/>
          <w:bCs/>
          <w:noProof/>
          <w:sz w:val="22"/>
        </w:rPr>
        <w:t>34,</w:t>
      </w:r>
      <w:r w:rsidRPr="002138E6">
        <w:rPr>
          <w:rFonts w:ascii="Arial" w:hAnsi="Arial" w:cs="Arial"/>
          <w:noProof/>
          <w:sz w:val="22"/>
        </w:rPr>
        <w:t xml:space="preserve"> (2003).</w:t>
      </w:r>
    </w:p>
    <w:p w14:paraId="7313A7E6"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5.</w:t>
      </w:r>
      <w:r w:rsidRPr="002138E6">
        <w:rPr>
          <w:rFonts w:ascii="Arial" w:hAnsi="Arial" w:cs="Arial"/>
          <w:noProof/>
          <w:sz w:val="22"/>
        </w:rPr>
        <w:tab/>
        <w:t xml:space="preserve">Hart, Y. </w:t>
      </w:r>
      <w:r w:rsidRPr="002138E6">
        <w:rPr>
          <w:rFonts w:ascii="Arial" w:hAnsi="Arial" w:cs="Arial"/>
          <w:i/>
          <w:iCs/>
          <w:noProof/>
          <w:sz w:val="22"/>
        </w:rPr>
        <w:t>et al.</w:t>
      </w:r>
      <w:r w:rsidRPr="002138E6">
        <w:rPr>
          <w:rFonts w:ascii="Arial" w:hAnsi="Arial" w:cs="Arial"/>
          <w:noProof/>
          <w:sz w:val="22"/>
        </w:rPr>
        <w:t xml:space="preserve"> Inferring biological tasks using Pareto analysis of high-dimensional data. </w:t>
      </w:r>
      <w:r w:rsidRPr="002138E6">
        <w:rPr>
          <w:rFonts w:ascii="Arial" w:hAnsi="Arial" w:cs="Arial"/>
          <w:i/>
          <w:iCs/>
          <w:noProof/>
          <w:sz w:val="22"/>
        </w:rPr>
        <w:t>Nat. Methods</w:t>
      </w:r>
      <w:r w:rsidRPr="002138E6">
        <w:rPr>
          <w:rFonts w:ascii="Arial" w:hAnsi="Arial" w:cs="Arial"/>
          <w:noProof/>
          <w:sz w:val="22"/>
        </w:rPr>
        <w:t xml:space="preserve"> </w:t>
      </w:r>
      <w:r w:rsidRPr="002138E6">
        <w:rPr>
          <w:rFonts w:ascii="Arial" w:hAnsi="Arial" w:cs="Arial"/>
          <w:b/>
          <w:bCs/>
          <w:noProof/>
          <w:sz w:val="22"/>
        </w:rPr>
        <w:t>12,</w:t>
      </w:r>
      <w:r w:rsidRPr="002138E6">
        <w:rPr>
          <w:rFonts w:ascii="Arial" w:hAnsi="Arial" w:cs="Arial"/>
          <w:noProof/>
          <w:sz w:val="22"/>
        </w:rPr>
        <w:t xml:space="preserve"> (2015).</w:t>
      </w:r>
    </w:p>
    <w:p w14:paraId="541D29CD"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6.</w:t>
      </w:r>
      <w:r w:rsidRPr="002138E6">
        <w:rPr>
          <w:rFonts w:ascii="Arial" w:hAnsi="Arial" w:cs="Arial"/>
          <w:noProof/>
          <w:sz w:val="22"/>
        </w:rPr>
        <w:tab/>
        <w:t xml:space="preserve">Shoval, O. </w:t>
      </w:r>
      <w:r w:rsidRPr="002138E6">
        <w:rPr>
          <w:rFonts w:ascii="Arial" w:hAnsi="Arial" w:cs="Arial"/>
          <w:i/>
          <w:iCs/>
          <w:noProof/>
          <w:sz w:val="22"/>
        </w:rPr>
        <w:t>et al.</w:t>
      </w:r>
      <w:r w:rsidRPr="002138E6">
        <w:rPr>
          <w:rFonts w:ascii="Arial" w:hAnsi="Arial" w:cs="Arial"/>
          <w:noProof/>
          <w:sz w:val="22"/>
        </w:rPr>
        <w:t xml:space="preserve"> Evolutionary Trade-Offs, Pareto Optimality, and the Geometry of Phenotype Space. </w:t>
      </w:r>
      <w:r w:rsidRPr="002138E6">
        <w:rPr>
          <w:rFonts w:ascii="Arial" w:hAnsi="Arial" w:cs="Arial"/>
          <w:i/>
          <w:iCs/>
          <w:noProof/>
          <w:sz w:val="22"/>
        </w:rPr>
        <w:t>Science (80-. ).</w:t>
      </w:r>
      <w:r w:rsidRPr="002138E6">
        <w:rPr>
          <w:rFonts w:ascii="Arial" w:hAnsi="Arial" w:cs="Arial"/>
          <w:noProof/>
          <w:sz w:val="22"/>
        </w:rPr>
        <w:t xml:space="preserve"> </w:t>
      </w:r>
      <w:r w:rsidRPr="002138E6">
        <w:rPr>
          <w:rFonts w:ascii="Arial" w:hAnsi="Arial" w:cs="Arial"/>
          <w:b/>
          <w:bCs/>
          <w:noProof/>
          <w:sz w:val="22"/>
        </w:rPr>
        <w:t>336,</w:t>
      </w:r>
      <w:r w:rsidRPr="002138E6">
        <w:rPr>
          <w:rFonts w:ascii="Arial" w:hAnsi="Arial" w:cs="Arial"/>
          <w:noProof/>
          <w:sz w:val="22"/>
        </w:rPr>
        <w:t xml:space="preserve"> 1157–1160 (2012).</w:t>
      </w:r>
    </w:p>
    <w:p w14:paraId="7DD97210"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7.</w:t>
      </w:r>
      <w:r w:rsidRPr="002138E6">
        <w:rPr>
          <w:rFonts w:ascii="Arial" w:hAnsi="Arial" w:cs="Arial"/>
          <w:noProof/>
          <w:sz w:val="22"/>
        </w:rPr>
        <w:tab/>
        <w:t xml:space="preserve">Jeong, H., Tombor, B., Albert, R., Oltvai, Z. N. &amp; Barabási, a L. The large-scale organization of metabolic networks. </w:t>
      </w:r>
      <w:r w:rsidRPr="002138E6">
        <w:rPr>
          <w:rFonts w:ascii="Arial" w:hAnsi="Arial" w:cs="Arial"/>
          <w:i/>
          <w:iCs/>
          <w:noProof/>
          <w:sz w:val="22"/>
        </w:rPr>
        <w:t>Nature</w:t>
      </w:r>
      <w:r w:rsidRPr="002138E6">
        <w:rPr>
          <w:rFonts w:ascii="Arial" w:hAnsi="Arial" w:cs="Arial"/>
          <w:noProof/>
          <w:sz w:val="22"/>
        </w:rPr>
        <w:t xml:space="preserve"> </w:t>
      </w:r>
      <w:r w:rsidRPr="002138E6">
        <w:rPr>
          <w:rFonts w:ascii="Arial" w:hAnsi="Arial" w:cs="Arial"/>
          <w:b/>
          <w:bCs/>
          <w:noProof/>
          <w:sz w:val="22"/>
        </w:rPr>
        <w:t>407,</w:t>
      </w:r>
      <w:r w:rsidRPr="002138E6">
        <w:rPr>
          <w:rFonts w:ascii="Arial" w:hAnsi="Arial" w:cs="Arial"/>
          <w:noProof/>
          <w:sz w:val="22"/>
        </w:rPr>
        <w:t xml:space="preserve"> 651–654 (2000).</w:t>
      </w:r>
    </w:p>
    <w:p w14:paraId="19F9D2CA"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8.</w:t>
      </w:r>
      <w:r w:rsidRPr="002138E6">
        <w:rPr>
          <w:rFonts w:ascii="Arial" w:hAnsi="Arial" w:cs="Arial"/>
          <w:noProof/>
          <w:sz w:val="22"/>
        </w:rPr>
        <w:tab/>
        <w:t xml:space="preserve">Albert, R., Lee, J. H. &amp; Barabási, A.-L. Error and attack tolerance of complex networks. </w:t>
      </w:r>
      <w:r w:rsidRPr="002138E6">
        <w:rPr>
          <w:rFonts w:ascii="Arial" w:hAnsi="Arial" w:cs="Arial"/>
          <w:i/>
          <w:iCs/>
          <w:noProof/>
          <w:sz w:val="22"/>
        </w:rPr>
        <w:t>Nature</w:t>
      </w:r>
      <w:r w:rsidRPr="002138E6">
        <w:rPr>
          <w:rFonts w:ascii="Arial" w:hAnsi="Arial" w:cs="Arial"/>
          <w:noProof/>
          <w:sz w:val="22"/>
        </w:rPr>
        <w:t xml:space="preserve"> </w:t>
      </w:r>
      <w:r w:rsidRPr="002138E6">
        <w:rPr>
          <w:rFonts w:ascii="Arial" w:hAnsi="Arial" w:cs="Arial"/>
          <w:b/>
          <w:bCs/>
          <w:noProof/>
          <w:sz w:val="22"/>
        </w:rPr>
        <w:t>406,</w:t>
      </w:r>
      <w:r w:rsidRPr="002138E6">
        <w:rPr>
          <w:rFonts w:ascii="Arial" w:hAnsi="Arial" w:cs="Arial"/>
          <w:noProof/>
          <w:sz w:val="22"/>
        </w:rPr>
        <w:t xml:space="preserve"> 378–382 (2000).</w:t>
      </w:r>
    </w:p>
    <w:p w14:paraId="20185658"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9.</w:t>
      </w:r>
      <w:r w:rsidRPr="002138E6">
        <w:rPr>
          <w:rFonts w:ascii="Arial" w:hAnsi="Arial" w:cs="Arial"/>
          <w:noProof/>
          <w:sz w:val="22"/>
        </w:rPr>
        <w:tab/>
        <w:t xml:space="preserve">Barabási, A.-L. &amp; Albert, R. Emergence of Scaling in Random Networks. </w:t>
      </w:r>
      <w:r w:rsidRPr="002138E6">
        <w:rPr>
          <w:rFonts w:ascii="Arial" w:hAnsi="Arial" w:cs="Arial"/>
          <w:i/>
          <w:iCs/>
          <w:noProof/>
          <w:sz w:val="22"/>
        </w:rPr>
        <w:t>Science (80-. ).</w:t>
      </w:r>
      <w:r w:rsidRPr="002138E6">
        <w:rPr>
          <w:rFonts w:ascii="Arial" w:hAnsi="Arial" w:cs="Arial"/>
          <w:noProof/>
          <w:sz w:val="22"/>
        </w:rPr>
        <w:t xml:space="preserve"> </w:t>
      </w:r>
      <w:r w:rsidRPr="002138E6">
        <w:rPr>
          <w:rFonts w:ascii="Arial" w:hAnsi="Arial" w:cs="Arial"/>
          <w:b/>
          <w:bCs/>
          <w:noProof/>
          <w:sz w:val="22"/>
        </w:rPr>
        <w:t>286,</w:t>
      </w:r>
      <w:r w:rsidRPr="002138E6">
        <w:rPr>
          <w:rFonts w:ascii="Arial" w:hAnsi="Arial" w:cs="Arial"/>
          <w:noProof/>
          <w:sz w:val="22"/>
        </w:rPr>
        <w:t xml:space="preserve"> 509–513 (1999).</w:t>
      </w:r>
    </w:p>
    <w:p w14:paraId="60B521F8"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10.</w:t>
      </w:r>
      <w:r w:rsidRPr="002138E6">
        <w:rPr>
          <w:rFonts w:ascii="Arial" w:hAnsi="Arial" w:cs="Arial"/>
          <w:noProof/>
          <w:sz w:val="22"/>
        </w:rPr>
        <w:tab/>
        <w:t xml:space="preserve">Troyanskaya, O. </w:t>
      </w:r>
      <w:r w:rsidRPr="002138E6">
        <w:rPr>
          <w:rFonts w:ascii="Arial" w:hAnsi="Arial" w:cs="Arial"/>
          <w:i/>
          <w:iCs/>
          <w:noProof/>
          <w:sz w:val="22"/>
        </w:rPr>
        <w:t>et al.</w:t>
      </w:r>
      <w:r w:rsidRPr="002138E6">
        <w:rPr>
          <w:rFonts w:ascii="Arial" w:hAnsi="Arial" w:cs="Arial"/>
          <w:noProof/>
          <w:sz w:val="22"/>
        </w:rPr>
        <w:t xml:space="preserve"> Missing value estimation methods for DNA microarrays. </w:t>
      </w:r>
      <w:r w:rsidRPr="002138E6">
        <w:rPr>
          <w:rFonts w:ascii="Arial" w:hAnsi="Arial" w:cs="Arial"/>
          <w:b/>
          <w:bCs/>
          <w:noProof/>
          <w:sz w:val="22"/>
        </w:rPr>
        <w:t>17,</w:t>
      </w:r>
      <w:r w:rsidRPr="002138E6">
        <w:rPr>
          <w:rFonts w:ascii="Arial" w:hAnsi="Arial" w:cs="Arial"/>
          <w:noProof/>
          <w:sz w:val="22"/>
        </w:rPr>
        <w:t xml:space="preserve"> 520–525 (2001).</w:t>
      </w:r>
    </w:p>
    <w:p w14:paraId="1FE5032F"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11.</w:t>
      </w:r>
      <w:r w:rsidRPr="002138E6">
        <w:rPr>
          <w:rFonts w:ascii="Arial" w:hAnsi="Arial" w:cs="Arial"/>
          <w:noProof/>
          <w:sz w:val="22"/>
        </w:rPr>
        <w:tab/>
        <w:t xml:space="preserve">Liew, A. W., Law, N. &amp; Yan, H. Missing value imputation for gene expression data : computational techniques to recover missing data from available information. </w:t>
      </w:r>
      <w:r w:rsidRPr="002138E6">
        <w:rPr>
          <w:rFonts w:ascii="Arial" w:hAnsi="Arial" w:cs="Arial"/>
          <w:b/>
          <w:bCs/>
          <w:noProof/>
          <w:sz w:val="22"/>
        </w:rPr>
        <w:t>12,</w:t>
      </w:r>
      <w:r w:rsidRPr="002138E6">
        <w:rPr>
          <w:rFonts w:ascii="Arial" w:hAnsi="Arial" w:cs="Arial"/>
          <w:noProof/>
          <w:sz w:val="22"/>
        </w:rPr>
        <w:t xml:space="preserve"> 498–513 (2010).</w:t>
      </w:r>
    </w:p>
    <w:p w14:paraId="2FB7DE9E"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12.</w:t>
      </w:r>
      <w:r w:rsidRPr="002138E6">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3BE4243F"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13.</w:t>
      </w:r>
      <w:r w:rsidRPr="002138E6">
        <w:rPr>
          <w:rFonts w:ascii="Arial" w:hAnsi="Arial" w:cs="Arial"/>
          <w:noProof/>
          <w:sz w:val="22"/>
        </w:rPr>
        <w:tab/>
        <w:t xml:space="preserve">Ling, M. H. T. &amp; Poh, C. L. A predictor for predicting Escherichia coli transcriptome and the effects of gene perturbations. </w:t>
      </w:r>
      <w:r w:rsidRPr="002138E6">
        <w:rPr>
          <w:rFonts w:ascii="Arial" w:hAnsi="Arial" w:cs="Arial"/>
          <w:i/>
          <w:iCs/>
          <w:noProof/>
          <w:sz w:val="22"/>
        </w:rPr>
        <w:t>BMC Bioinformatics</w:t>
      </w:r>
      <w:r w:rsidRPr="002138E6">
        <w:rPr>
          <w:rFonts w:ascii="Arial" w:hAnsi="Arial" w:cs="Arial"/>
          <w:noProof/>
          <w:sz w:val="22"/>
        </w:rPr>
        <w:t xml:space="preserve"> </w:t>
      </w:r>
      <w:r w:rsidRPr="002138E6">
        <w:rPr>
          <w:rFonts w:ascii="Arial" w:hAnsi="Arial" w:cs="Arial"/>
          <w:b/>
          <w:bCs/>
          <w:noProof/>
          <w:sz w:val="22"/>
        </w:rPr>
        <w:t>15,</w:t>
      </w:r>
      <w:r w:rsidRPr="002138E6">
        <w:rPr>
          <w:rFonts w:ascii="Arial" w:hAnsi="Arial" w:cs="Arial"/>
          <w:noProof/>
          <w:sz w:val="22"/>
        </w:rPr>
        <w:t xml:space="preserve"> 140 (2014).</w:t>
      </w:r>
    </w:p>
    <w:p w14:paraId="3A4F5E5A"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14.</w:t>
      </w:r>
      <w:r w:rsidRPr="002138E6">
        <w:rPr>
          <w:rFonts w:ascii="Arial" w:hAnsi="Arial" w:cs="Arial"/>
          <w:noProof/>
          <w:sz w:val="22"/>
        </w:rPr>
        <w:tab/>
        <w:t xml:space="preserve">Donner, Y., Feng, T., Benoist, C. &amp; Koller, D. Imputing gene expression from selectively reduced probe sets. </w:t>
      </w:r>
      <w:r w:rsidRPr="002138E6">
        <w:rPr>
          <w:rFonts w:ascii="Arial" w:hAnsi="Arial" w:cs="Arial"/>
          <w:i/>
          <w:iCs/>
          <w:noProof/>
          <w:sz w:val="22"/>
        </w:rPr>
        <w:t>Nat. Methods</w:t>
      </w:r>
      <w:r w:rsidRPr="002138E6">
        <w:rPr>
          <w:rFonts w:ascii="Arial" w:hAnsi="Arial" w:cs="Arial"/>
          <w:noProof/>
          <w:sz w:val="22"/>
        </w:rPr>
        <w:t xml:space="preserve"> </w:t>
      </w:r>
      <w:r w:rsidRPr="002138E6">
        <w:rPr>
          <w:rFonts w:ascii="Arial" w:hAnsi="Arial" w:cs="Arial"/>
          <w:b/>
          <w:bCs/>
          <w:noProof/>
          <w:sz w:val="22"/>
        </w:rPr>
        <w:t>9,</w:t>
      </w:r>
      <w:r w:rsidRPr="002138E6">
        <w:rPr>
          <w:rFonts w:ascii="Arial" w:hAnsi="Arial" w:cs="Arial"/>
          <w:noProof/>
          <w:sz w:val="22"/>
        </w:rPr>
        <w:t xml:space="preserve"> (2012).</w:t>
      </w:r>
    </w:p>
    <w:p w14:paraId="11E377E4"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15.</w:t>
      </w:r>
      <w:r w:rsidRPr="002138E6">
        <w:rPr>
          <w:rFonts w:ascii="Arial" w:hAnsi="Arial" w:cs="Arial"/>
          <w:noProof/>
          <w:sz w:val="22"/>
        </w:rPr>
        <w:tab/>
        <w:t xml:space="preserve">Heimberg, G. </w:t>
      </w:r>
      <w:r w:rsidRPr="002138E6">
        <w:rPr>
          <w:rFonts w:ascii="Arial" w:hAnsi="Arial" w:cs="Arial"/>
          <w:i/>
          <w:iCs/>
          <w:noProof/>
          <w:sz w:val="22"/>
        </w:rPr>
        <w:t>et al.</w:t>
      </w:r>
      <w:r w:rsidRPr="002138E6">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2138E6">
        <w:rPr>
          <w:rFonts w:ascii="Arial" w:hAnsi="Arial" w:cs="Arial"/>
          <w:i/>
          <w:iCs/>
          <w:noProof/>
          <w:sz w:val="22"/>
        </w:rPr>
        <w:t>Cell Syst.</w:t>
      </w:r>
      <w:r w:rsidRPr="002138E6">
        <w:rPr>
          <w:rFonts w:ascii="Arial" w:hAnsi="Arial" w:cs="Arial"/>
          <w:noProof/>
          <w:sz w:val="22"/>
        </w:rPr>
        <w:t xml:space="preserve"> </w:t>
      </w:r>
      <w:r w:rsidRPr="002138E6">
        <w:rPr>
          <w:rFonts w:ascii="Arial" w:hAnsi="Arial" w:cs="Arial"/>
          <w:b/>
          <w:bCs/>
          <w:noProof/>
          <w:sz w:val="22"/>
        </w:rPr>
        <w:t>2,</w:t>
      </w:r>
      <w:r w:rsidRPr="002138E6">
        <w:rPr>
          <w:rFonts w:ascii="Arial" w:hAnsi="Arial" w:cs="Arial"/>
          <w:noProof/>
          <w:sz w:val="22"/>
        </w:rPr>
        <w:t xml:space="preserve"> 239–250 (2016).</w:t>
      </w:r>
    </w:p>
    <w:p w14:paraId="5E7B2D75"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16.</w:t>
      </w:r>
      <w:r w:rsidRPr="002138E6">
        <w:rPr>
          <w:rFonts w:ascii="Arial" w:hAnsi="Arial" w:cs="Arial"/>
          <w:noProof/>
          <w:sz w:val="22"/>
        </w:rPr>
        <w:tab/>
        <w:t xml:space="preserve">Pollen, A. A. </w:t>
      </w:r>
      <w:r w:rsidRPr="002138E6">
        <w:rPr>
          <w:rFonts w:ascii="Arial" w:hAnsi="Arial" w:cs="Arial"/>
          <w:i/>
          <w:iCs/>
          <w:noProof/>
          <w:sz w:val="22"/>
        </w:rPr>
        <w:t>et al.</w:t>
      </w:r>
      <w:r w:rsidRPr="002138E6">
        <w:rPr>
          <w:rFonts w:ascii="Arial" w:hAnsi="Arial" w:cs="Arial"/>
          <w:noProof/>
          <w:sz w:val="22"/>
        </w:rPr>
        <w:t xml:space="preserve"> Low-coverage single-cell mRNA sequencing reveals cellular heterogeneity and activated signaling pathways in developing cerebral cortex. </w:t>
      </w:r>
      <w:r w:rsidRPr="002138E6">
        <w:rPr>
          <w:rFonts w:ascii="Arial" w:hAnsi="Arial" w:cs="Arial"/>
          <w:i/>
          <w:iCs/>
          <w:noProof/>
          <w:sz w:val="22"/>
        </w:rPr>
        <w:t>Nat. Biotechnol.</w:t>
      </w:r>
      <w:r w:rsidRPr="002138E6">
        <w:rPr>
          <w:rFonts w:ascii="Arial" w:hAnsi="Arial" w:cs="Arial"/>
          <w:noProof/>
          <w:sz w:val="22"/>
        </w:rPr>
        <w:t xml:space="preserve"> </w:t>
      </w:r>
      <w:r w:rsidRPr="002138E6">
        <w:rPr>
          <w:rFonts w:ascii="Arial" w:hAnsi="Arial" w:cs="Arial"/>
          <w:b/>
          <w:bCs/>
          <w:noProof/>
          <w:sz w:val="22"/>
        </w:rPr>
        <w:t>32,</w:t>
      </w:r>
      <w:r w:rsidRPr="002138E6">
        <w:rPr>
          <w:rFonts w:ascii="Arial" w:hAnsi="Arial" w:cs="Arial"/>
          <w:noProof/>
          <w:sz w:val="22"/>
        </w:rPr>
        <w:t xml:space="preserve"> (2014).</w:t>
      </w:r>
    </w:p>
    <w:p w14:paraId="368BD438"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17.</w:t>
      </w:r>
      <w:r w:rsidRPr="002138E6">
        <w:rPr>
          <w:rFonts w:ascii="Arial" w:hAnsi="Arial" w:cs="Arial"/>
          <w:noProof/>
          <w:sz w:val="22"/>
        </w:rPr>
        <w:tab/>
        <w:t xml:space="preserve">Kliebenstein, D. J. Exploring the shallow end; estimating information content in transcriptomics studies. </w:t>
      </w:r>
      <w:r w:rsidRPr="002138E6">
        <w:rPr>
          <w:rFonts w:ascii="Arial" w:hAnsi="Arial" w:cs="Arial"/>
          <w:i/>
          <w:iCs/>
          <w:noProof/>
          <w:sz w:val="22"/>
        </w:rPr>
        <w:t>Front. Plant Sci.</w:t>
      </w:r>
      <w:r w:rsidRPr="002138E6">
        <w:rPr>
          <w:rFonts w:ascii="Arial" w:hAnsi="Arial" w:cs="Arial"/>
          <w:noProof/>
          <w:sz w:val="22"/>
        </w:rPr>
        <w:t xml:space="preserve"> </w:t>
      </w:r>
      <w:r w:rsidRPr="002138E6">
        <w:rPr>
          <w:rFonts w:ascii="Arial" w:hAnsi="Arial" w:cs="Arial"/>
          <w:b/>
          <w:bCs/>
          <w:noProof/>
          <w:sz w:val="22"/>
        </w:rPr>
        <w:t>3,</w:t>
      </w:r>
      <w:r w:rsidRPr="002138E6">
        <w:rPr>
          <w:rFonts w:ascii="Arial" w:hAnsi="Arial" w:cs="Arial"/>
          <w:noProof/>
          <w:sz w:val="22"/>
        </w:rPr>
        <w:t xml:space="preserve"> 1–10 (2012).</w:t>
      </w:r>
    </w:p>
    <w:p w14:paraId="2D5945B5"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18.</w:t>
      </w:r>
      <w:r w:rsidRPr="002138E6">
        <w:rPr>
          <w:rFonts w:ascii="Arial" w:hAnsi="Arial" w:cs="Arial"/>
          <w:noProof/>
          <w:sz w:val="22"/>
        </w:rPr>
        <w:tab/>
        <w:t xml:space="preserve">Jaitin, D. A. </w:t>
      </w:r>
      <w:r w:rsidRPr="002138E6">
        <w:rPr>
          <w:rFonts w:ascii="Arial" w:hAnsi="Arial" w:cs="Arial"/>
          <w:i/>
          <w:iCs/>
          <w:noProof/>
          <w:sz w:val="22"/>
        </w:rPr>
        <w:t>et al.</w:t>
      </w:r>
      <w:r w:rsidRPr="002138E6">
        <w:rPr>
          <w:rFonts w:ascii="Arial" w:hAnsi="Arial" w:cs="Arial"/>
          <w:noProof/>
          <w:sz w:val="22"/>
        </w:rPr>
        <w:t xml:space="preserve"> Massively Parallel Single-Cell RNA-Seq for Marker-Free Decomposition of Tissues into Cell Types. </w:t>
      </w:r>
      <w:r w:rsidRPr="002138E6">
        <w:rPr>
          <w:rFonts w:ascii="Arial" w:hAnsi="Arial" w:cs="Arial"/>
          <w:i/>
          <w:iCs/>
          <w:noProof/>
          <w:sz w:val="22"/>
        </w:rPr>
        <w:t>Science (80-. ).</w:t>
      </w:r>
      <w:r w:rsidRPr="002138E6">
        <w:rPr>
          <w:rFonts w:ascii="Arial" w:hAnsi="Arial" w:cs="Arial"/>
          <w:noProof/>
          <w:sz w:val="22"/>
        </w:rPr>
        <w:t xml:space="preserve"> </w:t>
      </w:r>
      <w:r w:rsidRPr="002138E6">
        <w:rPr>
          <w:rFonts w:ascii="Arial" w:hAnsi="Arial" w:cs="Arial"/>
          <w:b/>
          <w:bCs/>
          <w:noProof/>
          <w:sz w:val="22"/>
        </w:rPr>
        <w:t>343,</w:t>
      </w:r>
      <w:r w:rsidRPr="002138E6">
        <w:rPr>
          <w:rFonts w:ascii="Arial" w:hAnsi="Arial" w:cs="Arial"/>
          <w:noProof/>
          <w:sz w:val="22"/>
        </w:rPr>
        <w:t xml:space="preserve"> 776–779 (2014).</w:t>
      </w:r>
    </w:p>
    <w:p w14:paraId="54D3F0AB"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19.</w:t>
      </w:r>
      <w:r w:rsidRPr="002138E6">
        <w:rPr>
          <w:rFonts w:ascii="Arial" w:hAnsi="Arial" w:cs="Arial"/>
          <w:noProof/>
          <w:sz w:val="22"/>
        </w:rPr>
        <w:tab/>
        <w:t xml:space="preserve">Crowley, J. J. </w:t>
      </w:r>
      <w:r w:rsidRPr="002138E6">
        <w:rPr>
          <w:rFonts w:ascii="Arial" w:hAnsi="Arial" w:cs="Arial"/>
          <w:i/>
          <w:iCs/>
          <w:noProof/>
          <w:sz w:val="22"/>
        </w:rPr>
        <w:t>et al.</w:t>
      </w:r>
      <w:r w:rsidRPr="002138E6">
        <w:rPr>
          <w:rFonts w:ascii="Arial" w:hAnsi="Arial" w:cs="Arial"/>
          <w:noProof/>
          <w:sz w:val="22"/>
        </w:rPr>
        <w:t xml:space="preserve"> Analyses of allele-specific gene expression in highly divergent mouse crosses identifies pervasive allelic imbalance. </w:t>
      </w:r>
      <w:r w:rsidRPr="002138E6">
        <w:rPr>
          <w:rFonts w:ascii="Arial" w:hAnsi="Arial" w:cs="Arial"/>
          <w:i/>
          <w:iCs/>
          <w:noProof/>
          <w:sz w:val="22"/>
        </w:rPr>
        <w:t>Nat. Genet.</w:t>
      </w:r>
      <w:r w:rsidRPr="002138E6">
        <w:rPr>
          <w:rFonts w:ascii="Arial" w:hAnsi="Arial" w:cs="Arial"/>
          <w:noProof/>
          <w:sz w:val="22"/>
        </w:rPr>
        <w:t xml:space="preserve"> </w:t>
      </w:r>
      <w:r w:rsidRPr="002138E6">
        <w:rPr>
          <w:rFonts w:ascii="Arial" w:hAnsi="Arial" w:cs="Arial"/>
          <w:b/>
          <w:bCs/>
          <w:noProof/>
          <w:sz w:val="22"/>
        </w:rPr>
        <w:t>47,</w:t>
      </w:r>
      <w:r w:rsidRPr="002138E6">
        <w:rPr>
          <w:rFonts w:ascii="Arial" w:hAnsi="Arial" w:cs="Arial"/>
          <w:noProof/>
          <w:sz w:val="22"/>
        </w:rPr>
        <w:t xml:space="preserve"> (2015).</w:t>
      </w:r>
    </w:p>
    <w:p w14:paraId="61C4A7A3"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20.</w:t>
      </w:r>
      <w:r w:rsidRPr="002138E6">
        <w:rPr>
          <w:rFonts w:ascii="Arial" w:hAnsi="Arial" w:cs="Arial"/>
          <w:noProof/>
          <w:sz w:val="22"/>
        </w:rPr>
        <w:tab/>
        <w:t xml:space="preserve">Biswas, S. The latent logarithm. </w:t>
      </w:r>
      <w:r w:rsidRPr="002138E6">
        <w:rPr>
          <w:rFonts w:ascii="Arial" w:hAnsi="Arial" w:cs="Arial"/>
          <w:i/>
          <w:iCs/>
          <w:noProof/>
          <w:sz w:val="22"/>
        </w:rPr>
        <w:t>arXiv</w:t>
      </w:r>
      <w:r w:rsidRPr="002138E6">
        <w:rPr>
          <w:rFonts w:ascii="Arial" w:hAnsi="Arial" w:cs="Arial"/>
          <w:noProof/>
          <w:sz w:val="22"/>
        </w:rPr>
        <w:t xml:space="preserve"> 1–11 (2016).</w:t>
      </w:r>
    </w:p>
    <w:p w14:paraId="505FF80C"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21.</w:t>
      </w:r>
      <w:r w:rsidRPr="002138E6">
        <w:rPr>
          <w:rFonts w:ascii="Arial" w:hAnsi="Arial" w:cs="Arial"/>
          <w:noProof/>
          <w:sz w:val="22"/>
        </w:rPr>
        <w:tab/>
        <w:t xml:space="preserve">Tropp, J. a &amp; Gilbert, A. C. Signal Recovery From Random Measurements Via Orthogonal Matching Pursuit. </w:t>
      </w:r>
      <w:r w:rsidRPr="002138E6">
        <w:rPr>
          <w:rFonts w:ascii="Arial" w:hAnsi="Arial" w:cs="Arial"/>
          <w:b/>
          <w:bCs/>
          <w:noProof/>
          <w:sz w:val="22"/>
        </w:rPr>
        <w:t>53,</w:t>
      </w:r>
      <w:r w:rsidRPr="002138E6">
        <w:rPr>
          <w:rFonts w:ascii="Arial" w:hAnsi="Arial" w:cs="Arial"/>
          <w:noProof/>
          <w:sz w:val="22"/>
        </w:rPr>
        <w:t xml:space="preserve"> 4655–4666 (2007).</w:t>
      </w:r>
    </w:p>
    <w:p w14:paraId="0CBBCA6A"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22.</w:t>
      </w:r>
      <w:r w:rsidRPr="002138E6">
        <w:rPr>
          <w:rFonts w:ascii="Arial" w:hAnsi="Arial" w:cs="Arial"/>
          <w:noProof/>
          <w:sz w:val="22"/>
        </w:rPr>
        <w:tab/>
        <w:t xml:space="preserve">Tropp, J. a., Gilbert, A. C. &amp; Strauss, M. J. Algorithms for simultaneous sparse approximation. Part I: Greedy pursuit. </w:t>
      </w:r>
      <w:r w:rsidRPr="002138E6">
        <w:rPr>
          <w:rFonts w:ascii="Arial" w:hAnsi="Arial" w:cs="Arial"/>
          <w:i/>
          <w:iCs/>
          <w:noProof/>
          <w:sz w:val="22"/>
        </w:rPr>
        <w:t>Signal Processing</w:t>
      </w:r>
      <w:r w:rsidRPr="002138E6">
        <w:rPr>
          <w:rFonts w:ascii="Arial" w:hAnsi="Arial" w:cs="Arial"/>
          <w:noProof/>
          <w:sz w:val="22"/>
        </w:rPr>
        <w:t xml:space="preserve"> </w:t>
      </w:r>
      <w:r w:rsidRPr="002138E6">
        <w:rPr>
          <w:rFonts w:ascii="Arial" w:hAnsi="Arial" w:cs="Arial"/>
          <w:b/>
          <w:bCs/>
          <w:noProof/>
          <w:sz w:val="22"/>
        </w:rPr>
        <w:t>86,</w:t>
      </w:r>
      <w:r w:rsidRPr="002138E6">
        <w:rPr>
          <w:rFonts w:ascii="Arial" w:hAnsi="Arial" w:cs="Arial"/>
          <w:noProof/>
          <w:sz w:val="22"/>
        </w:rPr>
        <w:t xml:space="preserve"> 572–588 (2006).</w:t>
      </w:r>
    </w:p>
    <w:p w14:paraId="1B51071F"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23.</w:t>
      </w:r>
      <w:r w:rsidRPr="002138E6">
        <w:rPr>
          <w:rFonts w:ascii="Arial" w:hAnsi="Arial" w:cs="Arial"/>
          <w:noProof/>
          <w:sz w:val="22"/>
        </w:rPr>
        <w:tab/>
        <w:t xml:space="preserve">Yang, L. </w:t>
      </w:r>
      <w:r w:rsidRPr="002138E6">
        <w:rPr>
          <w:rFonts w:ascii="Arial" w:hAnsi="Arial" w:cs="Arial"/>
          <w:i/>
          <w:iCs/>
          <w:noProof/>
          <w:sz w:val="22"/>
        </w:rPr>
        <w:t>et al.</w:t>
      </w:r>
      <w:r w:rsidRPr="002138E6">
        <w:rPr>
          <w:rFonts w:ascii="Arial" w:hAnsi="Arial" w:cs="Arial"/>
          <w:noProof/>
          <w:sz w:val="22"/>
        </w:rPr>
        <w:t xml:space="preserve"> The Pseudomonas syringae type III effector HopBB1 fine tunes pathogen virulence by gluing together host transcriptional regulators for degradation. </w:t>
      </w:r>
      <w:r w:rsidRPr="002138E6">
        <w:rPr>
          <w:rFonts w:ascii="Arial" w:hAnsi="Arial" w:cs="Arial"/>
          <w:i/>
          <w:iCs/>
          <w:noProof/>
          <w:sz w:val="22"/>
        </w:rPr>
        <w:t>Submitted</w:t>
      </w:r>
      <w:r w:rsidRPr="002138E6">
        <w:rPr>
          <w:rFonts w:ascii="Arial" w:hAnsi="Arial" w:cs="Arial"/>
          <w:noProof/>
          <w:sz w:val="22"/>
        </w:rPr>
        <w:t xml:space="preserve"> (2016).</w:t>
      </w:r>
    </w:p>
    <w:p w14:paraId="0E8AF619" w14:textId="77777777" w:rsidR="002138E6" w:rsidRPr="002138E6" w:rsidRDefault="002138E6" w:rsidP="00FB7CA9">
      <w:pPr>
        <w:pStyle w:val="NormalWeb"/>
        <w:spacing w:before="0" w:beforeAutospacing="0" w:after="0" w:afterAutospacing="0"/>
        <w:ind w:left="634" w:hanging="634"/>
        <w:divId w:val="1065839135"/>
        <w:rPr>
          <w:rFonts w:ascii="Arial" w:hAnsi="Arial" w:cs="Arial"/>
          <w:noProof/>
          <w:sz w:val="22"/>
        </w:rPr>
      </w:pPr>
      <w:r w:rsidRPr="002138E6">
        <w:rPr>
          <w:rFonts w:ascii="Arial" w:hAnsi="Arial" w:cs="Arial"/>
          <w:noProof/>
          <w:sz w:val="22"/>
        </w:rPr>
        <w:t>24.</w:t>
      </w:r>
      <w:r w:rsidRPr="002138E6">
        <w:rPr>
          <w:rFonts w:ascii="Arial" w:hAnsi="Arial" w:cs="Arial"/>
          <w:noProof/>
          <w:sz w:val="22"/>
        </w:rPr>
        <w:tab/>
        <w:t xml:space="preserve">Parnas, O., Jovanovic, M., Eisenhaure, M. &amp; Zhang, F. A Genome-wide CRISPR Screen in Primary Immune Cells to Dissect Regulatory Networks. </w:t>
      </w:r>
      <w:r w:rsidRPr="002138E6">
        <w:rPr>
          <w:rFonts w:ascii="Arial" w:hAnsi="Arial" w:cs="Arial"/>
          <w:i/>
          <w:iCs/>
          <w:noProof/>
          <w:sz w:val="22"/>
        </w:rPr>
        <w:t>Cell</w:t>
      </w:r>
      <w:r w:rsidRPr="002138E6">
        <w:rPr>
          <w:rFonts w:ascii="Arial" w:hAnsi="Arial" w:cs="Arial"/>
          <w:noProof/>
          <w:sz w:val="22"/>
        </w:rPr>
        <w:t xml:space="preserve"> </w:t>
      </w:r>
      <w:r w:rsidRPr="002138E6">
        <w:rPr>
          <w:rFonts w:ascii="Arial" w:hAnsi="Arial" w:cs="Arial"/>
          <w:b/>
          <w:bCs/>
          <w:noProof/>
          <w:sz w:val="22"/>
        </w:rPr>
        <w:t>162,</w:t>
      </w:r>
      <w:r w:rsidRPr="002138E6">
        <w:rPr>
          <w:rFonts w:ascii="Arial" w:hAnsi="Arial" w:cs="Arial"/>
          <w:noProof/>
          <w:sz w:val="22"/>
        </w:rPr>
        <w:t xml:space="preserve"> 1–12 (2015). </w:t>
      </w:r>
    </w:p>
    <w:p w14:paraId="31B84F80" w14:textId="05B6524A" w:rsidR="006E10B9" w:rsidRPr="00A43B24" w:rsidRDefault="003B2961" w:rsidP="00A43B24">
      <w:pPr>
        <w:pStyle w:val="NormalWeb"/>
        <w:spacing w:before="0" w:beforeAutospacing="0" w:after="0" w:afterAutospacing="0"/>
        <w:ind w:left="634" w:hanging="634"/>
        <w:divId w:val="1538618995"/>
        <w:rPr>
          <w:rFonts w:ascii="Arial" w:hAnsi="Arial" w:cs="Arial"/>
          <w:sz w:val="22"/>
          <w:szCs w:val="22"/>
        </w:rPr>
      </w:pPr>
      <w:r>
        <w:rPr>
          <w:rFonts w:ascii="Arial" w:hAnsi="Arial" w:cs="Arial"/>
          <w:sz w:val="22"/>
          <w:szCs w:val="22"/>
        </w:rPr>
        <w:fldChar w:fldCharType="end"/>
      </w:r>
    </w:p>
    <w:sectPr w:rsidR="006E10B9" w:rsidRPr="00A43B24" w:rsidSect="00CD4A0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0C480B" w:rsidRDefault="000C480B" w:rsidP="003B2961">
      <w:r>
        <w:separator/>
      </w:r>
    </w:p>
  </w:endnote>
  <w:endnote w:type="continuationSeparator" w:id="0">
    <w:p w14:paraId="2CDFFB0A" w14:textId="77777777" w:rsidR="000C480B" w:rsidRDefault="000C480B"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0C480B" w:rsidRDefault="000C480B" w:rsidP="003B2961">
      <w:r>
        <w:separator/>
      </w:r>
    </w:p>
  </w:footnote>
  <w:footnote w:type="continuationSeparator" w:id="0">
    <w:p w14:paraId="768DE92F" w14:textId="77777777" w:rsidR="000C480B" w:rsidRDefault="000C480B"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E24"/>
    <w:rsid w:val="00042BBC"/>
    <w:rsid w:val="00043545"/>
    <w:rsid w:val="00046337"/>
    <w:rsid w:val="000464E9"/>
    <w:rsid w:val="00051B60"/>
    <w:rsid w:val="00052B36"/>
    <w:rsid w:val="0006443C"/>
    <w:rsid w:val="000670A2"/>
    <w:rsid w:val="00071089"/>
    <w:rsid w:val="00080C0F"/>
    <w:rsid w:val="00083021"/>
    <w:rsid w:val="000946EB"/>
    <w:rsid w:val="000B2801"/>
    <w:rsid w:val="000B38EB"/>
    <w:rsid w:val="000B798E"/>
    <w:rsid w:val="000C39E4"/>
    <w:rsid w:val="000C480B"/>
    <w:rsid w:val="000C627C"/>
    <w:rsid w:val="000C6C06"/>
    <w:rsid w:val="000C76CB"/>
    <w:rsid w:val="000E1775"/>
    <w:rsid w:val="000E2EDF"/>
    <w:rsid w:val="000E68EC"/>
    <w:rsid w:val="000F3FC7"/>
    <w:rsid w:val="000F55AD"/>
    <w:rsid w:val="00107191"/>
    <w:rsid w:val="00110B2D"/>
    <w:rsid w:val="00114382"/>
    <w:rsid w:val="00122AFF"/>
    <w:rsid w:val="00125AF5"/>
    <w:rsid w:val="00127FEC"/>
    <w:rsid w:val="00141B80"/>
    <w:rsid w:val="00156BBE"/>
    <w:rsid w:val="001617B5"/>
    <w:rsid w:val="0016775E"/>
    <w:rsid w:val="001717F9"/>
    <w:rsid w:val="00176FEF"/>
    <w:rsid w:val="001778CF"/>
    <w:rsid w:val="00184AED"/>
    <w:rsid w:val="00192AED"/>
    <w:rsid w:val="001948CC"/>
    <w:rsid w:val="00195E99"/>
    <w:rsid w:val="001A3920"/>
    <w:rsid w:val="001A5D25"/>
    <w:rsid w:val="001B1815"/>
    <w:rsid w:val="001B30E2"/>
    <w:rsid w:val="001B3418"/>
    <w:rsid w:val="001B5B45"/>
    <w:rsid w:val="001B6D33"/>
    <w:rsid w:val="001C0FE0"/>
    <w:rsid w:val="001C2389"/>
    <w:rsid w:val="001D7889"/>
    <w:rsid w:val="001E0FBB"/>
    <w:rsid w:val="001E162F"/>
    <w:rsid w:val="001E2BE7"/>
    <w:rsid w:val="001F24B7"/>
    <w:rsid w:val="001F5070"/>
    <w:rsid w:val="00200965"/>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7873"/>
    <w:rsid w:val="002379B7"/>
    <w:rsid w:val="00241064"/>
    <w:rsid w:val="002412B6"/>
    <w:rsid w:val="00262D47"/>
    <w:rsid w:val="00264942"/>
    <w:rsid w:val="002658C2"/>
    <w:rsid w:val="00265B61"/>
    <w:rsid w:val="00267556"/>
    <w:rsid w:val="0027713E"/>
    <w:rsid w:val="00280663"/>
    <w:rsid w:val="00282F22"/>
    <w:rsid w:val="0029334E"/>
    <w:rsid w:val="002A041C"/>
    <w:rsid w:val="002A3BE9"/>
    <w:rsid w:val="002C3E8B"/>
    <w:rsid w:val="002D4A0D"/>
    <w:rsid w:val="002E03A8"/>
    <w:rsid w:val="00301F90"/>
    <w:rsid w:val="0030673B"/>
    <w:rsid w:val="00306FA8"/>
    <w:rsid w:val="003145AB"/>
    <w:rsid w:val="003231FE"/>
    <w:rsid w:val="003260E5"/>
    <w:rsid w:val="00335FA7"/>
    <w:rsid w:val="0033617B"/>
    <w:rsid w:val="00357BA9"/>
    <w:rsid w:val="00365439"/>
    <w:rsid w:val="00371491"/>
    <w:rsid w:val="00371EF4"/>
    <w:rsid w:val="00393B69"/>
    <w:rsid w:val="003A0F07"/>
    <w:rsid w:val="003A4737"/>
    <w:rsid w:val="003B1068"/>
    <w:rsid w:val="003B1798"/>
    <w:rsid w:val="003B2961"/>
    <w:rsid w:val="003B4C58"/>
    <w:rsid w:val="003C6641"/>
    <w:rsid w:val="003E2153"/>
    <w:rsid w:val="003E40C6"/>
    <w:rsid w:val="003E437A"/>
    <w:rsid w:val="003F2BC9"/>
    <w:rsid w:val="003F3213"/>
    <w:rsid w:val="003F3952"/>
    <w:rsid w:val="003F4838"/>
    <w:rsid w:val="004031F8"/>
    <w:rsid w:val="004127B7"/>
    <w:rsid w:val="00412898"/>
    <w:rsid w:val="00417A1A"/>
    <w:rsid w:val="00420B6E"/>
    <w:rsid w:val="00421BB3"/>
    <w:rsid w:val="00421C60"/>
    <w:rsid w:val="00426E87"/>
    <w:rsid w:val="00434FCA"/>
    <w:rsid w:val="004403E2"/>
    <w:rsid w:val="00443361"/>
    <w:rsid w:val="00444E43"/>
    <w:rsid w:val="00446BD8"/>
    <w:rsid w:val="00454D8E"/>
    <w:rsid w:val="0045621E"/>
    <w:rsid w:val="00460C89"/>
    <w:rsid w:val="0046130F"/>
    <w:rsid w:val="004638BC"/>
    <w:rsid w:val="00472B7C"/>
    <w:rsid w:val="004761D8"/>
    <w:rsid w:val="00490845"/>
    <w:rsid w:val="0049793E"/>
    <w:rsid w:val="004A2505"/>
    <w:rsid w:val="004A2B2B"/>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56E1"/>
    <w:rsid w:val="00512A6E"/>
    <w:rsid w:val="00523214"/>
    <w:rsid w:val="00527588"/>
    <w:rsid w:val="00530D0F"/>
    <w:rsid w:val="005325E6"/>
    <w:rsid w:val="00533BCF"/>
    <w:rsid w:val="005413D7"/>
    <w:rsid w:val="005566A2"/>
    <w:rsid w:val="0056167C"/>
    <w:rsid w:val="005643B1"/>
    <w:rsid w:val="00564740"/>
    <w:rsid w:val="00565A75"/>
    <w:rsid w:val="00566253"/>
    <w:rsid w:val="0056686E"/>
    <w:rsid w:val="00571ABC"/>
    <w:rsid w:val="00583281"/>
    <w:rsid w:val="00595576"/>
    <w:rsid w:val="00595895"/>
    <w:rsid w:val="005A0A71"/>
    <w:rsid w:val="005A21D0"/>
    <w:rsid w:val="005A24CC"/>
    <w:rsid w:val="005A5020"/>
    <w:rsid w:val="005A57BB"/>
    <w:rsid w:val="005B5F49"/>
    <w:rsid w:val="005D148C"/>
    <w:rsid w:val="005D44FD"/>
    <w:rsid w:val="005D6BD7"/>
    <w:rsid w:val="005D7A36"/>
    <w:rsid w:val="005E0357"/>
    <w:rsid w:val="005E2523"/>
    <w:rsid w:val="005F5C9F"/>
    <w:rsid w:val="005F5EE5"/>
    <w:rsid w:val="005F6B9C"/>
    <w:rsid w:val="00601C8A"/>
    <w:rsid w:val="0062386E"/>
    <w:rsid w:val="00625645"/>
    <w:rsid w:val="0063067A"/>
    <w:rsid w:val="00644ED5"/>
    <w:rsid w:val="00664745"/>
    <w:rsid w:val="00676A78"/>
    <w:rsid w:val="00690EBD"/>
    <w:rsid w:val="00695B8D"/>
    <w:rsid w:val="00695D0F"/>
    <w:rsid w:val="006A59E2"/>
    <w:rsid w:val="006B00A3"/>
    <w:rsid w:val="006B1A79"/>
    <w:rsid w:val="006B351A"/>
    <w:rsid w:val="006B702C"/>
    <w:rsid w:val="006B7FCE"/>
    <w:rsid w:val="006C16C7"/>
    <w:rsid w:val="006C36A1"/>
    <w:rsid w:val="006C776D"/>
    <w:rsid w:val="006D7CCC"/>
    <w:rsid w:val="006E10B9"/>
    <w:rsid w:val="006E3C43"/>
    <w:rsid w:val="006E540F"/>
    <w:rsid w:val="006E67BA"/>
    <w:rsid w:val="006F058F"/>
    <w:rsid w:val="006F16B2"/>
    <w:rsid w:val="006F2EB0"/>
    <w:rsid w:val="006F30D3"/>
    <w:rsid w:val="006F4C26"/>
    <w:rsid w:val="00714C3B"/>
    <w:rsid w:val="00715A79"/>
    <w:rsid w:val="00723A67"/>
    <w:rsid w:val="00730733"/>
    <w:rsid w:val="00751977"/>
    <w:rsid w:val="007569D2"/>
    <w:rsid w:val="00770017"/>
    <w:rsid w:val="007730A6"/>
    <w:rsid w:val="00773632"/>
    <w:rsid w:val="00773CF0"/>
    <w:rsid w:val="00774CAC"/>
    <w:rsid w:val="00776214"/>
    <w:rsid w:val="007811DC"/>
    <w:rsid w:val="007A1057"/>
    <w:rsid w:val="007A5D02"/>
    <w:rsid w:val="007B044E"/>
    <w:rsid w:val="007B30E3"/>
    <w:rsid w:val="007C25D2"/>
    <w:rsid w:val="007C3E54"/>
    <w:rsid w:val="007C4ADA"/>
    <w:rsid w:val="007C78E3"/>
    <w:rsid w:val="007D4AEF"/>
    <w:rsid w:val="007E0C61"/>
    <w:rsid w:val="007E3304"/>
    <w:rsid w:val="007F66EC"/>
    <w:rsid w:val="0081134F"/>
    <w:rsid w:val="00820BDF"/>
    <w:rsid w:val="00820EA6"/>
    <w:rsid w:val="00820EBE"/>
    <w:rsid w:val="00835FB4"/>
    <w:rsid w:val="00840B3D"/>
    <w:rsid w:val="008441E4"/>
    <w:rsid w:val="00847549"/>
    <w:rsid w:val="00847C8D"/>
    <w:rsid w:val="00847EF5"/>
    <w:rsid w:val="008530BE"/>
    <w:rsid w:val="00860F9C"/>
    <w:rsid w:val="00865248"/>
    <w:rsid w:val="0086646F"/>
    <w:rsid w:val="00872CE1"/>
    <w:rsid w:val="0087465C"/>
    <w:rsid w:val="008906AD"/>
    <w:rsid w:val="00891A4F"/>
    <w:rsid w:val="00895C5A"/>
    <w:rsid w:val="00896418"/>
    <w:rsid w:val="008A1F33"/>
    <w:rsid w:val="008A5AF9"/>
    <w:rsid w:val="008A66B7"/>
    <w:rsid w:val="008B544A"/>
    <w:rsid w:val="008D0B05"/>
    <w:rsid w:val="008D1D8E"/>
    <w:rsid w:val="008D2FFD"/>
    <w:rsid w:val="008D33E5"/>
    <w:rsid w:val="008D3803"/>
    <w:rsid w:val="008D6B70"/>
    <w:rsid w:val="008F1BE2"/>
    <w:rsid w:val="008F34CD"/>
    <w:rsid w:val="008F6D5E"/>
    <w:rsid w:val="00900E57"/>
    <w:rsid w:val="00905B6A"/>
    <w:rsid w:val="00906C63"/>
    <w:rsid w:val="0091316A"/>
    <w:rsid w:val="009159DD"/>
    <w:rsid w:val="00916495"/>
    <w:rsid w:val="00917D9B"/>
    <w:rsid w:val="00920F44"/>
    <w:rsid w:val="00922114"/>
    <w:rsid w:val="009412A3"/>
    <w:rsid w:val="0094237A"/>
    <w:rsid w:val="00944503"/>
    <w:rsid w:val="00961C29"/>
    <w:rsid w:val="00963D62"/>
    <w:rsid w:val="00970176"/>
    <w:rsid w:val="00973370"/>
    <w:rsid w:val="009735CA"/>
    <w:rsid w:val="009775C5"/>
    <w:rsid w:val="00981597"/>
    <w:rsid w:val="009839A7"/>
    <w:rsid w:val="00984C17"/>
    <w:rsid w:val="009957AD"/>
    <w:rsid w:val="009960FB"/>
    <w:rsid w:val="00996778"/>
    <w:rsid w:val="009A1297"/>
    <w:rsid w:val="009A27F1"/>
    <w:rsid w:val="009A3DD4"/>
    <w:rsid w:val="009A7C82"/>
    <w:rsid w:val="009C467A"/>
    <w:rsid w:val="009D2472"/>
    <w:rsid w:val="009D552C"/>
    <w:rsid w:val="009E0CAE"/>
    <w:rsid w:val="009E7A40"/>
    <w:rsid w:val="009F7720"/>
    <w:rsid w:val="009F776E"/>
    <w:rsid w:val="00A032CD"/>
    <w:rsid w:val="00A04CE3"/>
    <w:rsid w:val="00A063F6"/>
    <w:rsid w:val="00A10C0E"/>
    <w:rsid w:val="00A14360"/>
    <w:rsid w:val="00A167CF"/>
    <w:rsid w:val="00A20818"/>
    <w:rsid w:val="00A27B64"/>
    <w:rsid w:val="00A36686"/>
    <w:rsid w:val="00A427FE"/>
    <w:rsid w:val="00A43B24"/>
    <w:rsid w:val="00A45248"/>
    <w:rsid w:val="00A555BD"/>
    <w:rsid w:val="00A57AE0"/>
    <w:rsid w:val="00A57FA0"/>
    <w:rsid w:val="00A66548"/>
    <w:rsid w:val="00A66C7A"/>
    <w:rsid w:val="00A74237"/>
    <w:rsid w:val="00A76C0B"/>
    <w:rsid w:val="00A778D2"/>
    <w:rsid w:val="00A77CA0"/>
    <w:rsid w:val="00A8427A"/>
    <w:rsid w:val="00A85440"/>
    <w:rsid w:val="00A91BA2"/>
    <w:rsid w:val="00A94BEC"/>
    <w:rsid w:val="00A96429"/>
    <w:rsid w:val="00AC0B35"/>
    <w:rsid w:val="00AC1AAB"/>
    <w:rsid w:val="00AE3ABA"/>
    <w:rsid w:val="00AF4124"/>
    <w:rsid w:val="00B00698"/>
    <w:rsid w:val="00B008A8"/>
    <w:rsid w:val="00B05A76"/>
    <w:rsid w:val="00B05E93"/>
    <w:rsid w:val="00B10210"/>
    <w:rsid w:val="00B11ADD"/>
    <w:rsid w:val="00B16D23"/>
    <w:rsid w:val="00B17345"/>
    <w:rsid w:val="00B243CB"/>
    <w:rsid w:val="00B25C2F"/>
    <w:rsid w:val="00B26499"/>
    <w:rsid w:val="00B27037"/>
    <w:rsid w:val="00B33620"/>
    <w:rsid w:val="00B406CE"/>
    <w:rsid w:val="00B41911"/>
    <w:rsid w:val="00B42FF3"/>
    <w:rsid w:val="00B43976"/>
    <w:rsid w:val="00B439BC"/>
    <w:rsid w:val="00B53487"/>
    <w:rsid w:val="00B54703"/>
    <w:rsid w:val="00B54EC9"/>
    <w:rsid w:val="00B62950"/>
    <w:rsid w:val="00B63237"/>
    <w:rsid w:val="00B6330C"/>
    <w:rsid w:val="00B72FDC"/>
    <w:rsid w:val="00B77E81"/>
    <w:rsid w:val="00B85DC5"/>
    <w:rsid w:val="00B85E14"/>
    <w:rsid w:val="00B92E6A"/>
    <w:rsid w:val="00BA7606"/>
    <w:rsid w:val="00BA7DBC"/>
    <w:rsid w:val="00BB105F"/>
    <w:rsid w:val="00BB5BB5"/>
    <w:rsid w:val="00BB6AA3"/>
    <w:rsid w:val="00BB7616"/>
    <w:rsid w:val="00BC140F"/>
    <w:rsid w:val="00BD1A01"/>
    <w:rsid w:val="00BE1D25"/>
    <w:rsid w:val="00BE1F42"/>
    <w:rsid w:val="00BE4BEE"/>
    <w:rsid w:val="00BE605B"/>
    <w:rsid w:val="00BF2A8A"/>
    <w:rsid w:val="00BF46D8"/>
    <w:rsid w:val="00BF57F9"/>
    <w:rsid w:val="00BF6911"/>
    <w:rsid w:val="00C04814"/>
    <w:rsid w:val="00C05BA9"/>
    <w:rsid w:val="00C11543"/>
    <w:rsid w:val="00C12F56"/>
    <w:rsid w:val="00C14684"/>
    <w:rsid w:val="00C15007"/>
    <w:rsid w:val="00C31BE8"/>
    <w:rsid w:val="00C32302"/>
    <w:rsid w:val="00C40951"/>
    <w:rsid w:val="00C410BD"/>
    <w:rsid w:val="00C41395"/>
    <w:rsid w:val="00C415BC"/>
    <w:rsid w:val="00C570E4"/>
    <w:rsid w:val="00C66D22"/>
    <w:rsid w:val="00C804B8"/>
    <w:rsid w:val="00C829D9"/>
    <w:rsid w:val="00C82BDD"/>
    <w:rsid w:val="00C836C8"/>
    <w:rsid w:val="00C85562"/>
    <w:rsid w:val="00C85BC7"/>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C217D"/>
    <w:rsid w:val="00CC4B70"/>
    <w:rsid w:val="00CC4E0C"/>
    <w:rsid w:val="00CD1374"/>
    <w:rsid w:val="00CD27E1"/>
    <w:rsid w:val="00CD4A09"/>
    <w:rsid w:val="00CD787A"/>
    <w:rsid w:val="00CE2AD0"/>
    <w:rsid w:val="00CF2215"/>
    <w:rsid w:val="00CF3A1A"/>
    <w:rsid w:val="00D0023C"/>
    <w:rsid w:val="00D01B69"/>
    <w:rsid w:val="00D04A4E"/>
    <w:rsid w:val="00D04CB8"/>
    <w:rsid w:val="00D057F8"/>
    <w:rsid w:val="00D07D48"/>
    <w:rsid w:val="00D11BDC"/>
    <w:rsid w:val="00D20A84"/>
    <w:rsid w:val="00D22B59"/>
    <w:rsid w:val="00D23A47"/>
    <w:rsid w:val="00D266A5"/>
    <w:rsid w:val="00D27A19"/>
    <w:rsid w:val="00D44528"/>
    <w:rsid w:val="00D50350"/>
    <w:rsid w:val="00D50602"/>
    <w:rsid w:val="00D51379"/>
    <w:rsid w:val="00D51925"/>
    <w:rsid w:val="00D5475B"/>
    <w:rsid w:val="00D619A0"/>
    <w:rsid w:val="00D77330"/>
    <w:rsid w:val="00D9042F"/>
    <w:rsid w:val="00D94320"/>
    <w:rsid w:val="00DA360B"/>
    <w:rsid w:val="00DA50B1"/>
    <w:rsid w:val="00DB27C7"/>
    <w:rsid w:val="00DB6F63"/>
    <w:rsid w:val="00DC30C0"/>
    <w:rsid w:val="00DC4B8F"/>
    <w:rsid w:val="00DC715A"/>
    <w:rsid w:val="00DD42B6"/>
    <w:rsid w:val="00DD75F0"/>
    <w:rsid w:val="00DE59BA"/>
    <w:rsid w:val="00E004A7"/>
    <w:rsid w:val="00E02B31"/>
    <w:rsid w:val="00E04185"/>
    <w:rsid w:val="00E051D8"/>
    <w:rsid w:val="00E07637"/>
    <w:rsid w:val="00E10778"/>
    <w:rsid w:val="00E13FE6"/>
    <w:rsid w:val="00E150D7"/>
    <w:rsid w:val="00E201E2"/>
    <w:rsid w:val="00E20794"/>
    <w:rsid w:val="00E20CBA"/>
    <w:rsid w:val="00E217EC"/>
    <w:rsid w:val="00E24219"/>
    <w:rsid w:val="00E348A0"/>
    <w:rsid w:val="00E36239"/>
    <w:rsid w:val="00E46556"/>
    <w:rsid w:val="00E521BD"/>
    <w:rsid w:val="00E57B6E"/>
    <w:rsid w:val="00E634F3"/>
    <w:rsid w:val="00E653DA"/>
    <w:rsid w:val="00E7218A"/>
    <w:rsid w:val="00E90228"/>
    <w:rsid w:val="00E95EAA"/>
    <w:rsid w:val="00E96A06"/>
    <w:rsid w:val="00E977B2"/>
    <w:rsid w:val="00EB2703"/>
    <w:rsid w:val="00EC133D"/>
    <w:rsid w:val="00EC38F8"/>
    <w:rsid w:val="00EF1112"/>
    <w:rsid w:val="00F0268D"/>
    <w:rsid w:val="00F0700E"/>
    <w:rsid w:val="00F105CF"/>
    <w:rsid w:val="00F11953"/>
    <w:rsid w:val="00F1422B"/>
    <w:rsid w:val="00F17F6E"/>
    <w:rsid w:val="00F225F9"/>
    <w:rsid w:val="00F32EBC"/>
    <w:rsid w:val="00F33726"/>
    <w:rsid w:val="00F33B64"/>
    <w:rsid w:val="00F528D1"/>
    <w:rsid w:val="00F544E7"/>
    <w:rsid w:val="00F66E82"/>
    <w:rsid w:val="00F76882"/>
    <w:rsid w:val="00F7762E"/>
    <w:rsid w:val="00F83555"/>
    <w:rsid w:val="00F875EC"/>
    <w:rsid w:val="00F90117"/>
    <w:rsid w:val="00F95192"/>
    <w:rsid w:val="00F9686F"/>
    <w:rsid w:val="00FB6388"/>
    <w:rsid w:val="00FB7CA9"/>
    <w:rsid w:val="00FC09E4"/>
    <w:rsid w:val="00FC1DDB"/>
    <w:rsid w:val="00FC2DCA"/>
    <w:rsid w:val="00FC5F98"/>
    <w:rsid w:val="00FD5068"/>
    <w:rsid w:val="00FD54BC"/>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13</Pages>
  <Words>12930</Words>
  <Characters>76811</Characters>
  <Application>Microsoft Macintosh Word</Application>
  <DocSecurity>0</DocSecurity>
  <Lines>1301</Lines>
  <Paragraphs>220</Paragraphs>
  <ScaleCrop>false</ScaleCrop>
  <Company/>
  <LinksUpToDate>false</LinksUpToDate>
  <CharactersWithSpaces>89521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422</cp:revision>
  <cp:lastPrinted>2016-06-02T21:52:00Z</cp:lastPrinted>
  <dcterms:created xsi:type="dcterms:W3CDTF">2016-06-01T16:11:00Z</dcterms:created>
  <dcterms:modified xsi:type="dcterms:W3CDTF">2016-06-06T20:47:00Z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