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7D913" w14:textId="5DBE37AE" w:rsidR="008248A0" w:rsidRDefault="008248A0" w:rsidP="008248A0">
      <w:pPr>
        <w:spacing w:after="0" w:line="240" w:lineRule="auto"/>
        <w:jc w:val="center"/>
        <w:rPr>
          <w:rFonts w:ascii="Arial" w:hAnsi="Arial"/>
          <w:sz w:val="28"/>
        </w:rPr>
      </w:pPr>
      <w:r w:rsidRPr="008248A0">
        <w:rPr>
          <w:rFonts w:ascii="Arial" w:hAnsi="Arial"/>
          <w:sz w:val="28"/>
        </w:rPr>
        <w:t xml:space="preserve">Tradict enables </w:t>
      </w:r>
      <w:r w:rsidR="00471409" w:rsidRPr="002B27D3">
        <w:rPr>
          <w:rFonts w:ascii="Arial" w:hAnsi="Arial" w:cs="Arial"/>
          <w:sz w:val="28"/>
        </w:rPr>
        <w:t>high fidelity reconstruction of the eukaryotic transcriptome from 100 marker genes</w:t>
      </w:r>
    </w:p>
    <w:p w14:paraId="4A752D33" w14:textId="77777777" w:rsidR="008248A0" w:rsidRPr="008248A0" w:rsidRDefault="008248A0" w:rsidP="008248A0">
      <w:pPr>
        <w:spacing w:after="0" w:line="240" w:lineRule="auto"/>
        <w:jc w:val="center"/>
        <w:rPr>
          <w:rFonts w:ascii="Arial" w:hAnsi="Arial"/>
          <w:sz w:val="28"/>
        </w:rPr>
      </w:pPr>
    </w:p>
    <w:p w14:paraId="3E752136" w14:textId="423CD677" w:rsidR="0082039F" w:rsidRPr="008248A0" w:rsidRDefault="008A7CF4" w:rsidP="00AC40F3">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750AEB5B"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Note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r w:rsidR="005019F5">
        <w:rPr>
          <w:rFonts w:ascii="Arial" w:hAnsi="Arial" w:cs="Arial"/>
          <w:b/>
          <w:sz w:val="22"/>
          <w:szCs w:val="22"/>
        </w:rPr>
        <w:t>.</w:t>
      </w:r>
      <w:r w:rsidR="007C70E9">
        <w:rPr>
          <w:rFonts w:ascii="Arial" w:hAnsi="Arial" w:cs="Arial"/>
          <w:b/>
          <w:sz w:val="22"/>
          <w:szCs w:val="22"/>
        </w:rPr>
        <w:t xml:space="preserve"> </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and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specific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887F08">
      <w:pPr>
        <w:pStyle w:val="Caption"/>
        <w:spacing w:after="0" w:line="240" w:lineRule="auto"/>
        <w:ind w:firstLine="0"/>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C73234">
      <w:pPr>
        <w:pStyle w:val="Caption"/>
        <w:spacing w:after="0" w:line="240" w:lineRule="auto"/>
        <w:ind w:firstLine="0"/>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38617E00" w14:textId="4FA4C518" w:rsidR="00FE4187" w:rsidRPr="00FE4187" w:rsidRDefault="00FE4187" w:rsidP="00FE4187">
      <w:pPr>
        <w:keepNext/>
        <w:spacing w:line="240" w:lineRule="auto"/>
        <w:ind w:firstLine="0"/>
        <w:contextualSpacing/>
        <w:jc w:val="both"/>
        <w:rPr>
          <w:b/>
        </w:rPr>
      </w:pPr>
      <w:r>
        <w:rPr>
          <w:rFonts w:ascii="Arial" w:hAnsi="Arial" w:cs="Arial"/>
          <w:b/>
          <w:noProof/>
          <w:sz w:val="24"/>
        </w:rPr>
        <w:drawing>
          <wp:inline distT="0" distB="0" distL="0" distR="0" wp14:anchorId="052458B3" wp14:editId="7F2B4FF8">
            <wp:extent cx="5943600" cy="1664208"/>
            <wp:effectExtent l="0" t="0" r="0" b="12700"/>
            <wp:docPr id="10" name="Picture 10" descr="Macintosh HD:Users:sbiswas:GitHub:transcriptome_compression:paper:fig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biswas:GitHub:transcriptome_compression:paper:figS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8333"/>
                    <a:stretch/>
                  </pic:blipFill>
                  <pic:spPr bwMode="auto">
                    <a:xfrm>
                      <a:off x="0" y="0"/>
                      <a:ext cx="5943600" cy="1664208"/>
                    </a:xfrm>
                    <a:prstGeom prst="rect">
                      <a:avLst/>
                    </a:prstGeom>
                    <a:noFill/>
                    <a:ln>
                      <a:noFill/>
                    </a:ln>
                    <a:extLst>
                      <a:ext uri="{53640926-AAD7-44d8-BBD7-CCE9431645EC}">
                        <a14:shadowObscured xmlns:a14="http://schemas.microsoft.com/office/drawing/2010/main"/>
                      </a:ext>
                    </a:extLst>
                  </pic:spPr>
                </pic:pic>
              </a:graphicData>
            </a:graphic>
          </wp:inline>
        </w:drawing>
      </w:r>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6EF55155" w:rsidR="00E11346" w:rsidRDefault="00D866A2" w:rsidP="00E11346">
      <w:pPr>
        <w:spacing w:line="240" w:lineRule="auto"/>
        <w:ind w:firstLine="0"/>
        <w:contextualSpacing/>
        <w:rPr>
          <w:rFonts w:ascii="Arial" w:hAnsi="Arial" w:cs="Arial"/>
          <w:b/>
          <w:sz w:val="24"/>
        </w:rPr>
      </w:pPr>
      <w:r>
        <w:rPr>
          <w:rFonts w:ascii="Arial" w:hAnsi="Arial" w:cs="Arial"/>
          <w:b/>
          <w:sz w:val="24"/>
        </w:rPr>
        <w:t>Supplemental</w:t>
      </w:r>
      <w:r w:rsidR="00D076E1">
        <w:rPr>
          <w:rFonts w:ascii="Arial" w:hAnsi="Arial" w:cs="Arial"/>
          <w:b/>
          <w:sz w:val="24"/>
        </w:rPr>
        <w:t xml:space="preserve"> Note 2  - Tradict outperforms leading approaches and is robust to noise</w:t>
      </w:r>
    </w:p>
    <w:p w14:paraId="0A2223F3" w14:textId="151125C3" w:rsidR="00E11346" w:rsidRDefault="00E11346" w:rsidP="00E11346">
      <w:pPr>
        <w:spacing w:after="0" w:line="240" w:lineRule="auto"/>
        <w:ind w:firstLine="720"/>
        <w:jc w:val="both"/>
        <w:rPr>
          <w:rFonts w:ascii="Arial" w:eastAsia="ＭＳ ゴシック" w:hAnsi="Arial" w:cs="Arial"/>
          <w:color w:val="000000"/>
        </w:rPr>
      </w:pPr>
      <w:r>
        <w:rPr>
          <w:rFonts w:ascii="Arial" w:hAnsi="Arial" w:cs="Arial"/>
        </w:rPr>
        <w:t xml:space="preserve">As baselines for Tradict, we consider three alternative approaches. The first two, locally weighted averaging (LWA) and structured regression (SR) are the two best performing methods used in Donner </w:t>
      </w:r>
      <w:r>
        <w:rPr>
          <w:rFonts w:ascii="Arial" w:hAnsi="Arial" w:cs="Arial"/>
          <w:i/>
        </w:rPr>
        <w:t xml:space="preserve">et al. </w:t>
      </w:r>
      <w:r>
        <w:rPr>
          <w:rFonts w:ascii="Arial" w:hAnsi="Arial" w:cs="Arial"/>
        </w:rPr>
        <w:t>(2012)</w:t>
      </w:r>
      <w:r>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Pr>
          <w:rFonts w:ascii="Arial" w:hAnsi="Arial" w:cs="Arial"/>
        </w:rPr>
        <w:fldChar w:fldCharType="separate"/>
      </w:r>
      <w:r w:rsidR="00BF413D" w:rsidRPr="00BF413D">
        <w:rPr>
          <w:rFonts w:ascii="Arial" w:hAnsi="Arial" w:cs="Arial"/>
          <w:noProof/>
          <w:vertAlign w:val="superscript"/>
        </w:rPr>
        <w:t>3</w:t>
      </w:r>
      <w:r>
        <w:rPr>
          <w:rFonts w:ascii="Arial" w:hAnsi="Arial" w:cs="Arial"/>
        </w:rPr>
        <w:fldChar w:fldCharType="end"/>
      </w:r>
      <w:r>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w:t>
      </w:r>
      <w:proofErr w:type="gramStart"/>
      <w:r>
        <w:rPr>
          <w:rFonts w:ascii="Arial" w:hAnsi="Arial" w:cs="Arial"/>
        </w:rPr>
        <w:t>The exact weighting function is given by a Gaussian kernel, whose bandwidth we learn through cross-validation</w:t>
      </w:r>
      <w:proofErr w:type="gramEnd"/>
      <w:r>
        <w:rPr>
          <w:rFonts w:ascii="Arial" w:hAnsi="Arial" w:cs="Arial"/>
        </w:rPr>
        <w:t xml:space="preserve">. In contrast, SR selects markers and predicts expression using regularized regression and the </w:t>
      </w:r>
      <w:r>
        <w:rPr>
          <w:rFonts w:ascii="Arial" w:hAnsi="Arial" w:cs="Arial"/>
          <w:i/>
        </w:rPr>
        <w:t>L</w:t>
      </w:r>
      <w:r>
        <w:rPr>
          <w:rFonts w:ascii="Arial" w:hAnsi="Arial" w:cs="Arial"/>
          <w:vertAlign w:val="subscript"/>
        </w:rPr>
        <w:t>0</w:t>
      </w:r>
      <w:proofErr w:type="gramStart"/>
      <w:r>
        <w:rPr>
          <w:rFonts w:ascii="Arial" w:hAnsi="Arial" w:cs="Arial"/>
          <w:vertAlign w:val="subscript"/>
        </w:rPr>
        <w:t>,</w:t>
      </w:r>
      <w:r w:rsidRPr="00A167CF">
        <w:rPr>
          <w:rFonts w:ascii="ＭＳ ゴシック" w:eastAsia="ＭＳ ゴシック" w:hAnsi="ＭＳ ゴシック" w:hint="eastAsia"/>
          <w:color w:val="000000"/>
          <w:vertAlign w:val="subscript"/>
        </w:rPr>
        <w:t>∞</w:t>
      </w:r>
      <w:proofErr w:type="gramEnd"/>
      <w:r>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w:t>
      </w:r>
      <w:proofErr w:type="gramStart"/>
      <w:r w:rsidR="008F5014">
        <w:rPr>
          <w:rFonts w:ascii="Arial" w:hAnsi="Arial" w:cs="Arial"/>
        </w:rPr>
        <w:t>log[</w:t>
      </w:r>
      <w:proofErr w:type="gramEnd"/>
      <w:r w:rsidR="008F5014">
        <w:rPr>
          <w:rFonts w:ascii="Arial" w:hAnsi="Arial" w:cs="Arial"/>
        </w:rPr>
        <w:t>TPM + 0.1]).</w:t>
      </w:r>
    </w:p>
    <w:p w14:paraId="1D5C64A7" w14:textId="7A87F8DF" w:rsidR="00E11346" w:rsidRP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(Tradict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Tradict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transcriptome.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be typical of shallow sequencing, where only the most abundant genes are used to make conclusions about the rest of the transcriptome. </w:t>
      </w:r>
    </w:p>
    <w:p w14:paraId="49B4CEEB" w14:textId="105E3104" w:rsidR="00E11346" w:rsidRDefault="00D076E1" w:rsidP="00513C9E">
      <w:pPr>
        <w:spacing w:line="240" w:lineRule="auto"/>
        <w:ind w:firstLine="720"/>
        <w:contextualSpacing/>
        <w:jc w:val="both"/>
        <w:rPr>
          <w:rFonts w:ascii="Arial" w:hAnsi="Arial" w:cs="Arial"/>
        </w:rPr>
      </w:pPr>
      <w:r w:rsidRPr="008D6B70">
        <w:rPr>
          <w:rFonts w:ascii="Arial" w:hAnsi="Arial" w:cs="Arial"/>
        </w:rPr>
        <w:t xml:space="preserve">To assess </w:t>
      </w:r>
      <w:proofErr w:type="spellStart"/>
      <w:r w:rsidRPr="008D6B70">
        <w:rPr>
          <w:rFonts w:ascii="Arial" w:hAnsi="Arial" w:cs="Arial"/>
        </w:rPr>
        <w:t>Tradict’s</w:t>
      </w:r>
      <w:proofErr w:type="spellEnd"/>
      <w:r w:rsidRPr="008D6B70">
        <w:rPr>
          <w:rFonts w:ascii="Arial" w:hAnsi="Arial" w:cs="Arial"/>
        </w:rPr>
        <w:t xml:space="preserve"> prospective predictive performance and how it compares to the baseline models, we first partitioned our transcriptome collection for </w:t>
      </w:r>
      <w:r w:rsidRPr="008D6B70">
        <w:rPr>
          <w:rFonts w:ascii="Arial" w:hAnsi="Arial" w:cs="Arial"/>
          <w:i/>
        </w:rPr>
        <w:t>A. thaliana</w:t>
      </w:r>
      <w:r w:rsidRPr="008D6B70">
        <w:rPr>
          <w:rFonts w:ascii="Arial" w:hAnsi="Arial" w:cs="Arial"/>
        </w:rPr>
        <w:t xml:space="preserve"> into a training set and test set by submission and historical date. </w:t>
      </w:r>
      <w:r>
        <w:rPr>
          <w:rFonts w:ascii="Arial" w:hAnsi="Arial" w:cs="Arial"/>
        </w:rPr>
        <w:t xml:space="preserve">In order to mimic </w:t>
      </w:r>
      <w:proofErr w:type="spellStart"/>
      <w:r>
        <w:rPr>
          <w:rFonts w:ascii="Arial" w:hAnsi="Arial" w:cs="Arial"/>
        </w:rPr>
        <w:t>Tradict’s</w:t>
      </w:r>
      <w:proofErr w:type="spellEnd"/>
      <w:r>
        <w:rPr>
          <w:rFonts w:ascii="Arial" w:hAnsi="Arial" w:cs="Arial"/>
        </w:rPr>
        <w:t xml:space="preserve"> use in practice as closely as possible,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deposited on the SRA, and the test set contained the remaining 10% (</w:t>
      </w:r>
      <w:r w:rsidRPr="00E10778">
        <w:rPr>
          <w:rFonts w:ascii="Arial" w:hAnsi="Arial" w:cs="Arial"/>
        </w:rPr>
        <w:t>17</w:t>
      </w:r>
      <w:r>
        <w:rPr>
          <w:rFonts w:ascii="Arial" w:hAnsi="Arial" w:cs="Arial"/>
        </w:rPr>
        <w:t xml:space="preserve"> submissions comprised of 208 samples). Tradict and the baseline models were each first trained on the training set. Their</w:t>
      </w:r>
      <w:r w:rsidR="00513C9E">
        <w:rPr>
          <w:rFonts w:ascii="Arial" w:hAnsi="Arial" w:cs="Arial"/>
        </w:rPr>
        <w:t xml:space="preserve"> intra-submission</w:t>
      </w:r>
      <w:r>
        <w:rPr>
          <w:rFonts w:ascii="Arial" w:hAnsi="Arial" w:cs="Arial"/>
        </w:rPr>
        <w:t xml:space="preserve"> predictive performance on the test set was then determined by providing only the expression values of selected markers as input, and subsequently examining the</w:t>
      </w:r>
      <w:r w:rsidR="005028B1">
        <w:rPr>
          <w:rFonts w:ascii="Arial" w:hAnsi="Arial" w:cs="Arial"/>
        </w:rPr>
        <w:t xml:space="preserve"> within-submission</w:t>
      </w:r>
      <w:r>
        <w:rPr>
          <w:rFonts w:ascii="Arial" w:hAnsi="Arial" w:cs="Arial"/>
        </w:rPr>
        <w:t xml:space="preserve"> Pearson correlation coefficient (PCC) between the predicted and actual expression of transcriptional programs and the remaining </w:t>
      </w:r>
      <w:r w:rsidR="00FC0CE8">
        <w:rPr>
          <w:rFonts w:ascii="Arial" w:hAnsi="Arial" w:cs="Arial"/>
        </w:rPr>
        <w:t xml:space="preserve">&gt;20,000 </w:t>
      </w:r>
      <w:r>
        <w:rPr>
          <w:rFonts w:ascii="Arial" w:hAnsi="Arial" w:cs="Arial"/>
        </w:rPr>
        <w:t>non-mar</w:t>
      </w:r>
      <w:r w:rsidR="00E11346">
        <w:rPr>
          <w:rFonts w:ascii="Arial" w:hAnsi="Arial" w:cs="Arial"/>
        </w:rPr>
        <w:t>ker genes in the transcriptome.</w:t>
      </w:r>
    </w:p>
    <w:p w14:paraId="4DB8B4E6" w14:textId="3C8EB3EC" w:rsidR="00E11346" w:rsidRDefault="00FC0CE8" w:rsidP="00E11346">
      <w:pPr>
        <w:spacing w:line="240" w:lineRule="auto"/>
        <w:ind w:firstLine="720"/>
        <w:contextualSpacing/>
        <w:jc w:val="both"/>
        <w:rPr>
          <w:rFonts w:ascii="Arial" w:hAnsi="Arial" w:cs="Arial"/>
        </w:rPr>
      </w:pPr>
      <w:r>
        <w:rPr>
          <w:rFonts w:ascii="Arial" w:hAnsi="Arial" w:cs="Arial"/>
        </w:rPr>
        <w:t>Figure S5</w:t>
      </w:r>
      <w:r w:rsidR="00D076E1">
        <w:rPr>
          <w:rFonts w:ascii="Arial" w:hAnsi="Arial" w:cs="Arial"/>
        </w:rPr>
        <w:t>a illustrates the intra-submission performance of each method as a function of the number of markers entered into the model. LWA demonstrates the quickest performance gain, but then saturates after 10 markers. This is likely because a non-linear kernel based approach makes the cleverest use of a few markers, but is plagued by the curse of dimensionality as more markers are added. The parametric methods (Tradict, SR) navigate this dimensionality increase more efficiently and ultimately realize better performance for still reasonable numbers of markers. Tradict outperforms SR and Tradict Shallow-</w:t>
      </w:r>
      <w:proofErr w:type="spellStart"/>
      <w:r w:rsidR="00D076E1">
        <w:rPr>
          <w:rFonts w:ascii="Arial" w:hAnsi="Arial" w:cs="Arial"/>
        </w:rPr>
        <w:t>Seq</w:t>
      </w:r>
      <w:proofErr w:type="spellEnd"/>
      <w:r w:rsidR="00D076E1">
        <w:rPr>
          <w:rFonts w:ascii="Arial" w:hAnsi="Arial" w:cs="Arial"/>
        </w:rPr>
        <w:t xml:space="preserve">, ultimately obtaining a PCC between predicted and actual expression of 0.71 for genes and strikingly 0.96 for transcriptional programs. This suggests </w:t>
      </w:r>
      <w:proofErr w:type="spellStart"/>
      <w:r w:rsidR="00D076E1">
        <w:rPr>
          <w:rFonts w:ascii="Arial" w:hAnsi="Arial" w:cs="Arial"/>
        </w:rPr>
        <w:t>Tradict’s</w:t>
      </w:r>
      <w:proofErr w:type="spellEnd"/>
      <w:r w:rsidR="00D076E1">
        <w:rPr>
          <w:rFonts w:ascii="Arial" w:hAnsi="Arial" w:cs="Arial"/>
        </w:rPr>
        <w:t xml:space="preserve"> probabilistic framework is more reasonable than SR’s and that </w:t>
      </w:r>
      <w:proofErr w:type="spellStart"/>
      <w:r w:rsidR="00D076E1">
        <w:rPr>
          <w:rFonts w:ascii="Arial" w:hAnsi="Arial" w:cs="Arial"/>
        </w:rPr>
        <w:t>Tradict’s</w:t>
      </w:r>
      <w:proofErr w:type="spellEnd"/>
      <w:r w:rsidR="00D076E1">
        <w:rPr>
          <w:rFonts w:ascii="Arial" w:hAnsi="Arial" w:cs="Arial"/>
        </w:rPr>
        <w:t xml:space="preserve"> marker selection is more optimal than picking the most abundant genes. </w:t>
      </w:r>
    </w:p>
    <w:p w14:paraId="20EC1967" w14:textId="71F02E6D" w:rsidR="00D076E1" w:rsidRDefault="00D076E1" w:rsidP="00E11346">
      <w:pPr>
        <w:spacing w:line="240" w:lineRule="auto"/>
        <w:ind w:firstLine="720"/>
        <w:contextualSpacing/>
        <w:jc w:val="both"/>
        <w:rPr>
          <w:rFonts w:ascii="Arial" w:hAnsi="Arial" w:cs="Arial"/>
        </w:rPr>
      </w:pPr>
      <w:r>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Pr>
          <w:rFonts w:ascii="Arial" w:hAnsi="Arial" w:cs="Arial"/>
          <w:i/>
        </w:rPr>
        <w:t>a priori</w:t>
      </w:r>
      <w:r>
        <w:rPr>
          <w:rFonts w:ascii="Arial" w:hAnsi="Arial" w:cs="Arial"/>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predictions in noisy situations.  To test this hypothesis, we considered a version of Tradict, ‘Tradict no </w:t>
      </w:r>
      <w:proofErr w:type="spellStart"/>
      <w:proofErr w:type="gramStart"/>
      <w:r>
        <w:rPr>
          <w:rFonts w:ascii="Arial" w:hAnsi="Arial" w:cs="Arial"/>
        </w:rPr>
        <w:t>nc</w:t>
      </w:r>
      <w:proofErr w:type="spellEnd"/>
      <w:proofErr w:type="gramEnd"/>
      <w:r>
        <w:rPr>
          <w:rFonts w:ascii="Arial" w:hAnsi="Arial" w:cs="Arial"/>
        </w:rPr>
        <w:t xml:space="preserve">’ (noise correction), in which only the diagonal of the internal marker covariance was used, effectively decoupling marker abundances in </w:t>
      </w:r>
      <w:proofErr w:type="spellStart"/>
      <w:r>
        <w:rPr>
          <w:rFonts w:ascii="Arial" w:hAnsi="Arial" w:cs="Arial"/>
        </w:rPr>
        <w:t>Tradict’s</w:t>
      </w:r>
      <w:proofErr w:type="spellEnd"/>
      <w:r>
        <w:rPr>
          <w:rFonts w:ascii="Arial" w:hAnsi="Arial" w:cs="Arial"/>
        </w:rPr>
        <w:t xml:space="preserve"> underlying model. We re-evaluated intra-submission prediction accuracy for all of the methods, excluding Tradict Shallow-</w:t>
      </w:r>
      <w:proofErr w:type="spellStart"/>
      <w:r>
        <w:rPr>
          <w:rFonts w:ascii="Arial" w:hAnsi="Arial" w:cs="Arial"/>
        </w:rPr>
        <w:t>Seq</w:t>
      </w:r>
      <w:proofErr w:type="spellEnd"/>
      <w:r>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Pr="00A20818">
        <w:rPr>
          <w:rFonts w:ascii="Arial" w:hAnsi="Arial" w:cs="Arial"/>
          <w:vertAlign w:val="superscript"/>
        </w:rPr>
        <w:t>th</w:t>
      </w:r>
      <w:r>
        <w:rPr>
          <w:rFonts w:ascii="Arial" w:hAnsi="Arial" w:cs="Arial"/>
        </w:rPr>
        <w:t>, 25</w:t>
      </w:r>
      <w:r w:rsidRPr="00A20818">
        <w:rPr>
          <w:rFonts w:ascii="Arial" w:hAnsi="Arial" w:cs="Arial"/>
          <w:vertAlign w:val="superscript"/>
        </w:rPr>
        <w:t>th</w:t>
      </w:r>
      <w:r>
        <w:rPr>
          <w:rFonts w:ascii="Arial" w:hAnsi="Arial" w:cs="Arial"/>
        </w:rPr>
        <w:t>, 50</w:t>
      </w:r>
      <w:r w:rsidRPr="00A20818">
        <w:rPr>
          <w:rFonts w:ascii="Arial" w:hAnsi="Arial" w:cs="Arial"/>
          <w:vertAlign w:val="superscript"/>
        </w:rPr>
        <w:t>th</w:t>
      </w:r>
      <w:r>
        <w:rPr>
          <w:rFonts w:ascii="Arial" w:hAnsi="Arial" w:cs="Arial"/>
        </w:rPr>
        <w:t>, 75</w:t>
      </w:r>
      <w:r w:rsidRPr="00A20818">
        <w:rPr>
          <w:rFonts w:ascii="Arial" w:hAnsi="Arial" w:cs="Arial"/>
          <w:vertAlign w:val="superscript"/>
        </w:rPr>
        <w:t>th</w:t>
      </w:r>
      <w:r>
        <w:rPr>
          <w:rFonts w:ascii="Arial" w:hAnsi="Arial" w:cs="Arial"/>
        </w:rPr>
        <w:t>, and 90</w:t>
      </w:r>
      <w:r w:rsidRPr="00A20818">
        <w:rPr>
          <w:rFonts w:ascii="Arial" w:hAnsi="Arial" w:cs="Arial"/>
          <w:vertAlign w:val="superscript"/>
        </w:rPr>
        <w:t>th</w:t>
      </w:r>
      <w:r>
        <w:rPr>
          <w:rFonts w:ascii="Arial" w:hAnsi="Arial" w:cs="Arial"/>
        </w:rPr>
        <w:t xml:space="preserve"> percentiles of read depths in the 0.1x scenario were 0.65, 1.1, 2.1, 3.1, and 4.4 million reads, respectively -- all below the recommended depths for </w:t>
      </w:r>
      <w:r>
        <w:rPr>
          <w:rFonts w:ascii="Arial" w:hAnsi="Arial" w:cs="Arial"/>
          <w:i/>
        </w:rPr>
        <w:t>A. thaliana</w:t>
      </w:r>
      <w:r>
        <w:rPr>
          <w:rFonts w:ascii="Arial" w:hAnsi="Arial" w:cs="Arial"/>
        </w:rPr>
        <w:t xml:space="preserve">. 30-40% of the markers had zero abundance in nearly half of the samples. Figure 3b illustrates that though all methods perform worse at 0.1x depth, Tradict is least affected. Importantly, we notice that Tradict no </w:t>
      </w:r>
      <w:proofErr w:type="spellStart"/>
      <w:proofErr w:type="gramStart"/>
      <w:r>
        <w:rPr>
          <w:rFonts w:ascii="Arial" w:hAnsi="Arial" w:cs="Arial"/>
        </w:rPr>
        <w:t>nc</w:t>
      </w:r>
      <w:proofErr w:type="gramEnd"/>
      <w:r>
        <w:rPr>
          <w:rFonts w:ascii="Arial" w:hAnsi="Arial" w:cs="Arial"/>
        </w:rPr>
        <w:t>’s</w:t>
      </w:r>
      <w:proofErr w:type="spellEnd"/>
      <w:r>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77777777" w:rsidR="004363C5" w:rsidRDefault="004363C5" w:rsidP="00E11346">
      <w:pPr>
        <w:spacing w:line="240" w:lineRule="auto"/>
        <w:ind w:firstLine="720"/>
        <w:contextualSpacing/>
        <w:jc w:val="both"/>
        <w:rPr>
          <w:rFonts w:ascii="Arial" w:hAnsi="Arial" w:cs="Arial"/>
        </w:rPr>
      </w:pPr>
    </w:p>
    <w:p w14:paraId="154CE0F1" w14:textId="77777777" w:rsidR="0005132E" w:rsidRDefault="0005132E" w:rsidP="00E11346">
      <w:pPr>
        <w:spacing w:line="240" w:lineRule="auto"/>
        <w:ind w:firstLine="720"/>
        <w:contextualSpacing/>
        <w:jc w:val="both"/>
        <w:rPr>
          <w:rFonts w:ascii="Arial" w:hAnsi="Arial" w:cs="Arial"/>
        </w:rPr>
      </w:pPr>
    </w:p>
    <w:p w14:paraId="60E3756F" w14:textId="77777777" w:rsidR="0005132E" w:rsidRDefault="0005132E" w:rsidP="00E11346">
      <w:pPr>
        <w:spacing w:line="240" w:lineRule="auto"/>
        <w:ind w:firstLine="720"/>
        <w:contextualSpacing/>
        <w:jc w:val="both"/>
        <w:rPr>
          <w:rFonts w:ascii="Arial" w:hAnsi="Arial" w:cs="Arial"/>
        </w:rPr>
      </w:pPr>
    </w:p>
    <w:p w14:paraId="7F4CED7B" w14:textId="77777777" w:rsidR="00EA4A5C" w:rsidRDefault="00EA4A5C" w:rsidP="00E11346">
      <w:pPr>
        <w:spacing w:line="240" w:lineRule="auto"/>
        <w:ind w:firstLine="720"/>
        <w:contextualSpacing/>
        <w:jc w:val="both"/>
        <w:rPr>
          <w:rFonts w:ascii="Arial" w:hAnsi="Arial" w:cs="Arial"/>
        </w:rPr>
      </w:pPr>
    </w:p>
    <w:p w14:paraId="10C199FF" w14:textId="639D829B" w:rsidR="004363C5" w:rsidRPr="0005132E" w:rsidRDefault="0005132E" w:rsidP="0005132E">
      <w:pPr>
        <w:keepNext/>
        <w:spacing w:after="0" w:line="240" w:lineRule="auto"/>
        <w:ind w:firstLine="0"/>
        <w:jc w:val="both"/>
        <w:rPr>
          <w:sz w:val="18"/>
          <w:szCs w:val="18"/>
        </w:rPr>
      </w:pPr>
      <w:r>
        <w:rPr>
          <w:noProof/>
        </w:rPr>
        <w:drawing>
          <wp:inline distT="0" distB="0" distL="0" distR="0" wp14:anchorId="7EF0EA6B" wp14:editId="44023890">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4363C5" w:rsidRPr="0005132E">
        <w:rPr>
          <w:rFonts w:ascii="Arial" w:hAnsi="Arial" w:cs="Arial"/>
          <w:b/>
          <w:sz w:val="18"/>
          <w:szCs w:val="18"/>
        </w:rPr>
        <w:t xml:space="preserve">Figure </w:t>
      </w:r>
      <w:r w:rsidR="00EA4A5C" w:rsidRPr="0005132E">
        <w:rPr>
          <w:rFonts w:ascii="Arial" w:hAnsi="Arial" w:cs="Arial"/>
          <w:b/>
          <w:sz w:val="18"/>
          <w:szCs w:val="18"/>
        </w:rPr>
        <w:t>S6</w:t>
      </w:r>
      <w:r w:rsidR="004363C5" w:rsidRPr="0005132E">
        <w:rPr>
          <w:rFonts w:ascii="Arial" w:hAnsi="Arial" w:cs="Arial"/>
          <w:b/>
          <w:sz w:val="18"/>
          <w:szCs w:val="18"/>
        </w:rPr>
        <w:t>. Tradict accurately predicts temporal transcriptional responses to lipopolysaccharide treatment in a dendritic cell line CRISPR library.</w:t>
      </w:r>
      <w:r w:rsidR="004363C5" w:rsidRPr="0005132E">
        <w:rPr>
          <w:rFonts w:ascii="Arial" w:hAnsi="Arial" w:cs="Arial"/>
          <w:sz w:val="18"/>
          <w:szCs w:val="18"/>
        </w:rPr>
        <w:t xml:space="preserve"> a) Actual vs. predicted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standardized expression of the “response to </w:t>
      </w:r>
      <w:proofErr w:type="spellStart"/>
      <w:r w:rsidR="004363C5" w:rsidRPr="0005132E">
        <w:rPr>
          <w:rFonts w:ascii="Arial" w:hAnsi="Arial" w:cs="Arial"/>
          <w:sz w:val="18"/>
          <w:szCs w:val="18"/>
        </w:rPr>
        <w:t>lipopolysachharide</w:t>
      </w:r>
      <w:proofErr w:type="spellEnd"/>
      <w:r w:rsidR="004363C5" w:rsidRPr="0005132E">
        <w:rPr>
          <w:rFonts w:ascii="Arial" w:hAnsi="Arial" w:cs="Arial"/>
          <w:sz w:val="18"/>
          <w:szCs w:val="18"/>
        </w:rPr>
        <w:t xml:space="preserve">” transcriptional program. Samples are colored by time point. b) Receiver operator characteristic (ROC) curve illustrating </w:t>
      </w:r>
      <w:proofErr w:type="spellStart"/>
      <w:r w:rsidR="004363C5" w:rsidRPr="0005132E">
        <w:rPr>
          <w:rFonts w:ascii="Arial" w:hAnsi="Arial" w:cs="Arial"/>
          <w:sz w:val="18"/>
          <w:szCs w:val="18"/>
        </w:rPr>
        <w:t>Tradict’s</w:t>
      </w:r>
      <w:proofErr w:type="spellEnd"/>
      <w:r w:rsidR="004363C5" w:rsidRPr="0005132E">
        <w:rPr>
          <w:rFonts w:ascii="Arial" w:hAnsi="Arial" w:cs="Arial"/>
          <w:sz w:val="18"/>
          <w:szCs w:val="18"/>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sidR="004363C5" w:rsidRPr="0005132E">
        <w:rPr>
          <w:rFonts w:ascii="Arial" w:hAnsi="Arial" w:cs="Arial"/>
          <w:sz w:val="18"/>
          <w:szCs w:val="18"/>
        </w:rPr>
        <w:t>venn</w:t>
      </w:r>
      <w:proofErr w:type="spellEnd"/>
      <w:r w:rsidR="004363C5" w:rsidRPr="0005132E">
        <w:rPr>
          <w:rFonts w:ascii="Arial" w:hAnsi="Arial" w:cs="Arial"/>
          <w:sz w:val="18"/>
          <w:szCs w:val="18"/>
        </w:rPr>
        <w:t xml:space="preserve"> diagram depict the concordance between the predicted and actual set of DE transcriptional programs when an FDR threshold of 0.01 for predicted DE programs was also used. c) Predicted </w:t>
      </w:r>
      <w:proofErr w:type="spellStart"/>
      <w:r w:rsidR="004363C5" w:rsidRPr="0005132E">
        <w:rPr>
          <w:rFonts w:ascii="Arial" w:hAnsi="Arial" w:cs="Arial"/>
          <w:sz w:val="18"/>
          <w:szCs w:val="18"/>
        </w:rPr>
        <w:t>vs</w:t>
      </w:r>
      <w:proofErr w:type="spellEnd"/>
      <w:r w:rsidR="004363C5" w:rsidRPr="0005132E">
        <w:rPr>
          <w:rFonts w:ascii="Arial" w:hAnsi="Arial" w:cs="Arial"/>
          <w:sz w:val="18"/>
          <w:szCs w:val="18"/>
        </w:rPr>
        <w:t xml:space="preserve"> actual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sidR="004363C5" w:rsidRPr="0005132E">
        <w:rPr>
          <w:rFonts w:ascii="Arial" w:hAnsi="Arial" w:cs="Arial"/>
          <w:sz w:val="18"/>
          <w:szCs w:val="18"/>
        </w:rPr>
        <w:t>Tnf</w:t>
      </w:r>
      <w:proofErr w:type="spellEnd"/>
      <w:r w:rsidR="004363C5" w:rsidRPr="0005132E">
        <w:rPr>
          <w:rFonts w:ascii="Arial" w:hAnsi="Arial" w:cs="Arial"/>
          <w:sz w:val="18"/>
          <w:szCs w:val="18"/>
        </w:rPr>
        <w:t xml:space="preserve"> expression. The expression of programs in each sub-block is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normalized to their expression in the negative control guide lines. The bottom 26 programs are all of those directly related to innate immunity among the 368 programs we’ve defined for </w:t>
      </w:r>
      <w:r w:rsidR="004363C5" w:rsidRPr="0005132E">
        <w:rPr>
          <w:rFonts w:ascii="Arial" w:hAnsi="Arial" w:cs="Arial"/>
          <w:i/>
          <w:sz w:val="18"/>
          <w:szCs w:val="18"/>
        </w:rPr>
        <w:t xml:space="preserve">M. </w:t>
      </w:r>
      <w:proofErr w:type="spellStart"/>
      <w:r w:rsidR="004363C5" w:rsidRPr="0005132E">
        <w:rPr>
          <w:rFonts w:ascii="Arial" w:hAnsi="Arial" w:cs="Arial"/>
          <w:i/>
          <w:sz w:val="18"/>
          <w:szCs w:val="18"/>
        </w:rPr>
        <w:t>musculus</w:t>
      </w:r>
      <w:proofErr w:type="spellEnd"/>
      <w:r w:rsidR="004363C5" w:rsidRPr="0005132E">
        <w:rPr>
          <w:rFonts w:ascii="Arial" w:hAnsi="Arial" w:cs="Arial"/>
          <w:sz w:val="18"/>
          <w:szCs w:val="18"/>
        </w:rPr>
        <w:t xml:space="preserve">. All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10E71C03"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Note 3 - </w:t>
      </w:r>
      <w:r w:rsidR="004363C5" w:rsidRPr="000C76CB">
        <w:rPr>
          <w:rFonts w:ascii="Arial" w:hAnsi="Arial" w:cs="Arial"/>
          <w:b/>
        </w:rPr>
        <w:t xml:space="preserve">Tradict accurately predicts </w:t>
      </w:r>
      <w:r w:rsidR="004363C5">
        <w:rPr>
          <w:rFonts w:ascii="Arial" w:hAnsi="Arial" w:cs="Arial"/>
          <w:b/>
        </w:rPr>
        <w:t xml:space="preserve">temporal dynamics of innate immune signaling in </w:t>
      </w:r>
      <w:proofErr w:type="spellStart"/>
      <w:r w:rsidR="004363C5">
        <w:rPr>
          <w:rFonts w:ascii="Arial" w:hAnsi="Arial" w:cs="Arial"/>
          <w:b/>
        </w:rPr>
        <w:t>CRISPRed</w:t>
      </w:r>
      <w:proofErr w:type="spellEnd"/>
      <w:r w:rsidR="004363C5">
        <w:rPr>
          <w:rFonts w:ascii="Arial" w:hAnsi="Arial" w:cs="Arial"/>
          <w:b/>
        </w:rPr>
        <w:t xml:space="preserve"> in primary immune cells</w:t>
      </w:r>
    </w:p>
    <w:p w14:paraId="515F220A" w14:textId="7B63EF75"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sidR="00FF4968">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"&lt;sup&gt;4&lt;/sup&gt;", "plainTextFormattedCitation" : "4",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BF413D" w:rsidRPr="00BF413D">
        <w:rPr>
          <w:rFonts w:ascii="Arial" w:hAnsi="Arial" w:cs="Arial"/>
          <w:noProof/>
          <w:sz w:val="22"/>
          <w:szCs w:val="22"/>
          <w:vertAlign w:val="superscript"/>
        </w:rPr>
        <w:t>4</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 xml:space="preserve">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w:t>
      </w:r>
      <w:r w:rsidR="00DD2471">
        <w:rPr>
          <w:rFonts w:ascii="Arial" w:hAnsi="Arial" w:cs="Arial"/>
          <w:sz w:val="22"/>
          <w:szCs w:val="22"/>
        </w:rPr>
        <w:t xml:space="preserve">. </w:t>
      </w:r>
      <w:r>
        <w:rPr>
          <w:rFonts w:ascii="Arial" w:hAnsi="Arial" w:cs="Arial"/>
          <w:sz w:val="22"/>
          <w:szCs w:val="22"/>
        </w:rPr>
        <w:t xml:space="preserve">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1731AE23" w14:textId="4C020F08" w:rsidR="00715502" w:rsidRPr="00715502" w:rsidRDefault="00715502" w:rsidP="00715502">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Supplemental Note 4 - Potential improvements to existing targeted RNA sequencing </w:t>
      </w:r>
      <w:r w:rsidR="00AE7E04">
        <w:rPr>
          <w:rFonts w:ascii="Arial" w:hAnsi="Arial" w:cs="Arial"/>
          <w:b/>
          <w:sz w:val="22"/>
          <w:szCs w:val="22"/>
        </w:rPr>
        <w:t>strategies</w:t>
      </w:r>
    </w:p>
    <w:p w14:paraId="6542A6FA" w14:textId="57C8AC9B" w:rsidR="00715502" w:rsidRPr="004A4677" w:rsidRDefault="00252DCD" w:rsidP="007155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take as an example t</w:t>
      </w:r>
      <w:r w:rsidR="00AE7E04">
        <w:rPr>
          <w:rFonts w:ascii="Arial" w:hAnsi="Arial" w:cs="Arial"/>
          <w:sz w:val="22"/>
          <w:szCs w:val="22"/>
        </w:rPr>
        <w:t>he</w:t>
      </w:r>
      <w:r w:rsidR="00715502">
        <w:rPr>
          <w:rFonts w:ascii="Arial" w:hAnsi="Arial" w:cs="Arial"/>
          <w:sz w:val="22"/>
          <w:szCs w:val="22"/>
        </w:rPr>
        <w:t xml:space="preserve"> workflow of </w:t>
      </w:r>
      <w:proofErr w:type="spellStart"/>
      <w:r w:rsidR="00715502" w:rsidRPr="00CB68B5">
        <w:rPr>
          <w:rFonts w:ascii="Arial" w:hAnsi="Arial" w:cs="Arial"/>
          <w:sz w:val="22"/>
          <w:szCs w:val="22"/>
        </w:rPr>
        <w:t>Illumina</w:t>
      </w:r>
      <w:r w:rsidR="00715502" w:rsidRPr="00CB68B5">
        <w:rPr>
          <w:rFonts w:ascii="Arial" w:hAnsi="Arial" w:cs="Arial"/>
          <w:sz w:val="22"/>
          <w:szCs w:val="26"/>
        </w:rPr>
        <w:t>’s</w:t>
      </w:r>
      <w:proofErr w:type="spellEnd"/>
      <w:r w:rsidR="00715502" w:rsidRPr="00CB68B5">
        <w:rPr>
          <w:rFonts w:ascii="Arial" w:hAnsi="Arial" w:cs="Arial"/>
          <w:sz w:val="22"/>
          <w:szCs w:val="26"/>
        </w:rPr>
        <w:t xml:space="preserve"> </w:t>
      </w:r>
      <w:proofErr w:type="spellStart"/>
      <w:r w:rsidR="00715502" w:rsidRPr="00CB68B5">
        <w:rPr>
          <w:rFonts w:ascii="Arial" w:hAnsi="Arial" w:cs="Arial"/>
          <w:sz w:val="22"/>
          <w:szCs w:val="26"/>
        </w:rPr>
        <w:t>TruSeq</w:t>
      </w:r>
      <w:proofErr w:type="spellEnd"/>
      <w:r w:rsidR="00715502" w:rsidRPr="00CB68B5">
        <w:rPr>
          <w:rFonts w:ascii="Arial" w:hAnsi="Arial" w:cs="Arial"/>
          <w:sz w:val="22"/>
          <w:szCs w:val="26"/>
          <w:vertAlign w:val="superscript"/>
        </w:rPr>
        <w:t>®</w:t>
      </w:r>
      <w:r w:rsidR="00715502" w:rsidRPr="00CB68B5">
        <w:rPr>
          <w:rFonts w:ascii="Arial" w:hAnsi="Arial" w:cs="Arial"/>
          <w:sz w:val="22"/>
          <w:szCs w:val="26"/>
        </w:rPr>
        <w:t xml:space="preserve"> Targeted RNA Expression kit</w:t>
      </w:r>
      <w:r>
        <w:rPr>
          <w:rFonts w:ascii="Arial" w:hAnsi="Arial" w:cs="Arial"/>
          <w:sz w:val="22"/>
          <w:szCs w:val="26"/>
        </w:rPr>
        <w:t>, which</w:t>
      </w:r>
      <w:r w:rsidR="00715502" w:rsidRPr="00CB68B5">
        <w:rPr>
          <w:rFonts w:ascii="Arial" w:hAnsi="Arial" w:cs="Arial"/>
          <w:sz w:val="22"/>
          <w:szCs w:val="26"/>
        </w:rPr>
        <w:t xml:space="preserve"> includes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target-probe hybridization, extension-ligation, and PCR with dual indexed primers. By directly probing </w:t>
      </w:r>
      <w:r w:rsidR="00715502">
        <w:rPr>
          <w:rFonts w:ascii="Arial" w:hAnsi="Arial" w:cs="Arial"/>
          <w:sz w:val="22"/>
          <w:szCs w:val="26"/>
        </w:rPr>
        <w:t xml:space="preserve">a </w:t>
      </w:r>
      <w:r w:rsidR="00715502" w:rsidRPr="00CB68B5">
        <w:rPr>
          <w:rFonts w:ascii="Arial" w:hAnsi="Arial" w:cs="Arial"/>
          <w:sz w:val="22"/>
          <w:szCs w:val="26"/>
        </w:rPr>
        <w:t>total RNA</w:t>
      </w:r>
      <w:r w:rsidR="00715502">
        <w:rPr>
          <w:rFonts w:ascii="Arial" w:hAnsi="Arial" w:cs="Arial"/>
          <w:sz w:val="22"/>
          <w:szCs w:val="26"/>
        </w:rPr>
        <w:t xml:space="preserve"> extract with the same probes, but forcing them to hybridize </w:t>
      </w:r>
      <w:r w:rsidR="00715502" w:rsidRPr="00CB68B5">
        <w:rPr>
          <w:rFonts w:ascii="Arial" w:hAnsi="Arial" w:cs="Arial"/>
          <w:sz w:val="22"/>
          <w:szCs w:val="26"/>
        </w:rPr>
        <w:t>adjacent</w:t>
      </w:r>
      <w:r w:rsidR="00715502">
        <w:rPr>
          <w:rFonts w:ascii="Arial" w:hAnsi="Arial" w:cs="Arial"/>
          <w:sz w:val="22"/>
          <w:szCs w:val="26"/>
        </w:rPr>
        <w:t xml:space="preserve">ly </w:t>
      </w:r>
      <w:r w:rsidR="00715502" w:rsidRPr="00CB68B5">
        <w:rPr>
          <w:rFonts w:ascii="Arial" w:hAnsi="Arial" w:cs="Arial"/>
          <w:sz w:val="22"/>
          <w:szCs w:val="26"/>
        </w:rPr>
        <w:t>and using a DNA ligase capable of working on DNA-RNA hybrids</w:t>
      </w:r>
      <w:r w:rsidR="00AE7E04">
        <w:rPr>
          <w:rFonts w:ascii="Arial" w:hAnsi="Arial" w:cs="Arial"/>
          <w:sz w:val="22"/>
          <w:szCs w:val="26"/>
        </w:rPr>
        <w:fldChar w:fldCharType="begin" w:fldLock="1"/>
      </w:r>
      <w:r w:rsidR="00FF4968">
        <w:rPr>
          <w:rFonts w:ascii="Arial" w:hAnsi="Arial" w:cs="Arial"/>
          <w:sz w:val="22"/>
          <w:szCs w:val="26"/>
        </w:rPr>
        <w:instrText>ADDIN CSL_CITATION { "citationItems" : [ { "id" : "ITEM-1", "itemData" : { "URL" : "https://www.neb.com/products/m0375-splintr-ligase", "author" : [ { "dropping-particle" : "", "family" : "New England BioLabs Inc.", "given" : "", "non-dropping-particle" : "", "parse-names" : false, "suffix" : "" } ], "id" : "ITEM-1", "issued" : { "date-parts" : [ [ "0" ] ] }, "title" : "SplintR Ligase", "type" : "webpage" }, "uris" : [ "http://www.mendeley.com/documents/?uuid=1aac9b22-4079-4e07-900d-d2f7fd2aec14" ] }, { "id" : "ITEM-2", "itemData" : { "DOI" : "10.1093/nar/gkt1032", "author" : [ { "dropping-particle" : "", "family" : "Lohman", "given" : "Gregory J S", "non-dropping-particle" : "", "parse-names" : false, "suffix" : "" }, { "dropping-particle" : "", "family" : "Zhang", "given" : "Yinhua", "non-dropping-particle" : "", "parse-names" : false, "suffix" : "" }, { "dropping-particle" : "", "family" : "Zhelkovsky", "given" : "Alexander M", "non-dropping-particle" : "", "parse-names" : false, "suffix" : "" }, { "dropping-particle" : "", "family" : "Cantor", "given" : "Eric J", "non-dropping-particle" : "", "parse-names" : false, "suffix" : "" }, { "dropping-particle" : "", "family" : "Jr", "given" : "Thomas C Evans", "non-dropping-particle" : "", "parse-names" : false, "suffix" : "" } ], "container-title" : "Nucleic acids research", "id" : "ITEM-2", "issue" : "36", "issued" : { "date-parts" : [ [ "2013" ] ] }, "page" : "1-14", "title" : "Efficient DNA ligation in DNA \u2013 RNA hybrid helices by Chlorella virus DNA ligase", "type" : "article-journal" }, "uris" : [ "http://www.mendeley.com/documents/?uuid=e776a9bb-2c5c-4cd3-b351-e64b3f9a487c" ] } ], "mendeley" : { "formattedCitation" : "&lt;sup&gt;5,6&lt;/sup&gt;", "plainTextFormattedCitation" : "5,6", "previouslyFormattedCitation" : "&lt;sup&gt;5,6&lt;/sup&gt;" }, "properties" : { "noteIndex" : 0 }, "schema" : "https://github.com/citation-style-language/schema/raw/master/csl-citation.json" }</w:instrText>
      </w:r>
      <w:r w:rsidR="00AE7E04">
        <w:rPr>
          <w:rFonts w:ascii="Arial" w:hAnsi="Arial" w:cs="Arial"/>
          <w:sz w:val="22"/>
          <w:szCs w:val="26"/>
        </w:rPr>
        <w:fldChar w:fldCharType="separate"/>
      </w:r>
      <w:r w:rsidR="00BF413D" w:rsidRPr="00BF413D">
        <w:rPr>
          <w:rFonts w:ascii="Arial" w:hAnsi="Arial" w:cs="Arial"/>
          <w:noProof/>
          <w:sz w:val="22"/>
          <w:szCs w:val="26"/>
          <w:vertAlign w:val="superscript"/>
        </w:rPr>
        <w:t>5,6</w:t>
      </w:r>
      <w:r w:rsidR="00AE7E04">
        <w:rPr>
          <w:rFonts w:ascii="Arial" w:hAnsi="Arial" w:cs="Arial"/>
          <w:sz w:val="22"/>
          <w:szCs w:val="26"/>
        </w:rPr>
        <w:fldChar w:fldCharType="end"/>
      </w:r>
      <w:r w:rsidR="00715502" w:rsidRPr="00CB68B5">
        <w:rPr>
          <w:rFonts w:ascii="Arial" w:hAnsi="Arial" w:cs="Arial"/>
          <w:sz w:val="22"/>
          <w:szCs w:val="26"/>
        </w:rPr>
        <w:t xml:space="preserve">, it may be possible to skip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and extension, and proceed directly to ligation and PCR. One could also design more (custom) dual index primers, thereby </w:t>
      </w:r>
      <w:proofErr w:type="spellStart"/>
      <w:r w:rsidR="00715502" w:rsidRPr="00CB68B5">
        <w:rPr>
          <w:rFonts w:ascii="Arial" w:hAnsi="Arial" w:cs="Arial"/>
          <w:sz w:val="22"/>
          <w:szCs w:val="26"/>
        </w:rPr>
        <w:t>quadratically</w:t>
      </w:r>
      <w:proofErr w:type="spellEnd"/>
      <w:r w:rsidR="00715502" w:rsidRPr="00CB68B5">
        <w:rPr>
          <w:rFonts w:ascii="Arial" w:hAnsi="Arial" w:cs="Arial"/>
          <w:sz w:val="22"/>
          <w:szCs w:val="26"/>
        </w:rPr>
        <w:t xml:space="preserve"> increasing the number of </w:t>
      </w:r>
      <w:proofErr w:type="spellStart"/>
      <w:r w:rsidR="00715502" w:rsidRPr="00CB68B5">
        <w:rPr>
          <w:rFonts w:ascii="Arial" w:hAnsi="Arial" w:cs="Arial"/>
          <w:sz w:val="22"/>
          <w:szCs w:val="26"/>
        </w:rPr>
        <w:t>multiplexable</w:t>
      </w:r>
      <w:proofErr w:type="spellEnd"/>
      <w:r w:rsidR="00715502" w:rsidRPr="00CB68B5">
        <w:rPr>
          <w:rFonts w:ascii="Arial" w:hAnsi="Arial" w:cs="Arial"/>
          <w:sz w:val="22"/>
          <w:szCs w:val="26"/>
        </w:rPr>
        <w:t xml:space="preserve"> samples. Given that ~10,000 reads should be sufficient for measuring </w:t>
      </w:r>
      <w:proofErr w:type="spellStart"/>
      <w:r w:rsidR="00715502" w:rsidRPr="00CB68B5">
        <w:rPr>
          <w:rFonts w:ascii="Arial" w:hAnsi="Arial" w:cs="Arial"/>
          <w:sz w:val="22"/>
          <w:szCs w:val="26"/>
        </w:rPr>
        <w:t>Tradict’s</w:t>
      </w:r>
      <w:proofErr w:type="spellEnd"/>
      <w:r w:rsidR="00715502" w:rsidRPr="00CB68B5">
        <w:rPr>
          <w:rFonts w:ascii="Arial" w:hAnsi="Arial" w:cs="Arial"/>
          <w:sz w:val="22"/>
          <w:szCs w:val="26"/>
        </w:rPr>
        <w:t xml:space="preserve"> suggested marker panel, one could multiplex ~1,500 samples on a </w:t>
      </w:r>
      <w:proofErr w:type="spellStart"/>
      <w:r w:rsidR="00715502" w:rsidRPr="00CB68B5">
        <w:rPr>
          <w:rFonts w:ascii="Arial" w:hAnsi="Arial" w:cs="Arial"/>
          <w:sz w:val="22"/>
          <w:szCs w:val="26"/>
        </w:rPr>
        <w:t>MiSeq</w:t>
      </w:r>
      <w:proofErr w:type="spellEnd"/>
      <w:r w:rsidR="00715502" w:rsidRPr="00CB68B5">
        <w:rPr>
          <w:rFonts w:ascii="Arial" w:hAnsi="Arial" w:cs="Arial"/>
          <w:sz w:val="22"/>
          <w:szCs w:val="26"/>
        </w:rPr>
        <w:t xml:space="preserve"> (2x39 dual index primers required), or 20,000-30,000 samples on a </w:t>
      </w:r>
      <w:proofErr w:type="spellStart"/>
      <w:r w:rsidR="00715502" w:rsidRPr="00CB68B5">
        <w:rPr>
          <w:rFonts w:ascii="Arial" w:hAnsi="Arial" w:cs="Arial"/>
          <w:sz w:val="22"/>
          <w:szCs w:val="26"/>
        </w:rPr>
        <w:t>HiSeq</w:t>
      </w:r>
      <w:proofErr w:type="spellEnd"/>
      <w:r w:rsidR="00715502" w:rsidRPr="00CB68B5">
        <w:rPr>
          <w:rFonts w:ascii="Arial" w:hAnsi="Arial" w:cs="Arial"/>
          <w:sz w:val="22"/>
          <w:szCs w:val="26"/>
        </w:rPr>
        <w:t xml:space="preserve"> 2500 (2x174 dual index primers required).</w:t>
      </w:r>
      <w:r w:rsidR="00715502">
        <w:rPr>
          <w:rFonts w:ascii="Arial" w:hAnsi="Arial" w:cs="Arial"/>
          <w:sz w:val="22"/>
          <w:szCs w:val="26"/>
        </w:rPr>
        <w:t xml:space="preserve"> Coupled with even more reagent-focused improvements (e.g. custom DNA bead purification</w:t>
      </w:r>
      <w:r w:rsidR="00FF4968">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"10.1101/gr.128124.111", "ISSN" : "1088-9051", "abstract" : "Improvements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 ", "author" : [ { "dropping-particle" : "", "family" : "Rohland", "given" : "Nadin", "non-dropping-particle" : "", "parse-names" : false, "suffix" : "" }, { "dropping-particle" : "", "family" : "Reich", "given" : "David", "non-dropping-particle" : "", "parse-names" : false, "suffix" : "" } ], "container-title" : "Genome Research", "id" : "ITEM-1", "issue" : "5", "issued" : { "date-parts" : [ [ "2012", "5", "25" ] ] }, "page" : "939-946", "publisher" : "Cold Spring Harbor Laboratory Press", "title" : "Cost-effective, high-throughput DNA sequencing libraries for multiplexed target capture", "type" : "article-journal", "volume" : "22" }, "uris" : [ "http://www.mendeley.com/documents/?uuid=4e8fde1f-86b9-4bd5-9993-e0cb73458a42" ] } ], "mendeley" : { "formattedCitation" : "&lt;sup&gt;7&lt;/sup&gt;", "plainTextFormattedCitation" : "7", "previouslyFormattedCitation" : "&lt;sup&gt;7&lt;/sup&gt;" }, "properties" : { "noteIndex" : 0 }, "schema" : "https://github.com/citation-style-language/schema/raw/master/csl-citation.json" }</w:instrText>
      </w:r>
      <w:r w:rsidR="00FF4968">
        <w:rPr>
          <w:rFonts w:ascii="Arial" w:hAnsi="Arial" w:cs="Arial"/>
          <w:sz w:val="22"/>
          <w:szCs w:val="26"/>
        </w:rPr>
        <w:fldChar w:fldCharType="separate"/>
      </w:r>
      <w:r w:rsidR="00FF4968" w:rsidRPr="00FF4968">
        <w:rPr>
          <w:rFonts w:ascii="Arial" w:hAnsi="Arial" w:cs="Arial"/>
          <w:noProof/>
          <w:sz w:val="22"/>
          <w:szCs w:val="26"/>
          <w:vertAlign w:val="superscript"/>
        </w:rPr>
        <w:t>7</w:t>
      </w:r>
      <w:r w:rsidR="00FF4968">
        <w:rPr>
          <w:rFonts w:ascii="Arial" w:hAnsi="Arial" w:cs="Arial"/>
          <w:sz w:val="22"/>
          <w:szCs w:val="26"/>
        </w:rPr>
        <w:fldChar w:fldCharType="end"/>
      </w:r>
      <w:r w:rsidR="00715502">
        <w:rPr>
          <w:rFonts w:ascii="Arial" w:hAnsi="Arial" w:cs="Arial"/>
          <w:sz w:val="22"/>
          <w:szCs w:val="26"/>
        </w:rPr>
        <w:t xml:space="preserve">, custom-ordered enzymes), for example those presented in Yang </w:t>
      </w:r>
      <w:r w:rsidR="00715502">
        <w:rPr>
          <w:rFonts w:ascii="Arial" w:hAnsi="Arial" w:cs="Arial"/>
          <w:i/>
          <w:sz w:val="22"/>
          <w:szCs w:val="26"/>
        </w:rPr>
        <w:t xml:space="preserve">et al. </w:t>
      </w:r>
      <w:r w:rsidR="00715502">
        <w:rPr>
          <w:rFonts w:ascii="Arial" w:hAnsi="Arial" w:cs="Arial"/>
          <w:sz w:val="22"/>
          <w:szCs w:val="26"/>
        </w:rPr>
        <w:t>(2016)</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"&lt;sup&gt;8&lt;/sup&gt;", "plainTextFormattedCitation" : "8", "previouslyFormattedCitation" : "&lt;sup&gt;8&lt;/sup&gt;"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8</w:t>
      </w:r>
      <w:r w:rsidR="00715502">
        <w:rPr>
          <w:rFonts w:ascii="Arial" w:hAnsi="Arial" w:cs="Arial"/>
          <w:sz w:val="22"/>
          <w:szCs w:val="26"/>
        </w:rPr>
        <w:fldChar w:fldCharType="end"/>
      </w:r>
      <w:r w:rsidR="00715502">
        <w:rPr>
          <w:rFonts w:ascii="Arial" w:hAnsi="Arial" w:cs="Arial"/>
          <w:sz w:val="22"/>
          <w:szCs w:val="26"/>
        </w:rPr>
        <w:t xml:space="preserve"> and Lundberg </w:t>
      </w:r>
      <w:r w:rsidR="00715502">
        <w:rPr>
          <w:rFonts w:ascii="Arial" w:hAnsi="Arial" w:cs="Arial"/>
          <w:i/>
          <w:sz w:val="22"/>
          <w:szCs w:val="26"/>
        </w:rPr>
        <w:t xml:space="preserve">et al. </w:t>
      </w:r>
      <w:r w:rsidR="00715502">
        <w:rPr>
          <w:rFonts w:ascii="Arial" w:hAnsi="Arial" w:cs="Arial"/>
          <w:sz w:val="22"/>
          <w:szCs w:val="26"/>
        </w:rPr>
        <w:t>(2013)</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"10.1038/nmeth.2634", "ISSN" : "1548-7105", "PMID" : "23995388", "abstract" : "We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 "author" : [ { "dropping-particle" : "", "family" : "Lundberg", "given" : "Derek S", "non-dropping-particle" : "", "parse-names" : false, "suffix" : "" }, { "dropping-particle" : "", "family" : "Yourstone", "given" : "Scott", "non-dropping-particle" : "", "parse-names" : false, "suffix" : "" }, { "dropping-particle" : "", "family" : "Mieczkowski", "given" : "Piotr", "non-dropping-particle" : "", "parse-names" : false, "suffix" : "" }, { "dropping-particle" : "", "family" : "Jones", "given" : "Corbin D", "non-dropping-particle" : "", "parse-names" : false, "suffix" : "" }, { "dropping-particle" : "", "family" : "Dangl", "given" : "Jeffery L", "non-dropping-particle" : "", "parse-names" : false, "suffix" : "" } ], "container-title" : "Nature methods", "id" : "ITEM-1", "issue" : "10", "issued" : { "date-parts" : [ [ "2013", "10" ] ] }, "page" : "999-1002", "title" : "Practical innovations for high-throughput amplicon sequencing.", "type" : "article-journal", "volume" : "10" }, "uris" : [ "http://www.mendeley.com/documents/?uuid=59f56ebf-77aa-4d23-aa72-68682e2c5026" ] } ], "mendeley" : { "formattedCitation" : "&lt;sup&gt;9&lt;/sup&gt;", "plainTextFormattedCitation" : "9", "previouslyFormattedCitation" : "&lt;sup&gt;9&lt;/sup&gt;"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9</w:t>
      </w:r>
      <w:r w:rsidR="00715502">
        <w:rPr>
          <w:rFonts w:ascii="Arial" w:hAnsi="Arial" w:cs="Arial"/>
          <w:sz w:val="22"/>
          <w:szCs w:val="26"/>
        </w:rPr>
        <w:fldChar w:fldCharType="end"/>
      </w:r>
      <w:r w:rsidR="00715502">
        <w:rPr>
          <w:rFonts w:ascii="Arial" w:hAnsi="Arial" w:cs="Arial"/>
          <w:sz w:val="22"/>
          <w:szCs w:val="26"/>
        </w:rPr>
        <w:t xml:space="preserve">, the above innovations and Tradict could bring the cost of obtaining actionable transrciptome-wide information close to $1 per sample. </w:t>
      </w:r>
    </w:p>
    <w:p w14:paraId="40DF264F" w14:textId="77777777" w:rsidR="00715502" w:rsidRDefault="00715502"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EDA1897" w14:textId="77777777" w:rsidR="00EA4A5C" w:rsidRDefault="00EA4A5C" w:rsidP="004D3697">
      <w:pPr>
        <w:spacing w:line="240" w:lineRule="auto"/>
        <w:ind w:firstLine="0"/>
        <w:contextualSpacing/>
        <w:rPr>
          <w:rFonts w:ascii="Arial" w:hAnsi="Arial" w:cs="Arial"/>
        </w:rPr>
      </w:pPr>
    </w:p>
    <w:p w14:paraId="336F0A01" w14:textId="77777777" w:rsidR="00EA4A5C" w:rsidRDefault="00EA4A5C" w:rsidP="004D3697">
      <w:pPr>
        <w:spacing w:line="240" w:lineRule="auto"/>
        <w:ind w:firstLine="0"/>
        <w:contextualSpacing/>
        <w:rPr>
          <w:rFonts w:ascii="Arial" w:hAnsi="Arial" w:cs="Arial"/>
        </w:rPr>
      </w:pPr>
    </w:p>
    <w:p w14:paraId="108CD0B5" w14:textId="77777777" w:rsidR="00DD2471" w:rsidRDefault="00DD2471" w:rsidP="004D3697">
      <w:pPr>
        <w:spacing w:line="240" w:lineRule="auto"/>
        <w:ind w:firstLine="0"/>
        <w:contextualSpacing/>
        <w:rPr>
          <w:rFonts w:ascii="Arial" w:hAnsi="Arial" w:cs="Arial"/>
          <w:b/>
          <w:sz w:val="24"/>
        </w:rPr>
      </w:pPr>
    </w:p>
    <w:p w14:paraId="32888BB9" w14:textId="77777777" w:rsidR="00DD2471" w:rsidRDefault="00DD2471" w:rsidP="004D3697">
      <w:pPr>
        <w:spacing w:line="240" w:lineRule="auto"/>
        <w:ind w:firstLine="0"/>
        <w:contextualSpacing/>
        <w:rPr>
          <w:rFonts w:ascii="Arial" w:hAnsi="Arial" w:cs="Arial"/>
          <w:b/>
          <w:sz w:val="24"/>
        </w:rPr>
      </w:pPr>
    </w:p>
    <w:p w14:paraId="6629A239" w14:textId="77777777" w:rsidR="00DD2471" w:rsidRDefault="00DD2471" w:rsidP="004D3697">
      <w:pPr>
        <w:spacing w:line="240" w:lineRule="auto"/>
        <w:ind w:firstLine="0"/>
        <w:contextualSpacing/>
        <w:rPr>
          <w:rFonts w:ascii="Arial" w:hAnsi="Arial" w:cs="Arial"/>
          <w:b/>
          <w:sz w:val="24"/>
        </w:rPr>
      </w:pPr>
    </w:p>
    <w:p w14:paraId="6F86E2C3" w14:textId="77777777" w:rsidR="00DD2471" w:rsidRDefault="00DD2471" w:rsidP="004D3697">
      <w:pPr>
        <w:spacing w:line="240" w:lineRule="auto"/>
        <w:ind w:firstLine="0"/>
        <w:contextualSpacing/>
        <w:rPr>
          <w:rFonts w:ascii="Arial" w:hAnsi="Arial" w:cs="Arial"/>
          <w:b/>
          <w:sz w:val="24"/>
        </w:rPr>
      </w:pPr>
    </w:p>
    <w:p w14:paraId="4B273FF6" w14:textId="77777777" w:rsidR="00DD2471" w:rsidRDefault="00DD2471" w:rsidP="004D3697">
      <w:pPr>
        <w:spacing w:line="240" w:lineRule="auto"/>
        <w:ind w:firstLine="0"/>
        <w:contextualSpacing/>
        <w:rPr>
          <w:rFonts w:ascii="Arial" w:hAnsi="Arial" w:cs="Arial"/>
          <w:b/>
          <w:sz w:val="24"/>
        </w:rPr>
      </w:pPr>
    </w:p>
    <w:p w14:paraId="2AE5EC98" w14:textId="77777777" w:rsidR="00DD2471" w:rsidRDefault="00DD2471" w:rsidP="004D3697">
      <w:pPr>
        <w:spacing w:line="240" w:lineRule="auto"/>
        <w:ind w:firstLine="0"/>
        <w:contextualSpacing/>
        <w:rPr>
          <w:rFonts w:ascii="Arial" w:hAnsi="Arial" w:cs="Arial"/>
          <w:b/>
          <w:sz w:val="24"/>
        </w:rPr>
      </w:pPr>
    </w:p>
    <w:p w14:paraId="3CB04F4B" w14:textId="77777777" w:rsidR="00DD2471" w:rsidRDefault="00DD2471"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1C31E4" w:rsidP="0082039F">
      <w:pPr>
        <w:spacing w:line="240" w:lineRule="auto"/>
        <w:ind w:firstLine="0"/>
        <w:contextualSpacing/>
        <w:jc w:val="both"/>
        <w:rPr>
          <w:rFonts w:ascii="Arial" w:hAnsi="Arial" w:cs="Arial"/>
        </w:rPr>
      </w:pPr>
      <w:hyperlink r:id="rId13"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FE4187">
        <w:rPr>
          <w:rFonts w:ascii="Arial" w:hAnsi="Arial" w:cs="Arial"/>
          <w:noProof/>
        </w:rPr>
        <w:t>2</w:t>
      </w:r>
      <w:r w:rsidRPr="0082039F">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2002E72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663F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"&lt;sup&gt;10&lt;/sup&gt;", "plainTextFormattedCitation" : "10",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FF4968" w:rsidRPr="00FF4968">
        <w:rPr>
          <w:rFonts w:ascii="Arial" w:hAnsi="Arial" w:cs="Arial"/>
          <w:noProof/>
          <w:sz w:val="22"/>
          <w:vertAlign w:val="superscript"/>
        </w:rPr>
        <w:t>10</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663F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"&lt;sup&gt;11&lt;/sup&gt;", "plainTextFormattedCitation" : "11",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FF4968" w:rsidRPr="00FF4968">
        <w:rPr>
          <w:rFonts w:ascii="Arial" w:hAnsi="Arial" w:cs="Arial"/>
          <w:noProof/>
          <w:sz w:val="22"/>
          <w:vertAlign w:val="superscript"/>
        </w:rPr>
        <w:t>11</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transcriptome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transcriptome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77777777"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Encoding, and 2) Decoding. Encoding is the process of learning, from training data, the marker panel and its predictive relationship to the expression of transcriptional programs and to the remaining genes in the transcriptome. In essence, during encoding we begin with full transcriptome data and collapse its information into a subset of marker genes. Decoding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17A721A2" w:rsidR="00AB7210" w:rsidRPr="00633801" w:rsidRDefault="007C539D" w:rsidP="00030A48">
      <w:pPr>
        <w:pStyle w:val="Style1"/>
        <w:spacing w:line="240" w:lineRule="auto"/>
        <w:contextualSpacing/>
        <w:rPr>
          <w:sz w:val="22"/>
        </w:rPr>
      </w:pPr>
      <w:r w:rsidRPr="00633801">
        <w:rPr>
          <w:sz w:val="22"/>
        </w:rPr>
        <w:t>Our encoding algorithm can be broken down into several steps:</w:t>
      </w:r>
      <w:r w:rsidR="004C5E12" w:rsidRPr="00633801">
        <w:rPr>
          <w:sz w:val="22"/>
        </w:rPr>
        <w:t xml:space="preserve"> 1) Computing the latent logarithm of the training transcriptome collection, 2</w:t>
      </w:r>
      <w:r w:rsidR="00AB7210" w:rsidRPr="00633801">
        <w:rPr>
          <w:sz w:val="22"/>
        </w:rPr>
        <w:t>) Defi</w:t>
      </w:r>
      <w:r w:rsidR="004C5E12" w:rsidRPr="00633801">
        <w:rPr>
          <w:sz w:val="22"/>
        </w:rPr>
        <w:t>ning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0AFF734E"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663F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"&lt;sup&gt;12&lt;/sup&gt;", "plainTextFormattedCitation" : "12", "previouslyFormattedCitation" : "&lt;sup&gt;12&lt;/sup&gt;" }, "properties" : { "noteIndex" : 0 }, "schema" : "https://github.com/citation-style-language/schema/raw/master/csl-citation.json" }</w:instrText>
      </w:r>
      <w:r w:rsidR="000C6A13">
        <w:rPr>
          <w:sz w:val="22"/>
        </w:rPr>
        <w:fldChar w:fldCharType="separate"/>
      </w:r>
      <w:r w:rsidR="00FF4968" w:rsidRPr="00FF4968">
        <w:rPr>
          <w:noProof/>
          <w:sz w:val="22"/>
          <w:vertAlign w:val="superscript"/>
        </w:rPr>
        <w:t>12</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49498843"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663F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"&lt;sup&gt;13,14&lt;/sup&gt;", "plainTextFormattedCitation" : "13,14", "previouslyFormattedCitation" : "&lt;sup&gt;13,14&lt;/sup&gt;" }, "properties" : { "noteIndex" : 0 }, "schema" : "https://github.com/citation-style-language/schema/raw/master/csl-citation.json" }</w:instrText>
      </w:r>
      <w:r w:rsidR="00F64BED">
        <w:rPr>
          <w:sz w:val="22"/>
        </w:rPr>
        <w:fldChar w:fldCharType="separate"/>
      </w:r>
      <w:r w:rsidR="00FF4968" w:rsidRPr="00FF4968">
        <w:rPr>
          <w:noProof/>
          <w:sz w:val="22"/>
          <w:vertAlign w:val="superscript"/>
        </w:rPr>
        <w:t>13,14</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17EFB822"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6764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"&lt;sup&gt;15,16&lt;/sup&gt;", "plainTextFormattedCitation" : "15,16"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15,16</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16"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7777777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69D62E15"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6764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"&lt;sup&gt;17,18&lt;/sup&gt;", "plainTextFormattedCitation" : "17,18", "previouslyFormattedCitation" : "&lt;sup&gt;16,17&lt;/sup&gt;" }, "properties" : { "noteIndex" : 0 }, "schema" : "https://github.com/citation-style-language/schema/raw/master/csl-citation.json" }</w:instrText>
      </w:r>
      <w:r w:rsidR="00432937">
        <w:rPr>
          <w:sz w:val="22"/>
        </w:rPr>
        <w:fldChar w:fldCharType="separate"/>
      </w:r>
      <w:r w:rsidR="0046764B" w:rsidRPr="0046764B">
        <w:rPr>
          <w:noProof/>
          <w:sz w:val="22"/>
          <w:vertAlign w:val="superscript"/>
        </w:rPr>
        <w:t>17,18</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6764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"&lt;sup&gt;19,20&lt;/sup&gt;", "plainTextFormattedCitation" : "19,20", "previouslyFormattedCitation" : "&lt;sup&gt;18,19&lt;/sup&gt;"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19,20</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4663FB">
        <w:rPr>
          <w:sz w:val="22"/>
        </w:rPr>
        <w:t>Davies-</w:t>
      </w:r>
      <w:proofErr w:type="spellStart"/>
      <w:r w:rsidR="004663FB">
        <w:rPr>
          <w:sz w:val="22"/>
        </w:rPr>
        <w:t>Bouldin</w:t>
      </w:r>
      <w:proofErr w:type="spellEnd"/>
      <w:r w:rsidR="004663FB">
        <w:rPr>
          <w:sz w:val="22"/>
        </w:rPr>
        <w:t xml:space="preserve"> criterion</w:t>
      </w:r>
      <w:r w:rsidR="004663FB">
        <w:rPr>
          <w:sz w:val="22"/>
        </w:rPr>
        <w:fldChar w:fldCharType="begin" w:fldLock="1"/>
      </w:r>
      <w:r w:rsidR="0046764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"&lt;sup&gt;21&lt;/sup&gt;", "plainTextFormattedCitation" : "21", "previouslyFormattedCitation" : "&lt;sup&gt;20&lt;/sup&gt;"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21</w:t>
      </w:r>
      <w:r w:rsidR="004663FB">
        <w:rPr>
          <w:sz w:val="22"/>
        </w:rPr>
        <w:fldChar w:fldCharType="end"/>
      </w:r>
      <w:r w:rsidR="00D7226D" w:rsidRPr="00452E2A">
        <w:rPr>
          <w:sz w:val="22"/>
        </w:rPr>
        <w:t xml:space="preserve">. </w:t>
      </w:r>
      <w:r w:rsidR="0066703A" w:rsidRPr="00452E2A">
        <w:rPr>
          <w:sz w:val="22"/>
        </w:rPr>
        <w:t>The decomp</w:t>
      </w:r>
      <w:r w:rsidR="004663FB">
        <w:rPr>
          <w:sz w:val="22"/>
        </w:rPr>
        <w:t xml:space="preserve">osition is greedy, in which </w:t>
      </w:r>
      <w:proofErr w:type="spellStart"/>
      <w:r w:rsidR="004663FB">
        <w:rPr>
          <w:sz w:val="22"/>
        </w:rPr>
        <w:t>for</w:t>
      </w:r>
      <w:r w:rsidR="0066703A" w:rsidRPr="00452E2A">
        <w:rPr>
          <w:sz w:val="22"/>
        </w:rPr>
        <w:t>each</w:t>
      </w:r>
      <w:proofErr w:type="spellEnd"/>
      <w:r w:rsidR="0066703A" w:rsidRPr="00452E2A">
        <w:rPr>
          <w:sz w:val="22"/>
        </w:rPr>
        <w:t xml:space="preserve"> iteration </w:t>
      </w:r>
      <w:r w:rsidR="00C529C6">
        <w:rPr>
          <w:sz w:val="22"/>
        </w:rPr>
        <w:t>the algorithm</w:t>
      </w:r>
      <w:r w:rsidR="0066703A" w:rsidRPr="00452E2A">
        <w:rPr>
          <w:sz w:val="22"/>
        </w:rPr>
        <w:t xml:space="preserve"> first </w:t>
      </w:r>
      <w:proofErr w:type="gramStart"/>
      <w:r w:rsidR="0066703A" w:rsidRPr="00452E2A">
        <w:rPr>
          <w:sz w:val="22"/>
        </w:rPr>
        <w:t>find</w:t>
      </w:r>
      <w:proofErr w:type="gramEnd"/>
      <w:r w:rsidR="0066703A" w:rsidRPr="00452E2A">
        <w:rPr>
          <w:sz w:val="22"/>
        </w:rPr>
        <w:t xml:space="preserve">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6D28FAB9"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6764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"&lt;sup&gt;22\u201326&lt;/sup&gt;", "plainTextFormattedCitation" : "22\u201326", "previouslyFormattedCitation" : "&lt;sup&gt;21\u201325&lt;/sup&gt;"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22–26</w:t>
      </w:r>
      <w:r w:rsidR="0046764B">
        <w:rPr>
          <w:sz w:val="22"/>
        </w:rPr>
        <w:fldChar w:fldCharType="end"/>
      </w:r>
      <w:r w:rsidRPr="00D93122">
        <w:rPr>
          <w:sz w:val="22"/>
        </w:rPr>
        <w:t xml:space="preserve">. </w:t>
      </w:r>
      <w:r w:rsidR="00D2743C" w:rsidRPr="00D93122">
        <w:rPr>
          <w:sz w:val="22"/>
        </w:rPr>
        <w:t>Here it is assumed the TPM expression of each gene in a given sample is a noisy, 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32B33003"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decoding,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77777777"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705B2C">
        <w:rPr>
          <w:sz w:val="22"/>
        </w:rPr>
        <w:t xml:space="preserve"> We that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39F0FBE9" w:rsidR="00FB3C62" w:rsidRDefault="00BC52AE" w:rsidP="00010511">
      <w:pPr>
        <w:pStyle w:val="Style1"/>
        <w:spacing w:line="240" w:lineRule="auto"/>
        <w:contextualSpacing/>
        <w:rPr>
          <w:sz w:val="22"/>
        </w:rPr>
      </w:pPr>
      <w:r>
        <w:rPr>
          <w:sz w:val="22"/>
        </w:rPr>
        <w:t xml:space="preserve">To perform decoding,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6F6516">
        <w:rPr>
          <w:sz w:val="22"/>
        </w:rPr>
        <w:t xml:space="preserve">To do this, we first learn the </w:t>
      </w:r>
      <w:r w:rsidR="00FA6E69">
        <w:rPr>
          <w:sz w:val="22"/>
        </w:rPr>
        <w:t>latent abundances of our markers using the measured TPMs, and the 1 x markers mean vector and markers x markers covariance matrix previously learned from the training data.</w:t>
      </w:r>
      <w:r w:rsidR="00C80097">
        <w:rPr>
          <w:sz w:val="22"/>
        </w:rPr>
        <w:t xml:space="preserve"> This is done using maximum </w:t>
      </w:r>
      <w:r w:rsidR="00C80097">
        <w:rPr>
          <w:i/>
          <w:sz w:val="22"/>
        </w:rPr>
        <w:t>a posteriori</w:t>
      </w:r>
      <w:r w:rsidR="00C80097">
        <w:rPr>
          <w:sz w:val="22"/>
        </w:rPr>
        <w:t xml:space="preserve"> estimation. Using these latent abundances and the previously estimated mean vectors and cross-covariance matrices, we can use standard Gaussian conditioning to estimate the log-latent expression of the transcriptional programs and the remaining genes in the transcriptome.</w:t>
      </w:r>
      <w:r w:rsidR="00207F07">
        <w:rPr>
          <w:sz w:val="22"/>
        </w:rPr>
        <w:t xml:space="preserve"> </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73B4CD01" w14:textId="14095774" w:rsidR="0046764B" w:rsidRPr="0046764B" w:rsidRDefault="004E46E5" w:rsidP="001C31E4">
      <w:pPr>
        <w:pStyle w:val="NormalWeb"/>
        <w:spacing w:before="0" w:beforeAutospacing="0" w:after="0" w:afterAutospacing="0"/>
        <w:ind w:left="634" w:hanging="634"/>
        <w:divId w:val="1478917847"/>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6764B" w:rsidRPr="0046764B">
        <w:rPr>
          <w:rFonts w:ascii="Arial" w:hAnsi="Arial" w:cs="Arial"/>
          <w:noProof/>
          <w:sz w:val="22"/>
        </w:rPr>
        <w:t>1.</w:t>
      </w:r>
      <w:r w:rsidR="0046764B" w:rsidRPr="0046764B">
        <w:rPr>
          <w:rFonts w:ascii="Arial" w:hAnsi="Arial" w:cs="Arial"/>
          <w:noProof/>
          <w:sz w:val="22"/>
        </w:rPr>
        <w:tab/>
        <w:t xml:space="preserve">Crowley, J. J. </w:t>
      </w:r>
      <w:r w:rsidR="0046764B" w:rsidRPr="0046764B">
        <w:rPr>
          <w:rFonts w:ascii="Arial" w:hAnsi="Arial" w:cs="Arial"/>
          <w:i/>
          <w:iCs/>
          <w:noProof/>
          <w:sz w:val="22"/>
        </w:rPr>
        <w:t>et al.</w:t>
      </w:r>
      <w:r w:rsidR="0046764B" w:rsidRPr="0046764B">
        <w:rPr>
          <w:rFonts w:ascii="Arial" w:hAnsi="Arial" w:cs="Arial"/>
          <w:noProof/>
          <w:sz w:val="22"/>
        </w:rPr>
        <w:t xml:space="preserve"> Analyses of allele-specific gene expression in highly divergent mouse crosses identifies pervasive allelic imbalance. </w:t>
      </w:r>
      <w:r w:rsidR="0046764B" w:rsidRPr="0046764B">
        <w:rPr>
          <w:rFonts w:ascii="Arial" w:hAnsi="Arial" w:cs="Arial"/>
          <w:i/>
          <w:iCs/>
          <w:noProof/>
          <w:sz w:val="22"/>
        </w:rPr>
        <w:t>Nat. Genet.</w:t>
      </w:r>
      <w:r w:rsidR="0046764B" w:rsidRPr="0046764B">
        <w:rPr>
          <w:rFonts w:ascii="Arial" w:hAnsi="Arial" w:cs="Arial"/>
          <w:noProof/>
          <w:sz w:val="22"/>
        </w:rPr>
        <w:t xml:space="preserve"> </w:t>
      </w:r>
      <w:r w:rsidR="0046764B" w:rsidRPr="0046764B">
        <w:rPr>
          <w:rFonts w:ascii="Arial" w:hAnsi="Arial" w:cs="Arial"/>
          <w:b/>
          <w:bCs/>
          <w:noProof/>
          <w:sz w:val="22"/>
        </w:rPr>
        <w:t>47,</w:t>
      </w:r>
      <w:r w:rsidR="0046764B" w:rsidRPr="0046764B">
        <w:rPr>
          <w:rFonts w:ascii="Arial" w:hAnsi="Arial" w:cs="Arial"/>
          <w:noProof/>
          <w:sz w:val="22"/>
        </w:rPr>
        <w:t xml:space="preserve"> (2015).</w:t>
      </w:r>
    </w:p>
    <w:p w14:paraId="7A298D4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w:t>
      </w:r>
      <w:r w:rsidRPr="0046764B">
        <w:rPr>
          <w:rFonts w:ascii="Arial" w:hAnsi="Arial" w:cs="Arial"/>
          <w:noProof/>
          <w:sz w:val="22"/>
        </w:rPr>
        <w:tab/>
        <w:t xml:space="preserve">Greenham, K. &amp; McClung, C. R. Integrating circadian dynamics with physiological processes in plants. </w:t>
      </w:r>
      <w:r w:rsidRPr="0046764B">
        <w:rPr>
          <w:rFonts w:ascii="Arial" w:hAnsi="Arial" w:cs="Arial"/>
          <w:i/>
          <w:iCs/>
          <w:noProof/>
          <w:sz w:val="22"/>
        </w:rPr>
        <w:t>Nat Rev Genet</w:t>
      </w:r>
      <w:r w:rsidRPr="0046764B">
        <w:rPr>
          <w:rFonts w:ascii="Arial" w:hAnsi="Arial" w:cs="Arial"/>
          <w:noProof/>
          <w:sz w:val="22"/>
        </w:rPr>
        <w:t xml:space="preserve"> </w:t>
      </w:r>
      <w:r w:rsidRPr="0046764B">
        <w:rPr>
          <w:rFonts w:ascii="Arial" w:hAnsi="Arial" w:cs="Arial"/>
          <w:b/>
          <w:bCs/>
          <w:noProof/>
          <w:sz w:val="22"/>
        </w:rPr>
        <w:t>16,</w:t>
      </w:r>
      <w:r w:rsidRPr="0046764B">
        <w:rPr>
          <w:rFonts w:ascii="Arial" w:hAnsi="Arial" w:cs="Arial"/>
          <w:noProof/>
          <w:sz w:val="22"/>
        </w:rPr>
        <w:t xml:space="preserve"> 598–610 (2015).</w:t>
      </w:r>
    </w:p>
    <w:p w14:paraId="271DEEFB"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3.</w:t>
      </w:r>
      <w:r w:rsidRPr="0046764B">
        <w:rPr>
          <w:rFonts w:ascii="Arial" w:hAnsi="Arial" w:cs="Arial"/>
          <w:noProof/>
          <w:sz w:val="22"/>
        </w:rPr>
        <w:tab/>
        <w:t xml:space="preserve">Donner, Y., Feng, T., Benoist, C. &amp; Koller, D. Imputing gene expression from selectively reduced probe sets.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9,</w:t>
      </w:r>
      <w:r w:rsidRPr="0046764B">
        <w:rPr>
          <w:rFonts w:ascii="Arial" w:hAnsi="Arial" w:cs="Arial"/>
          <w:noProof/>
          <w:sz w:val="22"/>
        </w:rPr>
        <w:t xml:space="preserve"> (2012).</w:t>
      </w:r>
    </w:p>
    <w:p w14:paraId="4265D55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4.</w:t>
      </w:r>
      <w:r w:rsidRPr="0046764B">
        <w:rPr>
          <w:rFonts w:ascii="Arial" w:hAnsi="Arial" w:cs="Arial"/>
          <w:noProof/>
          <w:sz w:val="22"/>
        </w:rPr>
        <w:tab/>
        <w:t xml:space="preserve">Parnas, O., Jovanovic, M., Eisenhaure, M. &amp; Zhang, F. A Genome-wide CRISPR Screen in Primary Immune Cells to Dissect Regulatory Networks. </w:t>
      </w:r>
      <w:r w:rsidRPr="0046764B">
        <w:rPr>
          <w:rFonts w:ascii="Arial" w:hAnsi="Arial" w:cs="Arial"/>
          <w:i/>
          <w:iCs/>
          <w:noProof/>
          <w:sz w:val="22"/>
        </w:rPr>
        <w:t>Cell</w:t>
      </w:r>
      <w:r w:rsidRPr="0046764B">
        <w:rPr>
          <w:rFonts w:ascii="Arial" w:hAnsi="Arial" w:cs="Arial"/>
          <w:noProof/>
          <w:sz w:val="22"/>
        </w:rPr>
        <w:t xml:space="preserve"> </w:t>
      </w:r>
      <w:r w:rsidRPr="0046764B">
        <w:rPr>
          <w:rFonts w:ascii="Arial" w:hAnsi="Arial" w:cs="Arial"/>
          <w:b/>
          <w:bCs/>
          <w:noProof/>
          <w:sz w:val="22"/>
        </w:rPr>
        <w:t>162,</w:t>
      </w:r>
      <w:r w:rsidRPr="0046764B">
        <w:rPr>
          <w:rFonts w:ascii="Arial" w:hAnsi="Arial" w:cs="Arial"/>
          <w:noProof/>
          <w:sz w:val="22"/>
        </w:rPr>
        <w:t xml:space="preserve"> 1–12 (2015).</w:t>
      </w:r>
    </w:p>
    <w:p w14:paraId="57B679B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5.</w:t>
      </w:r>
      <w:r w:rsidRPr="0046764B">
        <w:rPr>
          <w:rFonts w:ascii="Arial" w:hAnsi="Arial" w:cs="Arial"/>
          <w:noProof/>
          <w:sz w:val="22"/>
        </w:rPr>
        <w:tab/>
        <w:t>New England BioLabs Inc. SplintR Ligase. at &lt;https://www.neb.com/products/m0375-splintr-ligase&gt;</w:t>
      </w:r>
    </w:p>
    <w:p w14:paraId="0E685F2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6.</w:t>
      </w:r>
      <w:r w:rsidRPr="0046764B">
        <w:rPr>
          <w:rFonts w:ascii="Arial" w:hAnsi="Arial" w:cs="Arial"/>
          <w:noProof/>
          <w:sz w:val="22"/>
        </w:rPr>
        <w:tab/>
        <w:t xml:space="preserve">Lohman, G. J. S., Zhang, Y., Zhelkovsky, A. M., Cantor, E. J. &amp; Jr, T. C. E. Efficient DNA ligation in DNA – RNA hybrid helices by Chlorella virus DNA ligase. </w:t>
      </w:r>
      <w:r w:rsidRPr="0046764B">
        <w:rPr>
          <w:rFonts w:ascii="Arial" w:hAnsi="Arial" w:cs="Arial"/>
          <w:i/>
          <w:iCs/>
          <w:noProof/>
          <w:sz w:val="22"/>
        </w:rPr>
        <w:t>Nucleic Acids Res.</w:t>
      </w:r>
      <w:r w:rsidRPr="0046764B">
        <w:rPr>
          <w:rFonts w:ascii="Arial" w:hAnsi="Arial" w:cs="Arial"/>
          <w:noProof/>
          <w:sz w:val="22"/>
        </w:rPr>
        <w:t xml:space="preserve"> 1–14 (2013). doi:10.1093/nar/gkt1032</w:t>
      </w:r>
      <w:bookmarkStart w:id="0" w:name="_GoBack"/>
      <w:bookmarkEnd w:id="0"/>
    </w:p>
    <w:p w14:paraId="55168CA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7.</w:t>
      </w:r>
      <w:r w:rsidRPr="0046764B">
        <w:rPr>
          <w:rFonts w:ascii="Arial" w:hAnsi="Arial" w:cs="Arial"/>
          <w:noProof/>
          <w:sz w:val="22"/>
        </w:rPr>
        <w:tab/>
        <w:t xml:space="preserve">Rohland, N. &amp; Reich, D. Cost-effective, high-throughput DNA sequencing libraries for multiplexed target capture. </w:t>
      </w:r>
      <w:r w:rsidRPr="0046764B">
        <w:rPr>
          <w:rFonts w:ascii="Arial" w:hAnsi="Arial" w:cs="Arial"/>
          <w:i/>
          <w:iCs/>
          <w:noProof/>
          <w:sz w:val="22"/>
        </w:rPr>
        <w:t>Genome Res.</w:t>
      </w:r>
      <w:r w:rsidRPr="0046764B">
        <w:rPr>
          <w:rFonts w:ascii="Arial" w:hAnsi="Arial" w:cs="Arial"/>
          <w:noProof/>
          <w:sz w:val="22"/>
        </w:rPr>
        <w:t xml:space="preserve"> </w:t>
      </w:r>
      <w:r w:rsidRPr="0046764B">
        <w:rPr>
          <w:rFonts w:ascii="Arial" w:hAnsi="Arial" w:cs="Arial"/>
          <w:b/>
          <w:bCs/>
          <w:noProof/>
          <w:sz w:val="22"/>
        </w:rPr>
        <w:t>22,</w:t>
      </w:r>
      <w:r w:rsidRPr="0046764B">
        <w:rPr>
          <w:rFonts w:ascii="Arial" w:hAnsi="Arial" w:cs="Arial"/>
          <w:noProof/>
          <w:sz w:val="22"/>
        </w:rPr>
        <w:t xml:space="preserve"> 939–946 (2012).</w:t>
      </w:r>
    </w:p>
    <w:p w14:paraId="5D1E61FE"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8.</w:t>
      </w:r>
      <w:r w:rsidRPr="0046764B">
        <w:rPr>
          <w:rFonts w:ascii="Arial" w:hAnsi="Arial" w:cs="Arial"/>
          <w:noProof/>
          <w:sz w:val="22"/>
        </w:rPr>
        <w:tab/>
        <w:t xml:space="preserve">Yang, L. </w:t>
      </w:r>
      <w:r w:rsidRPr="0046764B">
        <w:rPr>
          <w:rFonts w:ascii="Arial" w:hAnsi="Arial" w:cs="Arial"/>
          <w:i/>
          <w:iCs/>
          <w:noProof/>
          <w:sz w:val="22"/>
        </w:rPr>
        <w:t>et al.</w:t>
      </w:r>
      <w:r w:rsidRPr="0046764B">
        <w:rPr>
          <w:rFonts w:ascii="Arial" w:hAnsi="Arial" w:cs="Arial"/>
          <w:noProof/>
          <w:sz w:val="22"/>
        </w:rPr>
        <w:t xml:space="preserve"> The Pseudomonas syringae type III effector HopBB1 fine tunes pathogen virulence by gluing together host transcriptional regulators for degradation. </w:t>
      </w:r>
      <w:r w:rsidRPr="0046764B">
        <w:rPr>
          <w:rFonts w:ascii="Arial" w:hAnsi="Arial" w:cs="Arial"/>
          <w:i/>
          <w:iCs/>
          <w:noProof/>
          <w:sz w:val="22"/>
        </w:rPr>
        <w:t>Submitted</w:t>
      </w:r>
      <w:r w:rsidRPr="0046764B">
        <w:rPr>
          <w:rFonts w:ascii="Arial" w:hAnsi="Arial" w:cs="Arial"/>
          <w:noProof/>
          <w:sz w:val="22"/>
        </w:rPr>
        <w:t xml:space="preserve"> (2016).</w:t>
      </w:r>
    </w:p>
    <w:p w14:paraId="71A2351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9.</w:t>
      </w:r>
      <w:r w:rsidRPr="0046764B">
        <w:rPr>
          <w:rFonts w:ascii="Arial" w:hAnsi="Arial" w:cs="Arial"/>
          <w:noProof/>
          <w:sz w:val="22"/>
        </w:rPr>
        <w:tab/>
        <w:t xml:space="preserve">Lundberg, D. S., Yourstone, S., Mieczkowski, P., Jones, C. D. &amp; Dangl, J. L. Practical innovations for high-throughput amplicon sequencing.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10,</w:t>
      </w:r>
      <w:r w:rsidRPr="0046764B">
        <w:rPr>
          <w:rFonts w:ascii="Arial" w:hAnsi="Arial" w:cs="Arial"/>
          <w:noProof/>
          <w:sz w:val="22"/>
        </w:rPr>
        <w:t xml:space="preserve"> 999–1002 (2013).</w:t>
      </w:r>
    </w:p>
    <w:p w14:paraId="76DCDD0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10.</w:t>
      </w:r>
      <w:r w:rsidRPr="0046764B">
        <w:rPr>
          <w:rFonts w:ascii="Arial" w:hAnsi="Arial" w:cs="Arial"/>
          <w:noProof/>
          <w:sz w:val="22"/>
        </w:rPr>
        <w:tab/>
        <w:t xml:space="preserve">Leinonen, R., Sugawara, H. &amp; Shumway, M. The Sequence Read Archive. </w:t>
      </w:r>
      <w:r w:rsidRPr="0046764B">
        <w:rPr>
          <w:rFonts w:ascii="Arial" w:hAnsi="Arial" w:cs="Arial"/>
          <w:b/>
          <w:bCs/>
          <w:noProof/>
          <w:sz w:val="22"/>
        </w:rPr>
        <w:t>39,</w:t>
      </w:r>
      <w:r w:rsidRPr="0046764B">
        <w:rPr>
          <w:rFonts w:ascii="Arial" w:hAnsi="Arial" w:cs="Arial"/>
          <w:noProof/>
          <w:sz w:val="22"/>
        </w:rPr>
        <w:t xml:space="preserve"> 2010–2012 (2011).</w:t>
      </w:r>
    </w:p>
    <w:p w14:paraId="1218054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11.</w:t>
      </w:r>
      <w:r w:rsidRPr="0046764B">
        <w:rPr>
          <w:rFonts w:ascii="Arial" w:hAnsi="Arial" w:cs="Arial"/>
          <w:noProof/>
          <w:sz w:val="22"/>
        </w:rPr>
        <w:tab/>
        <w:t xml:space="preserve">Patro, R., Mount, S. M. &amp; Kingsford, C. Sailfish enables alignment-free isoform quantification from RNA-seq reads using lightweight algorithms. </w:t>
      </w:r>
      <w:r w:rsidRPr="0046764B">
        <w:rPr>
          <w:rFonts w:ascii="Arial" w:hAnsi="Arial" w:cs="Arial"/>
          <w:i/>
          <w:iCs/>
          <w:noProof/>
          <w:sz w:val="22"/>
        </w:rPr>
        <w:t>Nat. Biotechnol.</w:t>
      </w:r>
      <w:r w:rsidRPr="0046764B">
        <w:rPr>
          <w:rFonts w:ascii="Arial" w:hAnsi="Arial" w:cs="Arial"/>
          <w:noProof/>
          <w:sz w:val="22"/>
        </w:rPr>
        <w:t xml:space="preserve"> </w:t>
      </w:r>
      <w:r w:rsidRPr="0046764B">
        <w:rPr>
          <w:rFonts w:ascii="Arial" w:hAnsi="Arial" w:cs="Arial"/>
          <w:b/>
          <w:bCs/>
          <w:noProof/>
          <w:sz w:val="22"/>
        </w:rPr>
        <w:t>32,</w:t>
      </w:r>
      <w:r w:rsidRPr="0046764B">
        <w:rPr>
          <w:rFonts w:ascii="Arial" w:hAnsi="Arial" w:cs="Arial"/>
          <w:noProof/>
          <w:sz w:val="22"/>
        </w:rPr>
        <w:t xml:space="preserve"> 462–4 (2014).</w:t>
      </w:r>
    </w:p>
    <w:p w14:paraId="3E8F1D0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12.</w:t>
      </w:r>
      <w:r w:rsidRPr="0046764B">
        <w:rPr>
          <w:rFonts w:ascii="Arial" w:hAnsi="Arial" w:cs="Arial"/>
          <w:noProof/>
          <w:sz w:val="22"/>
        </w:rPr>
        <w:tab/>
        <w:t xml:space="preserve">Biswas, S. The latent logarithm. </w:t>
      </w:r>
      <w:r w:rsidRPr="0046764B">
        <w:rPr>
          <w:rFonts w:ascii="Arial" w:hAnsi="Arial" w:cs="Arial"/>
          <w:i/>
          <w:iCs/>
          <w:noProof/>
          <w:sz w:val="22"/>
        </w:rPr>
        <w:t>arXiv</w:t>
      </w:r>
      <w:r w:rsidRPr="0046764B">
        <w:rPr>
          <w:rFonts w:ascii="Arial" w:hAnsi="Arial" w:cs="Arial"/>
          <w:noProof/>
          <w:sz w:val="22"/>
        </w:rPr>
        <w:t xml:space="preserve"> 1–11 (2016).</w:t>
      </w:r>
    </w:p>
    <w:p w14:paraId="1359842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13.</w:t>
      </w:r>
      <w:r w:rsidRPr="0046764B">
        <w:rPr>
          <w:rFonts w:ascii="Arial" w:hAnsi="Arial" w:cs="Arial"/>
          <w:noProof/>
          <w:sz w:val="22"/>
        </w:rPr>
        <w:tab/>
        <w:t xml:space="preserve">Ma, S. &amp; Kosorok, M. R. Identification of differential gene pathways with principal component analysis. </w:t>
      </w:r>
      <w:r w:rsidRPr="0046764B">
        <w:rPr>
          <w:rFonts w:ascii="Arial" w:hAnsi="Arial" w:cs="Arial"/>
          <w:i/>
          <w:iCs/>
          <w:noProof/>
          <w:sz w:val="22"/>
        </w:rPr>
        <w:t>Bioinformatics</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882–889 (2009).</w:t>
      </w:r>
    </w:p>
    <w:p w14:paraId="6C2F107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14.</w:t>
      </w:r>
      <w:r w:rsidRPr="0046764B">
        <w:rPr>
          <w:rFonts w:ascii="Arial" w:hAnsi="Arial" w:cs="Arial"/>
          <w:noProof/>
          <w:sz w:val="22"/>
        </w:rPr>
        <w:tab/>
        <w:t xml:space="preserve">Fan, J. </w:t>
      </w:r>
      <w:r w:rsidRPr="0046764B">
        <w:rPr>
          <w:rFonts w:ascii="Arial" w:hAnsi="Arial" w:cs="Arial"/>
          <w:i/>
          <w:iCs/>
          <w:noProof/>
          <w:sz w:val="22"/>
        </w:rPr>
        <w:t>et al.</w:t>
      </w:r>
      <w:r w:rsidRPr="0046764B">
        <w:rPr>
          <w:rFonts w:ascii="Arial" w:hAnsi="Arial" w:cs="Arial"/>
          <w:noProof/>
          <w:sz w:val="22"/>
        </w:rPr>
        <w:t xml:space="preserve"> Characterizing transcriptional heterogeneity through pathway and gene set overdispersion analysis.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13,</w:t>
      </w:r>
      <w:r w:rsidRPr="0046764B">
        <w:rPr>
          <w:rFonts w:ascii="Arial" w:hAnsi="Arial" w:cs="Arial"/>
          <w:noProof/>
          <w:sz w:val="22"/>
        </w:rPr>
        <w:t xml:space="preserve"> 241–244 (2016).</w:t>
      </w:r>
    </w:p>
    <w:p w14:paraId="6496EE8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15.</w:t>
      </w:r>
      <w:r w:rsidRPr="0046764B">
        <w:rPr>
          <w:rFonts w:ascii="Arial" w:hAnsi="Arial" w:cs="Arial"/>
          <w:noProof/>
          <w:sz w:val="22"/>
        </w:rPr>
        <w:tab/>
        <w:t xml:space="preserve">Ashburner, M. </w:t>
      </w:r>
      <w:r w:rsidRPr="0046764B">
        <w:rPr>
          <w:rFonts w:ascii="Arial" w:hAnsi="Arial" w:cs="Arial"/>
          <w:i/>
          <w:iCs/>
          <w:noProof/>
          <w:sz w:val="22"/>
        </w:rPr>
        <w:t>et al.</w:t>
      </w:r>
      <w:r w:rsidRPr="0046764B">
        <w:rPr>
          <w:rFonts w:ascii="Arial" w:hAnsi="Arial" w:cs="Arial"/>
          <w:noProof/>
          <w:sz w:val="22"/>
        </w:rPr>
        <w:t xml:space="preserve"> Gene Ontology: tool for the unification of biology. </w:t>
      </w:r>
      <w:r w:rsidRPr="0046764B">
        <w:rPr>
          <w:rFonts w:ascii="Arial" w:hAnsi="Arial" w:cs="Arial"/>
          <w:i/>
          <w:iCs/>
          <w:noProof/>
          <w:sz w:val="22"/>
        </w:rPr>
        <w:t>Nat Genet</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25–29 (2000).</w:t>
      </w:r>
    </w:p>
    <w:p w14:paraId="0D49C0D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16.</w:t>
      </w:r>
      <w:r w:rsidRPr="0046764B">
        <w:rPr>
          <w:rFonts w:ascii="Arial" w:hAnsi="Arial" w:cs="Arial"/>
          <w:noProof/>
          <w:sz w:val="22"/>
        </w:rPr>
        <w:tab/>
        <w:t xml:space="preserve">The Gene Ontology Consortium. Gene Ontology Consortium: going forward. </w:t>
      </w:r>
      <w:r w:rsidRPr="0046764B">
        <w:rPr>
          <w:rFonts w:ascii="Arial" w:hAnsi="Arial" w:cs="Arial"/>
          <w:i/>
          <w:iCs/>
          <w:noProof/>
          <w:sz w:val="22"/>
        </w:rPr>
        <w:t>Nucleic Acids Res.</w:t>
      </w:r>
      <w:r w:rsidRPr="0046764B">
        <w:rPr>
          <w:rFonts w:ascii="Arial" w:hAnsi="Arial" w:cs="Arial"/>
          <w:noProof/>
          <w:sz w:val="22"/>
        </w:rPr>
        <w:t xml:space="preserve"> </w:t>
      </w:r>
      <w:r w:rsidRPr="0046764B">
        <w:rPr>
          <w:rFonts w:ascii="Arial" w:hAnsi="Arial" w:cs="Arial"/>
          <w:b/>
          <w:bCs/>
          <w:noProof/>
          <w:sz w:val="22"/>
        </w:rPr>
        <w:t>43,</w:t>
      </w:r>
      <w:r w:rsidRPr="0046764B">
        <w:rPr>
          <w:rFonts w:ascii="Arial" w:hAnsi="Arial" w:cs="Arial"/>
          <w:noProof/>
          <w:sz w:val="22"/>
        </w:rPr>
        <w:t xml:space="preserve"> D1049–D1056 (2015).</w:t>
      </w:r>
    </w:p>
    <w:p w14:paraId="617774A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17.</w:t>
      </w:r>
      <w:r w:rsidRPr="0046764B">
        <w:rPr>
          <w:rFonts w:ascii="Arial" w:hAnsi="Arial" w:cs="Arial"/>
          <w:noProof/>
          <w:sz w:val="22"/>
        </w:rPr>
        <w:tab/>
        <w:t xml:space="preserve">Tropp, J. a &amp; Gilbert, A. C. Signal Recovery From Random Measurements Via Orthogonal Matching Pursuit. </w:t>
      </w:r>
      <w:r w:rsidRPr="0046764B">
        <w:rPr>
          <w:rFonts w:ascii="Arial" w:hAnsi="Arial" w:cs="Arial"/>
          <w:i/>
          <w:iCs/>
          <w:noProof/>
          <w:sz w:val="22"/>
        </w:rPr>
        <w:t>IEEE Trans. Inf. Theory</w:t>
      </w:r>
      <w:r w:rsidRPr="0046764B">
        <w:rPr>
          <w:rFonts w:ascii="Arial" w:hAnsi="Arial" w:cs="Arial"/>
          <w:noProof/>
          <w:sz w:val="22"/>
        </w:rPr>
        <w:t xml:space="preserve"> </w:t>
      </w:r>
      <w:r w:rsidRPr="0046764B">
        <w:rPr>
          <w:rFonts w:ascii="Arial" w:hAnsi="Arial" w:cs="Arial"/>
          <w:b/>
          <w:bCs/>
          <w:noProof/>
          <w:sz w:val="22"/>
        </w:rPr>
        <w:t>53,</w:t>
      </w:r>
      <w:r w:rsidRPr="0046764B">
        <w:rPr>
          <w:rFonts w:ascii="Arial" w:hAnsi="Arial" w:cs="Arial"/>
          <w:noProof/>
          <w:sz w:val="22"/>
        </w:rPr>
        <w:t xml:space="preserve"> 4655–4666 (2007).</w:t>
      </w:r>
    </w:p>
    <w:p w14:paraId="3EC34399"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18.</w:t>
      </w:r>
      <w:r w:rsidRPr="0046764B">
        <w:rPr>
          <w:rFonts w:ascii="Arial" w:hAnsi="Arial" w:cs="Arial"/>
          <w:noProof/>
          <w:sz w:val="22"/>
        </w:rPr>
        <w:tab/>
        <w:t xml:space="preserve">Tropp, J. a., Gilbert, A. C. &amp; Strauss, M. J. Algorithms for simultaneous sparse approximation. Part I: Greedy pursuit. </w:t>
      </w:r>
      <w:r w:rsidRPr="0046764B">
        <w:rPr>
          <w:rFonts w:ascii="Arial" w:hAnsi="Arial" w:cs="Arial"/>
          <w:i/>
          <w:iCs/>
          <w:noProof/>
          <w:sz w:val="22"/>
        </w:rPr>
        <w:t>Signal Processing</w:t>
      </w:r>
      <w:r w:rsidRPr="0046764B">
        <w:rPr>
          <w:rFonts w:ascii="Arial" w:hAnsi="Arial" w:cs="Arial"/>
          <w:noProof/>
          <w:sz w:val="22"/>
        </w:rPr>
        <w:t xml:space="preserve"> </w:t>
      </w:r>
      <w:r w:rsidRPr="0046764B">
        <w:rPr>
          <w:rFonts w:ascii="Arial" w:hAnsi="Arial" w:cs="Arial"/>
          <w:b/>
          <w:bCs/>
          <w:noProof/>
          <w:sz w:val="22"/>
        </w:rPr>
        <w:t>86,</w:t>
      </w:r>
      <w:r w:rsidRPr="0046764B">
        <w:rPr>
          <w:rFonts w:ascii="Arial" w:hAnsi="Arial" w:cs="Arial"/>
          <w:noProof/>
          <w:sz w:val="22"/>
        </w:rPr>
        <w:t xml:space="preserve"> 572–588 (2006).</w:t>
      </w:r>
    </w:p>
    <w:p w14:paraId="64051401"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19.</w:t>
      </w:r>
      <w:r w:rsidRPr="0046764B">
        <w:rPr>
          <w:rFonts w:ascii="Arial" w:hAnsi="Arial" w:cs="Arial"/>
          <w:noProof/>
          <w:sz w:val="22"/>
        </w:rPr>
        <w:tab/>
        <w:t xml:space="preserve">Monti, S., Tamayo, P., Mesirov, J. &amp; Golub, T. Consensus Clustering : A Resampling-Based Method for Class Discovery and Visualization of Gene Expression Microarray Data. </w:t>
      </w:r>
      <w:r w:rsidRPr="0046764B">
        <w:rPr>
          <w:rFonts w:ascii="Arial" w:hAnsi="Arial" w:cs="Arial"/>
          <w:i/>
          <w:iCs/>
          <w:noProof/>
          <w:sz w:val="22"/>
        </w:rPr>
        <w:t>Mach. Learn.</w:t>
      </w:r>
      <w:r w:rsidRPr="0046764B">
        <w:rPr>
          <w:rFonts w:ascii="Arial" w:hAnsi="Arial" w:cs="Arial"/>
          <w:noProof/>
          <w:sz w:val="22"/>
        </w:rPr>
        <w:t xml:space="preserve"> </w:t>
      </w:r>
      <w:r w:rsidRPr="0046764B">
        <w:rPr>
          <w:rFonts w:ascii="Arial" w:hAnsi="Arial" w:cs="Arial"/>
          <w:b/>
          <w:bCs/>
          <w:noProof/>
          <w:sz w:val="22"/>
        </w:rPr>
        <w:t>52,</w:t>
      </w:r>
      <w:r w:rsidRPr="0046764B">
        <w:rPr>
          <w:rFonts w:ascii="Arial" w:hAnsi="Arial" w:cs="Arial"/>
          <w:noProof/>
          <w:sz w:val="22"/>
        </w:rPr>
        <w:t xml:space="preserve"> 91–118 (2003).</w:t>
      </w:r>
    </w:p>
    <w:p w14:paraId="31DD58E2"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20.</w:t>
      </w:r>
      <w:r w:rsidRPr="0046764B">
        <w:rPr>
          <w:rFonts w:ascii="Arial" w:hAnsi="Arial" w:cs="Arial"/>
          <w:noProof/>
          <w:sz w:val="22"/>
        </w:rPr>
        <w:tab/>
        <w:t xml:space="preserve">Yu, Z., Wong, H.-S. &amp; Wang, H. Graph-based consensus clustering for class discovery from gene expression data. </w:t>
      </w:r>
      <w:r w:rsidRPr="0046764B">
        <w:rPr>
          <w:rFonts w:ascii="Arial" w:hAnsi="Arial" w:cs="Arial"/>
          <w:i/>
          <w:iCs/>
          <w:noProof/>
          <w:sz w:val="22"/>
        </w:rPr>
        <w:t xml:space="preserve">Bioinforma. </w:t>
      </w:r>
      <w:r w:rsidRPr="0046764B">
        <w:rPr>
          <w:rFonts w:ascii="Arial" w:hAnsi="Arial" w:cs="Arial"/>
          <w:b/>
          <w:bCs/>
          <w:noProof/>
          <w:sz w:val="22"/>
        </w:rPr>
        <w:t>23 ,</w:t>
      </w:r>
      <w:r w:rsidRPr="0046764B">
        <w:rPr>
          <w:rFonts w:ascii="Arial" w:hAnsi="Arial" w:cs="Arial"/>
          <w:noProof/>
          <w:sz w:val="22"/>
        </w:rPr>
        <w:t xml:space="preserve"> 2888–2896 (2007).</w:t>
      </w:r>
    </w:p>
    <w:p w14:paraId="13A7ACD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21.</w:t>
      </w:r>
      <w:r w:rsidRPr="0046764B">
        <w:rPr>
          <w:rFonts w:ascii="Arial" w:hAnsi="Arial" w:cs="Arial"/>
          <w:noProof/>
          <w:sz w:val="22"/>
        </w:rPr>
        <w:tab/>
        <w:t xml:space="preserve">Davies, D. L. &amp; Bouldin, D. W. A Cluster Separation Measure. </w:t>
      </w:r>
      <w:r w:rsidRPr="0046764B">
        <w:rPr>
          <w:rFonts w:ascii="Arial" w:hAnsi="Arial" w:cs="Arial"/>
          <w:i/>
          <w:iCs/>
          <w:noProof/>
          <w:sz w:val="22"/>
        </w:rPr>
        <w:t>IEEE Trans. Pattern Anal. Mach. Intell.</w:t>
      </w:r>
      <w:r w:rsidRPr="0046764B">
        <w:rPr>
          <w:rFonts w:ascii="Arial" w:hAnsi="Arial" w:cs="Arial"/>
          <w:noProof/>
          <w:sz w:val="22"/>
        </w:rPr>
        <w:t xml:space="preserve"> </w:t>
      </w:r>
      <w:r w:rsidRPr="0046764B">
        <w:rPr>
          <w:rFonts w:ascii="Arial" w:hAnsi="Arial" w:cs="Arial"/>
          <w:b/>
          <w:bCs/>
          <w:noProof/>
          <w:sz w:val="22"/>
        </w:rPr>
        <w:t>2,</w:t>
      </w:r>
      <w:r w:rsidRPr="0046764B">
        <w:rPr>
          <w:rFonts w:ascii="Arial" w:hAnsi="Arial" w:cs="Arial"/>
          <w:noProof/>
          <w:sz w:val="22"/>
        </w:rPr>
        <w:t xml:space="preserve"> 224–227 (1979).</w:t>
      </w:r>
    </w:p>
    <w:p w14:paraId="229FA78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22.</w:t>
      </w:r>
      <w:r w:rsidRPr="0046764B">
        <w:rPr>
          <w:rFonts w:ascii="Arial" w:hAnsi="Arial" w:cs="Arial"/>
          <w:noProof/>
          <w:sz w:val="22"/>
        </w:rPr>
        <w:tab/>
        <w:t xml:space="preserve">Aitchison, J. &amp; Shen, S. M. Logistic-Normal Distributions: Some Properties and Uses.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67,</w:t>
      </w:r>
      <w:r w:rsidRPr="0046764B">
        <w:rPr>
          <w:rFonts w:ascii="Arial" w:hAnsi="Arial" w:cs="Arial"/>
          <w:noProof/>
          <w:sz w:val="22"/>
        </w:rPr>
        <w:t xml:space="preserve"> 261 (1980).</w:t>
      </w:r>
    </w:p>
    <w:p w14:paraId="61EAA89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23.</w:t>
      </w:r>
      <w:r w:rsidRPr="0046764B">
        <w:rPr>
          <w:rFonts w:ascii="Arial" w:hAnsi="Arial" w:cs="Arial"/>
          <w:noProof/>
          <w:sz w:val="22"/>
        </w:rPr>
        <w:tab/>
        <w:t xml:space="preserve">Aitchison, J. &amp; Ho, C. H. The multivariate Poisson-log normal distribution.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76,</w:t>
      </w:r>
      <w:r w:rsidRPr="0046764B">
        <w:rPr>
          <w:rFonts w:ascii="Arial" w:hAnsi="Arial" w:cs="Arial"/>
          <w:noProof/>
          <w:sz w:val="22"/>
        </w:rPr>
        <w:t xml:space="preserve"> 643–653 (1989).</w:t>
      </w:r>
    </w:p>
    <w:p w14:paraId="02521AF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24.</w:t>
      </w:r>
      <w:r w:rsidRPr="0046764B">
        <w:rPr>
          <w:rFonts w:ascii="Arial" w:hAnsi="Arial" w:cs="Arial"/>
          <w:noProof/>
          <w:sz w:val="22"/>
        </w:rPr>
        <w:tab/>
        <w:t xml:space="preserve">Biswas, S., Mcdonald, M., Lundberg, D. S., Dangl, J. L. &amp; Jojic, V. Learning Microbial Interaction Networks from Metagenomic Count Data. in </w:t>
      </w:r>
      <w:r w:rsidRPr="0046764B">
        <w:rPr>
          <w:rFonts w:ascii="Arial" w:hAnsi="Arial" w:cs="Arial"/>
          <w:i/>
          <w:iCs/>
          <w:noProof/>
          <w:sz w:val="22"/>
        </w:rPr>
        <w:t>Res. Comput. Mol. Biol.</w:t>
      </w:r>
      <w:r w:rsidRPr="0046764B">
        <w:rPr>
          <w:rFonts w:ascii="Arial" w:hAnsi="Arial" w:cs="Arial"/>
          <w:noProof/>
          <w:sz w:val="22"/>
        </w:rPr>
        <w:t xml:space="preserve"> </w:t>
      </w:r>
      <w:r w:rsidRPr="0046764B">
        <w:rPr>
          <w:rFonts w:ascii="Arial" w:hAnsi="Arial" w:cs="Arial"/>
          <w:b/>
          <w:bCs/>
          <w:noProof/>
          <w:sz w:val="22"/>
        </w:rPr>
        <w:t>1,</w:t>
      </w:r>
      <w:r w:rsidRPr="0046764B">
        <w:rPr>
          <w:rFonts w:ascii="Arial" w:hAnsi="Arial" w:cs="Arial"/>
          <w:noProof/>
          <w:sz w:val="22"/>
        </w:rPr>
        <w:t xml:space="preserve"> 32–43 (2015).</w:t>
      </w:r>
    </w:p>
    <w:p w14:paraId="22E26B5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25.</w:t>
      </w:r>
      <w:r w:rsidRPr="0046764B">
        <w:rPr>
          <w:rFonts w:ascii="Arial" w:hAnsi="Arial" w:cs="Arial"/>
          <w:noProof/>
          <w:sz w:val="22"/>
        </w:rPr>
        <w:tab/>
        <w:t xml:space="preserve">Ho, C. H. &amp; Kong, H. The multivariate Poisson-log normal distribution. </w:t>
      </w:r>
      <w:r w:rsidRPr="0046764B">
        <w:rPr>
          <w:rFonts w:ascii="Arial" w:hAnsi="Arial" w:cs="Arial"/>
          <w:b/>
          <w:bCs/>
          <w:noProof/>
          <w:sz w:val="22"/>
        </w:rPr>
        <w:t>2,</w:t>
      </w:r>
      <w:r w:rsidRPr="0046764B">
        <w:rPr>
          <w:rFonts w:ascii="Arial" w:hAnsi="Arial" w:cs="Arial"/>
          <w:noProof/>
          <w:sz w:val="22"/>
        </w:rPr>
        <w:t xml:space="preserve"> (1989).</w:t>
      </w:r>
    </w:p>
    <w:p w14:paraId="633C1BF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26.</w:t>
      </w:r>
      <w:r w:rsidRPr="0046764B">
        <w:rPr>
          <w:rFonts w:ascii="Arial" w:hAnsi="Arial" w:cs="Arial"/>
          <w:noProof/>
          <w:sz w:val="22"/>
        </w:rPr>
        <w:tab/>
        <w:t xml:space="preserve">Madsen, L. &amp; Dalthorp, D. Simulating correlated count data. </w:t>
      </w:r>
      <w:r w:rsidRPr="0046764B">
        <w:rPr>
          <w:rFonts w:ascii="Arial" w:hAnsi="Arial" w:cs="Arial"/>
          <w:i/>
          <w:iCs/>
          <w:noProof/>
          <w:sz w:val="22"/>
        </w:rPr>
        <w:t>Environ. Ecol. Stat.</w:t>
      </w:r>
      <w:r w:rsidRPr="0046764B">
        <w:rPr>
          <w:rFonts w:ascii="Arial" w:hAnsi="Arial" w:cs="Arial"/>
          <w:noProof/>
          <w:sz w:val="22"/>
        </w:rPr>
        <w:t xml:space="preserve"> </w:t>
      </w:r>
      <w:r w:rsidRPr="0046764B">
        <w:rPr>
          <w:rFonts w:ascii="Arial" w:hAnsi="Arial" w:cs="Arial"/>
          <w:b/>
          <w:bCs/>
          <w:noProof/>
          <w:sz w:val="22"/>
        </w:rPr>
        <w:t>14,</w:t>
      </w:r>
      <w:r w:rsidRPr="0046764B">
        <w:rPr>
          <w:rFonts w:ascii="Arial" w:hAnsi="Arial" w:cs="Arial"/>
          <w:noProof/>
          <w:sz w:val="22"/>
        </w:rPr>
        <w:t xml:space="preserve"> 129–148 (2007). </w:t>
      </w:r>
    </w:p>
    <w:p w14:paraId="36FBCE30" w14:textId="2F4569AC" w:rsidR="004E46E5" w:rsidRPr="004E46E5" w:rsidRDefault="004E46E5" w:rsidP="001C31E4">
      <w:pPr>
        <w:pStyle w:val="NormalWeb"/>
        <w:spacing w:before="0" w:beforeAutospacing="0" w:after="0" w:afterAutospacing="0"/>
        <w:ind w:left="634" w:hanging="634"/>
        <w:divId w:val="1044060699"/>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511"/>
    <w:rsid w:val="00011216"/>
    <w:rsid w:val="00011418"/>
    <w:rsid w:val="00023443"/>
    <w:rsid w:val="00030A48"/>
    <w:rsid w:val="000338B8"/>
    <w:rsid w:val="00050DC4"/>
    <w:rsid w:val="0005132E"/>
    <w:rsid w:val="00065379"/>
    <w:rsid w:val="00092BC5"/>
    <w:rsid w:val="000A31E7"/>
    <w:rsid w:val="000A7027"/>
    <w:rsid w:val="000C6A13"/>
    <w:rsid w:val="000D3F07"/>
    <w:rsid w:val="000D4F2B"/>
    <w:rsid w:val="000E4290"/>
    <w:rsid w:val="000E5E78"/>
    <w:rsid w:val="000E71C8"/>
    <w:rsid w:val="00106A33"/>
    <w:rsid w:val="00110A74"/>
    <w:rsid w:val="001250CD"/>
    <w:rsid w:val="00133BEB"/>
    <w:rsid w:val="00142CA9"/>
    <w:rsid w:val="00144B93"/>
    <w:rsid w:val="00153059"/>
    <w:rsid w:val="00153D2C"/>
    <w:rsid w:val="00162AC7"/>
    <w:rsid w:val="00163865"/>
    <w:rsid w:val="0019684F"/>
    <w:rsid w:val="001C31E4"/>
    <w:rsid w:val="001C4EE2"/>
    <w:rsid w:val="001E0D56"/>
    <w:rsid w:val="001E3694"/>
    <w:rsid w:val="00207F07"/>
    <w:rsid w:val="00252DCD"/>
    <w:rsid w:val="00261510"/>
    <w:rsid w:val="00274AA3"/>
    <w:rsid w:val="00281D0A"/>
    <w:rsid w:val="002B34C2"/>
    <w:rsid w:val="002B439E"/>
    <w:rsid w:val="002B624F"/>
    <w:rsid w:val="002C0072"/>
    <w:rsid w:val="002C331D"/>
    <w:rsid w:val="002D46E5"/>
    <w:rsid w:val="002D6417"/>
    <w:rsid w:val="002F33E1"/>
    <w:rsid w:val="002F7345"/>
    <w:rsid w:val="00311C14"/>
    <w:rsid w:val="00320F20"/>
    <w:rsid w:val="00344DEB"/>
    <w:rsid w:val="0035122E"/>
    <w:rsid w:val="00355A4A"/>
    <w:rsid w:val="00367A12"/>
    <w:rsid w:val="003773C6"/>
    <w:rsid w:val="00380122"/>
    <w:rsid w:val="003A53AE"/>
    <w:rsid w:val="003A53C8"/>
    <w:rsid w:val="003B0BF0"/>
    <w:rsid w:val="003C1371"/>
    <w:rsid w:val="003C64E4"/>
    <w:rsid w:val="003C67EB"/>
    <w:rsid w:val="003D2BDC"/>
    <w:rsid w:val="003E3039"/>
    <w:rsid w:val="003F5797"/>
    <w:rsid w:val="0040210D"/>
    <w:rsid w:val="00415DDF"/>
    <w:rsid w:val="00424CCA"/>
    <w:rsid w:val="004261EB"/>
    <w:rsid w:val="00430DBB"/>
    <w:rsid w:val="00431364"/>
    <w:rsid w:val="00432937"/>
    <w:rsid w:val="004363C5"/>
    <w:rsid w:val="00440106"/>
    <w:rsid w:val="00452E2A"/>
    <w:rsid w:val="004546DB"/>
    <w:rsid w:val="00455175"/>
    <w:rsid w:val="00455479"/>
    <w:rsid w:val="0045562B"/>
    <w:rsid w:val="004663FB"/>
    <w:rsid w:val="0046764B"/>
    <w:rsid w:val="00471409"/>
    <w:rsid w:val="004760DA"/>
    <w:rsid w:val="004806AB"/>
    <w:rsid w:val="00490C67"/>
    <w:rsid w:val="004A1FB9"/>
    <w:rsid w:val="004A7C9D"/>
    <w:rsid w:val="004B7F68"/>
    <w:rsid w:val="004C0886"/>
    <w:rsid w:val="004C40D9"/>
    <w:rsid w:val="004C5E12"/>
    <w:rsid w:val="004C7CC8"/>
    <w:rsid w:val="004D0674"/>
    <w:rsid w:val="004D3697"/>
    <w:rsid w:val="004D48E4"/>
    <w:rsid w:val="004E46E5"/>
    <w:rsid w:val="005019F5"/>
    <w:rsid w:val="00501CCA"/>
    <w:rsid w:val="005028B1"/>
    <w:rsid w:val="005052E9"/>
    <w:rsid w:val="00513C9E"/>
    <w:rsid w:val="00542E64"/>
    <w:rsid w:val="00551D30"/>
    <w:rsid w:val="0057011C"/>
    <w:rsid w:val="00570C3A"/>
    <w:rsid w:val="00571714"/>
    <w:rsid w:val="00577A88"/>
    <w:rsid w:val="0059132A"/>
    <w:rsid w:val="00592DFB"/>
    <w:rsid w:val="005A015A"/>
    <w:rsid w:val="005A253C"/>
    <w:rsid w:val="005B38CF"/>
    <w:rsid w:val="005E3B94"/>
    <w:rsid w:val="005E6532"/>
    <w:rsid w:val="005E7EF6"/>
    <w:rsid w:val="005F4CCC"/>
    <w:rsid w:val="006305AE"/>
    <w:rsid w:val="00633801"/>
    <w:rsid w:val="00633947"/>
    <w:rsid w:val="0063526B"/>
    <w:rsid w:val="00642488"/>
    <w:rsid w:val="0066703A"/>
    <w:rsid w:val="00673098"/>
    <w:rsid w:val="00675C00"/>
    <w:rsid w:val="0068591A"/>
    <w:rsid w:val="006902DC"/>
    <w:rsid w:val="006B4130"/>
    <w:rsid w:val="006B7089"/>
    <w:rsid w:val="006C032B"/>
    <w:rsid w:val="006E6E42"/>
    <w:rsid w:val="006F6516"/>
    <w:rsid w:val="00705B2C"/>
    <w:rsid w:val="00711340"/>
    <w:rsid w:val="00711670"/>
    <w:rsid w:val="00711E94"/>
    <w:rsid w:val="0071309C"/>
    <w:rsid w:val="00715502"/>
    <w:rsid w:val="00727123"/>
    <w:rsid w:val="007338BC"/>
    <w:rsid w:val="00733A4C"/>
    <w:rsid w:val="00733B6A"/>
    <w:rsid w:val="00744AAC"/>
    <w:rsid w:val="00754387"/>
    <w:rsid w:val="0076421C"/>
    <w:rsid w:val="00770017"/>
    <w:rsid w:val="007966D0"/>
    <w:rsid w:val="007973D8"/>
    <w:rsid w:val="007A5635"/>
    <w:rsid w:val="007A64F5"/>
    <w:rsid w:val="007B07AE"/>
    <w:rsid w:val="007B57E9"/>
    <w:rsid w:val="007C18C9"/>
    <w:rsid w:val="007C265D"/>
    <w:rsid w:val="007C539D"/>
    <w:rsid w:val="007C70E9"/>
    <w:rsid w:val="007D5D5F"/>
    <w:rsid w:val="007D6D20"/>
    <w:rsid w:val="0082039F"/>
    <w:rsid w:val="008216C7"/>
    <w:rsid w:val="008248A0"/>
    <w:rsid w:val="00840DFA"/>
    <w:rsid w:val="00855646"/>
    <w:rsid w:val="00860966"/>
    <w:rsid w:val="00871637"/>
    <w:rsid w:val="008818BD"/>
    <w:rsid w:val="00887F08"/>
    <w:rsid w:val="008A5AEF"/>
    <w:rsid w:val="008A7CF4"/>
    <w:rsid w:val="008B53B2"/>
    <w:rsid w:val="008B5687"/>
    <w:rsid w:val="008D51FF"/>
    <w:rsid w:val="008F4CB9"/>
    <w:rsid w:val="008F5014"/>
    <w:rsid w:val="00903297"/>
    <w:rsid w:val="00910631"/>
    <w:rsid w:val="00912531"/>
    <w:rsid w:val="00923E37"/>
    <w:rsid w:val="00927186"/>
    <w:rsid w:val="00934AE2"/>
    <w:rsid w:val="0095785D"/>
    <w:rsid w:val="00966958"/>
    <w:rsid w:val="00990922"/>
    <w:rsid w:val="00995EA2"/>
    <w:rsid w:val="009A635D"/>
    <w:rsid w:val="009C22BD"/>
    <w:rsid w:val="009D54E1"/>
    <w:rsid w:val="009E2CF6"/>
    <w:rsid w:val="009F1E12"/>
    <w:rsid w:val="00A02DE6"/>
    <w:rsid w:val="00A04082"/>
    <w:rsid w:val="00A34D9E"/>
    <w:rsid w:val="00A46203"/>
    <w:rsid w:val="00A46D9C"/>
    <w:rsid w:val="00A52610"/>
    <w:rsid w:val="00A52773"/>
    <w:rsid w:val="00A710B6"/>
    <w:rsid w:val="00A71C62"/>
    <w:rsid w:val="00AA1061"/>
    <w:rsid w:val="00AA194A"/>
    <w:rsid w:val="00AA752B"/>
    <w:rsid w:val="00AB1773"/>
    <w:rsid w:val="00AB2224"/>
    <w:rsid w:val="00AB498B"/>
    <w:rsid w:val="00AB7210"/>
    <w:rsid w:val="00AC40F3"/>
    <w:rsid w:val="00AE7E04"/>
    <w:rsid w:val="00B16E18"/>
    <w:rsid w:val="00B2139A"/>
    <w:rsid w:val="00B362BC"/>
    <w:rsid w:val="00B42E45"/>
    <w:rsid w:val="00B46E33"/>
    <w:rsid w:val="00B57EAD"/>
    <w:rsid w:val="00B621EA"/>
    <w:rsid w:val="00B636B0"/>
    <w:rsid w:val="00B64D04"/>
    <w:rsid w:val="00B663DF"/>
    <w:rsid w:val="00B74080"/>
    <w:rsid w:val="00B86A2E"/>
    <w:rsid w:val="00BA3E2C"/>
    <w:rsid w:val="00BA5E3D"/>
    <w:rsid w:val="00BC52AE"/>
    <w:rsid w:val="00BE51AA"/>
    <w:rsid w:val="00BF413D"/>
    <w:rsid w:val="00C03154"/>
    <w:rsid w:val="00C157DF"/>
    <w:rsid w:val="00C529C6"/>
    <w:rsid w:val="00C73234"/>
    <w:rsid w:val="00C80097"/>
    <w:rsid w:val="00C853C8"/>
    <w:rsid w:val="00C87401"/>
    <w:rsid w:val="00CA515D"/>
    <w:rsid w:val="00CE2FD1"/>
    <w:rsid w:val="00D04F1F"/>
    <w:rsid w:val="00D076E1"/>
    <w:rsid w:val="00D11353"/>
    <w:rsid w:val="00D2743C"/>
    <w:rsid w:val="00D50BC2"/>
    <w:rsid w:val="00D7226D"/>
    <w:rsid w:val="00D739D0"/>
    <w:rsid w:val="00D74823"/>
    <w:rsid w:val="00D866A2"/>
    <w:rsid w:val="00D92517"/>
    <w:rsid w:val="00D93122"/>
    <w:rsid w:val="00D945E8"/>
    <w:rsid w:val="00DA3128"/>
    <w:rsid w:val="00DA3997"/>
    <w:rsid w:val="00DB1EAC"/>
    <w:rsid w:val="00DC4FAF"/>
    <w:rsid w:val="00DD2471"/>
    <w:rsid w:val="00DD3BE1"/>
    <w:rsid w:val="00DD403A"/>
    <w:rsid w:val="00DE724D"/>
    <w:rsid w:val="00DF6E61"/>
    <w:rsid w:val="00E002B7"/>
    <w:rsid w:val="00E11346"/>
    <w:rsid w:val="00E20301"/>
    <w:rsid w:val="00E573EA"/>
    <w:rsid w:val="00E602AC"/>
    <w:rsid w:val="00E7410D"/>
    <w:rsid w:val="00E77742"/>
    <w:rsid w:val="00E8713B"/>
    <w:rsid w:val="00EA4A5C"/>
    <w:rsid w:val="00EB3168"/>
    <w:rsid w:val="00EB4248"/>
    <w:rsid w:val="00EB6990"/>
    <w:rsid w:val="00F054C8"/>
    <w:rsid w:val="00F16D63"/>
    <w:rsid w:val="00F27DD3"/>
    <w:rsid w:val="00F30045"/>
    <w:rsid w:val="00F40F49"/>
    <w:rsid w:val="00F50907"/>
    <w:rsid w:val="00F54124"/>
    <w:rsid w:val="00F64BED"/>
    <w:rsid w:val="00F7226A"/>
    <w:rsid w:val="00F750EC"/>
    <w:rsid w:val="00F86076"/>
    <w:rsid w:val="00FA6E69"/>
    <w:rsid w:val="00FB3C62"/>
    <w:rsid w:val="00FC05FB"/>
    <w:rsid w:val="00FC0CE8"/>
    <w:rsid w:val="00FE3143"/>
    <w:rsid w:val="00FE4187"/>
    <w:rsid w:val="00FE52A9"/>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s://github.com/surgebiswas/transcriptome_compression/tree/master/data_download"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hyperlink" Target="http://geneontology.org/page/download-annotation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F8BAD-3B7B-4347-BC0D-45B5B2B8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12536</Words>
  <Characters>74470</Characters>
  <Application>Microsoft Macintosh Word</Application>
  <DocSecurity>0</DocSecurity>
  <Lines>1262</Lines>
  <Paragraphs>213</Paragraphs>
  <ScaleCrop>false</ScaleCrop>
  <Company/>
  <LinksUpToDate>false</LinksUpToDate>
  <CharactersWithSpaces>86793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3</cp:revision>
  <dcterms:created xsi:type="dcterms:W3CDTF">2016-06-12T06:20:00Z</dcterms:created>
  <dcterms:modified xsi:type="dcterms:W3CDTF">2016-06-12T06:28:00Z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