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15DE69E8" w:rsidR="00CD4A09" w:rsidRPr="002B27D3" w:rsidRDefault="002B27D3" w:rsidP="00CD4A09">
      <w:pPr>
        <w:jc w:val="center"/>
        <w:rPr>
          <w:rFonts w:ascii="Arial" w:hAnsi="Arial" w:cs="Arial"/>
          <w:sz w:val="28"/>
          <w:szCs w:val="22"/>
        </w:rPr>
      </w:pPr>
      <w:r w:rsidRPr="002B27D3">
        <w:rPr>
          <w:rFonts w:ascii="Arial" w:hAnsi="Arial" w:cs="Arial"/>
          <w:sz w:val="28"/>
          <w:szCs w:val="22"/>
        </w:rPr>
        <w:t xml:space="preserve">Tradict enables </w:t>
      </w:r>
      <w:r w:rsidR="00460457">
        <w:rPr>
          <w:rFonts w:ascii="Arial" w:hAnsi="Arial" w:cs="Arial"/>
          <w:sz w:val="28"/>
          <w:szCs w:val="22"/>
        </w:rPr>
        <w:t>accurate prediction of eukaryotic transcriptional states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r w:rsidRPr="001D7889">
        <w:rPr>
          <w:rFonts w:ascii="Arial" w:hAnsi="Arial"/>
          <w:sz w:val="22"/>
          <w:szCs w:val="22"/>
        </w:rPr>
        <w:t>Surojit Biswas</w:t>
      </w:r>
      <w:r w:rsidRPr="001D7889">
        <w:rPr>
          <w:rFonts w:ascii="Arial" w:hAnsi="Arial"/>
          <w:sz w:val="22"/>
          <w:szCs w:val="22"/>
          <w:vertAlign w:val="superscript"/>
        </w:rPr>
        <w:t>1</w:t>
      </w:r>
      <w:r w:rsidR="005A75B4">
        <w:rPr>
          <w:rFonts w:ascii="Arial" w:hAnsi="Arial"/>
          <w:sz w:val="22"/>
          <w:szCs w:val="22"/>
          <w:vertAlign w:val="superscript"/>
        </w:rPr>
        <w:t>,</w:t>
      </w:r>
      <w:r w:rsidR="005A75B4">
        <w:rPr>
          <w:rFonts w:ascii="Arial" w:hAnsi="Arial" w:cs="Arial"/>
          <w:sz w:val="22"/>
          <w:szCs w:val="22"/>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Botanical Institute, Biocenter, University of Cologne, D-50674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10343BC7" w:rsidR="005A31E9" w:rsidRDefault="00D8267D" w:rsidP="00246CC6">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t>
      </w:r>
      <w:r w:rsidR="00460457">
        <w:rPr>
          <w:rFonts w:ascii="Arial" w:hAnsi="Arial" w:cs="Arial"/>
          <w:bCs/>
          <w:sz w:val="22"/>
          <w:szCs w:val="22"/>
        </w:rPr>
        <w:t>it may</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w:t>
      </w:r>
      <w:r w:rsidR="0098277B">
        <w:rPr>
          <w:rFonts w:ascii="Arial" w:hAnsi="Arial" w:cs="Arial"/>
          <w:bCs/>
          <w:sz w:val="22"/>
          <w:szCs w:val="22"/>
        </w:rPr>
        <w:t>ed</w:t>
      </w:r>
      <w:r w:rsidR="00300230">
        <w:rPr>
          <w:rFonts w:ascii="Arial" w:hAnsi="Arial" w:cs="Arial"/>
          <w:bCs/>
          <w:sz w:val="22"/>
          <w:szCs w:val="22"/>
        </w:rPr>
        <w:t xml:space="preserve">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w:t>
      </w:r>
      <w:r w:rsidR="0098277B">
        <w:rPr>
          <w:rFonts w:ascii="Arial" w:hAnsi="Arial" w:cs="Arial"/>
          <w:bCs/>
          <w:sz w:val="22"/>
          <w:szCs w:val="22"/>
        </w:rPr>
        <w:t>100 marker genes to predict the expression of a comprehensive, but interpretable list of transcriptional programs that represent the major biological processes and pathways</w:t>
      </w:r>
      <w:r w:rsidR="005D6BA2">
        <w:rPr>
          <w:rFonts w:ascii="Arial" w:hAnsi="Arial" w:cs="Arial"/>
          <w:bCs/>
          <w:sz w:val="22"/>
          <w:szCs w:val="22"/>
        </w:rPr>
        <w:t xml:space="preserve"> of the cell.</w:t>
      </w:r>
      <w:r w:rsidR="00246CC6">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RNA-Seq datasets, we show that </w:t>
      </w:r>
      <w:r w:rsidR="00300230">
        <w:rPr>
          <w:rFonts w:ascii="Arial" w:hAnsi="Arial" w:cs="Arial"/>
          <w:bCs/>
          <w:sz w:val="22"/>
          <w:szCs w:val="22"/>
        </w:rPr>
        <w:t xml:space="preserve">Tradict is robust to noise and accurate.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D5CD6">
          <w:pgSz w:w="12240" w:h="15840"/>
          <w:pgMar w:top="1440" w:right="1080" w:bottom="1440" w:left="108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53F41E05"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suggest that the effective dimension of the transcriptome should be far less than the total number of genes it contains. If true to a large enough extent, it may be possible to faithfully compress and prospectively </w:t>
      </w:r>
      <w:r w:rsidR="009A403D">
        <w:rPr>
          <w:rFonts w:ascii="Arial" w:hAnsi="Arial" w:cs="Arial"/>
          <w:sz w:val="22"/>
          <w:szCs w:val="22"/>
        </w:rPr>
        <w:t>summarize entire transcriptomes</w:t>
      </w:r>
      <w:r w:rsidR="00201F25">
        <w:rPr>
          <w:rFonts w:ascii="Arial" w:hAnsi="Arial" w:cs="Arial"/>
          <w:sz w:val="22"/>
          <w:szCs w:val="22"/>
        </w:rPr>
        <w:t xml:space="preserve"> </w:t>
      </w:r>
      <w:r w:rsidR="002D4BBA">
        <w:rPr>
          <w:rFonts w:ascii="Arial" w:hAnsi="Arial" w:cs="Arial"/>
          <w:sz w:val="22"/>
          <w:szCs w:val="22"/>
        </w:rPr>
        <w:t xml:space="preserve">by measuring </w:t>
      </w:r>
      <w:r w:rsidR="008F1BE2">
        <w:rPr>
          <w:rFonts w:ascii="Arial" w:hAnsi="Arial" w:cs="Arial"/>
          <w:sz w:val="22"/>
          <w:szCs w:val="22"/>
        </w:rPr>
        <w:t>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3CF1595B" w14:textId="5730802E" w:rsidR="00102BC7" w:rsidRDefault="00102BC7" w:rsidP="001D7889">
      <w:pPr>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60288" behindDoc="0" locked="0" layoutInCell="1" allowOverlap="1" wp14:anchorId="39E7BDFF" wp14:editId="226E8AC9">
                <wp:simplePos x="0" y="0"/>
                <wp:positionH relativeFrom="column">
                  <wp:posOffset>114300</wp:posOffset>
                </wp:positionH>
                <wp:positionV relativeFrom="paragraph">
                  <wp:posOffset>15240</wp:posOffset>
                </wp:positionV>
                <wp:extent cx="6400800" cy="396875"/>
                <wp:effectExtent l="0" t="0" r="0" b="9525"/>
                <wp:wrapThrough wrapText="bothSides">
                  <wp:wrapPolygon edited="0">
                    <wp:start x="0" y="0"/>
                    <wp:lineTo x="0" y="20736"/>
                    <wp:lineTo x="21514" y="20736"/>
                    <wp:lineTo x="2151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4008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A542B2" w:rsidRDefault="00A542B2"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2B2" w:rsidRPr="005E5B39" w:rsidRDefault="00A542B2"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9pt;margin-top:1.2pt;width:7in;height: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wU6o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WZouUzBxsH06&#10;WyxP5xgmeb1tnQ+fhVEEhYI66F2ElB2ufRhcRxd8zBvZVptWSjygYS0dOTDoc9e0QRyDv/GSGn21&#10;wVtDwEEjIlGGV1gOGYOInph7bOKP9fx0Wp7OzyaLcp5NZlm6nJRlOp1cbcq0TGeb9dn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" stroked="f">
                <v:textbox style="mso-fit-shape-to-text:t" inset="0,0,0,0">
                  <w:txbxContent>
                    <w:p w14:paraId="3AD375A9" w14:textId="66B49501" w:rsidR="00A542B2" w:rsidRDefault="00A542B2" w:rsidP="005E5B39">
                      <w:pPr>
                        <w:keepNext/>
                        <w:jc w:val="both"/>
                        <w:rPr>
                          <w:rFonts w:ascii="Arial" w:hAnsi="Arial" w:cs="Arial"/>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38C53223" w14:textId="77777777" w:rsidR="00A542B2" w:rsidRPr="005E5B39" w:rsidRDefault="00A542B2" w:rsidP="005E5B39">
                      <w:pPr>
                        <w:keepNext/>
                        <w:jc w:val="both"/>
                        <w:rPr>
                          <w:sz w:val="18"/>
                          <w:szCs w:val="18"/>
                        </w:rPr>
                      </w:pPr>
                    </w:p>
                  </w:txbxContent>
                </v:textbox>
                <w10:wrap type="through"/>
              </v:shape>
            </w:pict>
          </mc:Fallback>
        </mc:AlternateContent>
      </w:r>
    </w:p>
    <w:p w14:paraId="434DCF33" w14:textId="47A2774F" w:rsidR="00B72FDC" w:rsidRDefault="00795FAD" w:rsidP="007730A6">
      <w:pPr>
        <w:ind w:firstLine="720"/>
        <w:jc w:val="both"/>
        <w:rPr>
          <w:rFonts w:ascii="Arial" w:hAnsi="Arial" w:cs="Arial"/>
          <w:sz w:val="22"/>
          <w:szCs w:val="22"/>
        </w:rPr>
      </w:pPr>
      <w:r>
        <w:rPr>
          <w:rFonts w:ascii="Arial" w:hAnsi="Arial" w:cs="Arial"/>
          <w:noProof/>
          <w:sz w:val="22"/>
        </w:rPr>
        <w:drawing>
          <wp:anchor distT="0" distB="0" distL="114300" distR="114300" simplePos="0" relativeHeight="251658240" behindDoc="0" locked="0" layoutInCell="1" allowOverlap="1" wp14:anchorId="76CA1900" wp14:editId="21C44B6A">
            <wp:simplePos x="0" y="0"/>
            <wp:positionH relativeFrom="column">
              <wp:posOffset>0</wp:posOffset>
            </wp:positionH>
            <wp:positionV relativeFrom="paragraph">
              <wp:posOffset>-321310</wp:posOffset>
            </wp:positionV>
            <wp:extent cx="6400800" cy="2263140"/>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400800" cy="226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CA">
        <w:rPr>
          <w:rFonts w:ascii="Arial" w:hAnsi="Arial" w:cs="Arial"/>
          <w:sz w:val="22"/>
          <w:szCs w:val="22"/>
        </w:rPr>
        <w:t xml:space="preserve">Indeed, previous studies </w:t>
      </w:r>
      <w:r w:rsidR="004403E2">
        <w:rPr>
          <w:rFonts w:ascii="Arial" w:hAnsi="Arial" w:cs="Arial"/>
          <w:sz w:val="22"/>
          <w:szCs w:val="22"/>
        </w:rPr>
        <w:t>have</w:t>
      </w:r>
      <w:r w:rsidR="00FC2DCA">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sidR="00FC2DCA">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102BC7">
        <w:rPr>
          <w:rFonts w:ascii="Arial" w:hAnsi="Arial" w:cs="Arial"/>
          <w:sz w:val="22"/>
          <w:szCs w:val="22"/>
        </w:rPr>
        <w:t>therefore</w:t>
      </w:r>
      <w:r w:rsidR="00C410BD">
        <w:rPr>
          <w:rFonts w:ascii="Arial" w:hAnsi="Arial" w:cs="Arial"/>
          <w:sz w:val="22"/>
          <w:szCs w:val="22"/>
        </w:rPr>
        <w:t xml:space="preserve"> consume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5EFB75C5" w:rsidR="0056167C" w:rsidRPr="004C2351" w:rsidRDefault="007C25D2" w:rsidP="007B0651">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D158C5">
        <w:rPr>
          <w:rFonts w:ascii="Arial" w:hAnsi="Arial" w:cs="Arial"/>
          <w:sz w:val="22"/>
          <w:szCs w:val="22"/>
        </w:rPr>
        <w:t xml:space="preserve"> </w:t>
      </w:r>
      <w:r w:rsidR="001C0FE0">
        <w:rPr>
          <w:rFonts w:ascii="Arial" w:hAnsi="Arial" w:cs="Arial"/>
          <w:sz w:val="22"/>
          <w:szCs w:val="22"/>
        </w:rPr>
        <w:t>robust-to-noise</w:t>
      </w:r>
      <w:r w:rsidR="00A04CE3">
        <w:rPr>
          <w:rFonts w:ascii="Arial" w:hAnsi="Arial" w:cs="Arial"/>
          <w:sz w:val="22"/>
          <w:szCs w:val="22"/>
        </w:rPr>
        <w:t xml:space="preserve"> and probabilistically </w:t>
      </w:r>
      <w:r w:rsidR="00D21F71">
        <w:rPr>
          <w:rFonts w:ascii="Arial" w:hAnsi="Arial" w:cs="Arial"/>
          <w:sz w:val="22"/>
          <w:szCs w:val="22"/>
        </w:rPr>
        <w:t xml:space="preserve">sound </w:t>
      </w:r>
      <w:r w:rsidR="00E20794">
        <w:rPr>
          <w:rFonts w:ascii="Arial" w:hAnsi="Arial" w:cs="Arial"/>
          <w:sz w:val="22"/>
          <w:szCs w:val="22"/>
        </w:rPr>
        <w:t>a</w:t>
      </w:r>
      <w:r>
        <w:rPr>
          <w:rFonts w:ascii="Arial" w:hAnsi="Arial" w:cs="Arial"/>
          <w:sz w:val="22"/>
          <w:szCs w:val="22"/>
        </w:rPr>
        <w:t>lgorithm</w:t>
      </w:r>
      <w:r w:rsidR="00D158C5">
        <w:rPr>
          <w:rFonts w:ascii="Arial" w:hAnsi="Arial" w:cs="Arial"/>
          <w:sz w:val="22"/>
          <w:szCs w:val="22"/>
        </w:rPr>
        <w:t>,</w:t>
      </w:r>
      <w:r>
        <w:rPr>
          <w:rFonts w:ascii="Arial" w:hAnsi="Arial" w:cs="Arial"/>
          <w:sz w:val="22"/>
          <w:szCs w:val="22"/>
        </w:rPr>
        <w:t xml:space="preserve"> </w:t>
      </w:r>
      <w:r w:rsidR="00E20794">
        <w:rPr>
          <w:rFonts w:ascii="Arial" w:hAnsi="Arial" w:cs="Arial"/>
          <w:sz w:val="22"/>
          <w:szCs w:val="22"/>
        </w:rPr>
        <w:t xml:space="preserve">for </w:t>
      </w:r>
      <w:r w:rsidR="000B3D93">
        <w:rPr>
          <w:rFonts w:ascii="Arial" w:hAnsi="Arial" w:cs="Arial"/>
          <w:sz w:val="22"/>
          <w:szCs w:val="22"/>
        </w:rPr>
        <w:t>inferring</w:t>
      </w:r>
      <w:r w:rsidR="006C5897">
        <w:rPr>
          <w:rFonts w:ascii="Arial" w:hAnsi="Arial" w:cs="Arial"/>
          <w:sz w:val="22"/>
          <w:szCs w:val="22"/>
        </w:rPr>
        <w:t xml:space="preserve"> </w:t>
      </w:r>
      <w:r w:rsidR="00CD3F0C">
        <w:rPr>
          <w:rFonts w:ascii="Arial" w:hAnsi="Arial" w:cs="Arial"/>
          <w:sz w:val="22"/>
          <w:szCs w:val="22"/>
        </w:rPr>
        <w:t>gene abundances</w:t>
      </w:r>
      <w:r w:rsidR="00F8303F">
        <w:rPr>
          <w:rFonts w:ascii="Arial" w:hAnsi="Arial" w:cs="Arial"/>
          <w:sz w:val="22"/>
          <w:szCs w:val="22"/>
        </w:rPr>
        <w:t xml:space="preserve"> transcriptome-wide, and predicting </w:t>
      </w:r>
      <w:r w:rsidR="00BA2DDD">
        <w:rPr>
          <w:rFonts w:ascii="Arial" w:hAnsi="Arial" w:cs="Arial"/>
          <w:sz w:val="22"/>
          <w:szCs w:val="22"/>
        </w:rPr>
        <w:t>the</w:t>
      </w:r>
      <w:r w:rsidR="00E20794">
        <w:rPr>
          <w:rFonts w:ascii="Arial" w:hAnsi="Arial" w:cs="Arial"/>
          <w:sz w:val="22"/>
          <w:szCs w:val="22"/>
        </w:rPr>
        <w:t xml:space="preserve"> </w:t>
      </w:r>
      <w:r w:rsidR="00D158C5">
        <w:rPr>
          <w:rFonts w:ascii="Arial" w:hAnsi="Arial" w:cs="Arial"/>
          <w:sz w:val="22"/>
          <w:szCs w:val="22"/>
        </w:rPr>
        <w:t>expression of a</w:t>
      </w:r>
      <w:r w:rsidR="006141FA">
        <w:rPr>
          <w:rFonts w:ascii="Arial" w:hAnsi="Arial" w:cs="Arial"/>
          <w:sz w:val="22"/>
          <w:szCs w:val="22"/>
        </w:rPr>
        <w:t xml:space="preserve"> transcriptomically</w:t>
      </w:r>
      <w:r w:rsidR="00D158C5">
        <w:rPr>
          <w:rFonts w:ascii="Arial" w:hAnsi="Arial" w:cs="Arial"/>
          <w:sz w:val="22"/>
          <w:szCs w:val="22"/>
        </w:rPr>
        <w:t xml:space="preserve"> comprehensive, but interpretable list of </w:t>
      </w:r>
      <w:r w:rsidR="00D158C5" w:rsidRPr="00EE7627">
        <w:rPr>
          <w:rFonts w:ascii="Arial" w:hAnsi="Arial" w:cs="Arial"/>
          <w:i/>
          <w:sz w:val="22"/>
          <w:szCs w:val="22"/>
        </w:rPr>
        <w:t>transcriptional programs</w:t>
      </w:r>
      <w:r w:rsidR="009C7DE4">
        <w:rPr>
          <w:rFonts w:ascii="Arial" w:hAnsi="Arial" w:cs="Arial"/>
          <w:i/>
          <w:sz w:val="22"/>
          <w:szCs w:val="22"/>
        </w:rPr>
        <w:t xml:space="preserve"> </w:t>
      </w:r>
      <w:r w:rsidR="009C7DE4">
        <w:rPr>
          <w:rFonts w:ascii="Arial" w:hAnsi="Arial" w:cs="Arial"/>
          <w:sz w:val="22"/>
          <w:szCs w:val="22"/>
        </w:rPr>
        <w:t>that represent the major biological processes and pathways of the cell</w:t>
      </w:r>
      <w:r w:rsidR="00B02B51">
        <w:rPr>
          <w:rFonts w:ascii="Arial" w:hAnsi="Arial" w:cs="Arial"/>
          <w:sz w:val="22"/>
          <w:szCs w:val="22"/>
        </w:rPr>
        <w:t>.</w:t>
      </w:r>
      <w:r w:rsidR="00E20794">
        <w:rPr>
          <w:rFonts w:ascii="Arial" w:hAnsi="Arial" w:cs="Arial"/>
          <w:sz w:val="22"/>
          <w:szCs w:val="22"/>
        </w:rPr>
        <w:t xml:space="preserve"> </w:t>
      </w:r>
      <w:r w:rsidR="00C24D3B">
        <w:rPr>
          <w:rFonts w:ascii="Arial" w:hAnsi="Arial" w:cs="Arial"/>
          <w:sz w:val="22"/>
          <w:szCs w:val="22"/>
        </w:rPr>
        <w:t>Tradict makes its predictions using only the expression measurement of a single, context-independent, machine-learned subset of 100 marker genes.</w:t>
      </w:r>
      <w:r w:rsidR="007B0651">
        <w:rPr>
          <w:rFonts w:ascii="Arial" w:hAnsi="Arial" w:cs="Arial"/>
          <w:sz w:val="22"/>
          <w:szCs w:val="22"/>
        </w:rPr>
        <w:t xml:space="preserve"> Importantly, Tradict’s predictions</w:t>
      </w:r>
      <w:r w:rsidR="00B02B51">
        <w:rPr>
          <w:rFonts w:ascii="Arial" w:hAnsi="Arial" w:cs="Arial"/>
          <w:sz w:val="22"/>
          <w:szCs w:val="22"/>
        </w:rPr>
        <w:t xml:space="preserve"> </w:t>
      </w:r>
      <w:r w:rsidR="00A35FE8">
        <w:rPr>
          <w:rFonts w:ascii="Arial" w:hAnsi="Arial" w:cs="Arial"/>
          <w:sz w:val="22"/>
          <w:szCs w:val="22"/>
        </w:rPr>
        <w:t>are</w:t>
      </w:r>
      <w:r w:rsidR="007B0651">
        <w:rPr>
          <w:rFonts w:ascii="Arial" w:hAnsi="Arial" w:cs="Arial"/>
          <w:sz w:val="22"/>
          <w:szCs w:val="22"/>
        </w:rPr>
        <w:t xml:space="preserve"> </w:t>
      </w:r>
      <w:r w:rsidR="00711039">
        <w:rPr>
          <w:rFonts w:ascii="Arial" w:hAnsi="Arial" w:cs="Arial"/>
          <w:sz w:val="22"/>
          <w:szCs w:val="22"/>
        </w:rPr>
        <w:t>posterior distributions</w:t>
      </w:r>
      <w:r w:rsidR="003811D4">
        <w:rPr>
          <w:rFonts w:ascii="Arial" w:hAnsi="Arial" w:cs="Arial"/>
          <w:sz w:val="22"/>
          <w:szCs w:val="22"/>
        </w:rPr>
        <w:t xml:space="preserve"> over unmeasured genes and programs, and </w:t>
      </w:r>
      <w:r w:rsidR="005A477D">
        <w:rPr>
          <w:rFonts w:ascii="Arial" w:hAnsi="Arial" w:cs="Arial"/>
          <w:sz w:val="22"/>
          <w:szCs w:val="22"/>
        </w:rPr>
        <w:t xml:space="preserve">therefore </w:t>
      </w:r>
      <w:r w:rsidR="00716490">
        <w:rPr>
          <w:rFonts w:ascii="Arial" w:hAnsi="Arial" w:cs="Arial"/>
          <w:sz w:val="22"/>
          <w:szCs w:val="22"/>
        </w:rPr>
        <w:t>simultaneously provide both a point estimate and credible interval over predicted expression</w:t>
      </w:r>
      <w:r w:rsidR="00DA6BD8">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w:t>
      </w:r>
      <w:r w:rsidR="000A51D1">
        <w:rPr>
          <w:rFonts w:ascii="Arial" w:hAnsi="Arial" w:cs="Arial"/>
          <w:sz w:val="22"/>
          <w:szCs w:val="22"/>
        </w:rPr>
        <w:t xml:space="preserve">show Tradict prospectively </w:t>
      </w:r>
      <w:r w:rsidR="00CA2327">
        <w:rPr>
          <w:rFonts w:ascii="Arial" w:hAnsi="Arial" w:cs="Arial"/>
          <w:sz w:val="22"/>
          <w:szCs w:val="22"/>
        </w:rPr>
        <w:t>models</w:t>
      </w:r>
      <w:r w:rsidR="000A51D1">
        <w:rPr>
          <w:rFonts w:ascii="Arial" w:hAnsi="Arial" w:cs="Arial"/>
          <w:sz w:val="22"/>
          <w:szCs w:val="22"/>
        </w:rPr>
        <w:t xml:space="preserve"> program e</w:t>
      </w:r>
      <w:r w:rsidR="00885671">
        <w:rPr>
          <w:rFonts w:ascii="Arial" w:hAnsi="Arial" w:cs="Arial"/>
          <w:sz w:val="22"/>
          <w:szCs w:val="22"/>
        </w:rPr>
        <w:t>xpression with striking accura</w:t>
      </w:r>
      <w:r w:rsidR="00CA2327">
        <w:rPr>
          <w:rFonts w:ascii="Arial" w:hAnsi="Arial" w:cs="Arial"/>
          <w:sz w:val="22"/>
          <w:szCs w:val="22"/>
        </w:rPr>
        <w:t>cy</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w:t>
      </w:r>
      <w:r w:rsidR="00BA2502">
        <w:rPr>
          <w:rFonts w:ascii="Arial" w:hAnsi="Arial" w:cs="Arial"/>
          <w:sz w:val="22"/>
          <w:szCs w:val="22"/>
        </w:rPr>
        <w:t>probabilistically</w:t>
      </w:r>
      <w:r w:rsidR="00E941D4">
        <w:rPr>
          <w:rFonts w:ascii="Arial" w:hAnsi="Arial" w:cs="Arial"/>
          <w:sz w:val="22"/>
          <w:szCs w:val="22"/>
        </w:rPr>
        <w:t xml:space="preserve"> reasonable </w:t>
      </w:r>
      <w:r w:rsidR="0027713E">
        <w:rPr>
          <w:rFonts w:ascii="Arial" w:hAnsi="Arial" w:cs="Arial"/>
          <w:sz w:val="22"/>
          <w:szCs w:val="22"/>
        </w:rPr>
        <w:t>multivariate count/non-negative data model</w:t>
      </w:r>
      <w:r w:rsidR="000C627C">
        <w:rPr>
          <w:rFonts w:ascii="Arial" w:hAnsi="Arial" w:cs="Arial"/>
          <w:sz w:val="22"/>
          <w:szCs w:val="22"/>
        </w:rPr>
        <w:t>, and highlights the power of directly modeling the expression of</w:t>
      </w:r>
      <w:r w:rsidR="00105A75">
        <w:rPr>
          <w:rFonts w:ascii="Arial" w:hAnsi="Arial" w:cs="Arial"/>
          <w:sz w:val="22"/>
          <w:szCs w:val="22"/>
        </w:rPr>
        <w:t xml:space="preserve"> an encompassing list of</w:t>
      </w:r>
      <w:r w:rsidR="000C627C">
        <w:rPr>
          <w:rFonts w:ascii="Arial" w:hAnsi="Arial" w:cs="Arial"/>
          <w:sz w:val="22"/>
          <w:szCs w:val="22"/>
        </w:rPr>
        <w:t xml:space="preserve"> transcriptional programs in a supervised manner</w:t>
      </w:r>
      <w:r w:rsidR="00676A78">
        <w:rPr>
          <w:rFonts w:ascii="Arial" w:hAnsi="Arial" w:cs="Arial"/>
          <w:sz w:val="22"/>
          <w:szCs w:val="22"/>
        </w:rPr>
        <w:t xml:space="preserve">. </w:t>
      </w:r>
      <w:r w:rsidR="00967BE5">
        <w:rPr>
          <w:rFonts w:ascii="Arial" w:hAnsi="Arial" w:cs="Arial"/>
          <w:sz w:val="22"/>
          <w:szCs w:val="22"/>
        </w:rPr>
        <w:t>Consequently, we</w:t>
      </w:r>
      <w:r w:rsidR="00676A78">
        <w:rPr>
          <w:rFonts w:ascii="Arial" w:hAnsi="Arial" w:cs="Arial"/>
          <w:sz w:val="22"/>
          <w:szCs w:val="22"/>
        </w:rPr>
        <w:t xml:space="preserv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C26AA6">
        <w:rPr>
          <w:rFonts w:ascii="Arial" w:hAnsi="Arial" w:cs="Arial"/>
          <w:sz w:val="22"/>
        </w:rPr>
        <w:fldChar w:fldCharType="begin" w:fldLock="1"/>
      </w:r>
      <w:r w:rsidR="00326C7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"10.1002/0471142727.mb0413s98", "ISBN" : "0471142727", "author" : [ { "dropping-particle" : "", "family" : "Li", "given" : "Hairi", "non-dropping-particle" : "", "parse-names" : false, "suffix" : "" }, { "dropping-particle" : "", "family" : "Qiu", "given" : "Jinsong", "non-dropping-particle" : "", "parse-names" : false, "suffix" : "" }, { "dropping-particle" : "", "family" : "Fu", "given" : "Xiang-dong", "non-dropping-particle" : "", "parse-names" : false, "suffix" : "" } ], "container-title" : "Current Protocols in Molecular Biology", "id" : "ITEM-4", "issue" : "April", "issued" : { "date-parts" : [ [ "2012" ] ] }, "page" : "1-9", "title" : "RASL-seq for Massively Parallel and Quantitative Analysis of Gene Expression", "type" : "article-journal" }, "uris" : [ "http://www.mendeley.com/documents/?uuid=137de9dc-978f-4e1c-a9bc-5c825de75489" ] }, { "id" : "ITEM-5", "itemData" : { "DOI" : "10.1093/nar/gku636", "author" : [ { "dropping-particle" : "", "family" : "Larman", "given" : "H Benjamin", "non-dropping-particle" : "", "parse-names" : false, "suffix" : "" }, { "dropping-particle" : "", "family" : "Scott", "given" : "Erick R", "non-dropping-particle" : "", "parse-names" : false, "suffix" : "" }, { "dropping-particle" : "", "family" : "Wogan", "given" : "Megan", "non-dropping-particle" : "", "parse-names" : false, "suffix" : "" }, { "dropping-particle" : "", "family" : "Oliveira", "given" : "Glenn", "non-dropping-particle" : "", "parse-names" : false, "suffix" : "" }, { "dropping-particle" : "", "family" : "Torkamani", "given" : "Ali", "non-dropping-particle" : "", "parse-names" : false, "suffix" : "" }, { "dropping-particle" : "", "family" : "Schultz", "given" : "Peter G", "non-dropping-particle" : "", "parse-names" : false, "suffix" : "" } ], "container-title" : "Nucleic acids research", "id" : "ITEM-5", "issued" : { "date-parts" : [ [ "2014" ] ] }, "page" : "1-12", "title" : "Sensitive, multiplex and direct quantification of RNA sequences using a modified RASL assay", "type" : "article-journal" }, "uris" : [ "http://www.mendeley.com/documents/?uuid=17ea42bc-7fff-46f2-a17b-b8ccabb8ddfe" ] }, { "id" : "ITEM-6", "itemData" : { "author" : [ { "dropping-particle" : "", "family" : "Scott", "given" : "Erick R", "non-dropping-particle" : "", "parse-names" : false, "suffix" : "" }, { "dropping-particle" : "", "family" : "Larman", "given" : "H Benjamin", "non-dropping-particle" : "", "parse-names" : false, "suffix" : "" }, { "dropping-particle" : "", "family" : "Torkamani", "given" : "Ali", "non-dropping-particle" : "", "parse-names" : false, "suffix" : "" }, { "dropping-particle" : "", "family" : "Schork", "given" : "Nicholas J", "non-dropping-particle" : "", "parse-names" : false, "suffix" : "" }, { "dropping-particle" : "", "family" : "Wineinger", "given" : "Nathan", "non-dropping-particle" : "", "parse-names" : false, "suffix" : "" }, { "dropping-particle" : "", "family" : "Nanis", "given" : "Max", "non-dropping-particle" : "", "parse-names" : false, "suffix" : "" }, { "dropping-particle" : "", "family" : "Thompson", "given" : "Ryan", "non-dropping-particle" : "", "parse-names" : false, "suffix" : "" }, { "dropping-particle" : "", "family" : "Zavareh", "given" : "Reza B", "non-dropping-particle" : "", "parse-names" : false, "suffix" : "" }, { "dropping-particle" : "", "family" : "Lairson", "given" : "Luke L", "non-dropping-particle" : "", "parse-names" : false, "suffix" : "" }, { "dropping-particle" : "", "family" : "Schultz", "given" : "Peter G", "non-dropping-particle" : "", "parse-names" : false, "suffix" : "" }, { "dropping-particle" : "", "family" : "Andrew", "given" : "I", "non-dropping-particle" : "", "parse-names" : false, "suffix" : "" } ], "container-title" : "bioRxiv", "id" : "ITEM-6", "issued" : { "date-parts" : [ [ "2016" ] ] }, "title" : "RASLseqTools: open-source methods for designing and analyzing RNA-mediated oligonucleotide Annealing, Selection, and, Ligation sequencing (RASL-seq) experiments", "type" : "article-journal" }, "uris" : [ "http://www.mendeley.com/documents/?uuid=406a649d-3b7d-41b3-a2c1-3f685d1a45d0" ] } ], "mendeley" : { "formattedCitation" : "&lt;sup&gt;19\u201324&lt;/sup&gt;", "plainTextFormattedCitation" : "19\u201324", "previouslyFormattedCitation" : "&lt;sup&gt;19\u201324&lt;/sup&gt;" }, "properties" : { "noteIndex" : 0 }, "schema" : "https://github.com/citation-style-language/schema/raw/master/csl-citation.json" }</w:instrText>
      </w:r>
      <w:r w:rsidR="00C26AA6">
        <w:rPr>
          <w:rFonts w:ascii="Arial" w:hAnsi="Arial" w:cs="Arial"/>
          <w:sz w:val="22"/>
        </w:rPr>
        <w:fldChar w:fldCharType="separate"/>
      </w:r>
      <w:r w:rsidR="00C26AA6" w:rsidRPr="00C26AA6">
        <w:rPr>
          <w:rFonts w:ascii="Arial" w:hAnsi="Arial" w:cs="Arial"/>
          <w:noProof/>
          <w:sz w:val="22"/>
          <w:vertAlign w:val="superscript"/>
        </w:rPr>
        <w:t>19–24</w:t>
      </w:r>
      <w:r w:rsidR="00C26AA6">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w:t>
      </w:r>
      <w:r w:rsidR="00DC6FA1">
        <w:rPr>
          <w:rFonts w:ascii="Arial" w:hAnsi="Arial" w:cs="Arial"/>
          <w:sz w:val="22"/>
        </w:rPr>
        <w:t>.</w:t>
      </w:r>
      <w:r w:rsidR="00676A78" w:rsidRPr="00CF2215">
        <w:rPr>
          <w:rFonts w:ascii="Arial" w:hAnsi="Arial" w:cs="Arial"/>
          <w:sz w:val="22"/>
        </w:rPr>
        <w:t xml:space="preserve"> </w:t>
      </w:r>
    </w:p>
    <w:p w14:paraId="3A94886F" w14:textId="2742FD1F" w:rsidR="001B69F7" w:rsidRDefault="001B69F7" w:rsidP="00C67B14">
      <w:pPr>
        <w:pStyle w:val="NormalWeb"/>
        <w:spacing w:before="0" w:beforeAutospacing="0" w:after="0" w:afterAutospacing="0"/>
        <w:ind w:firstLine="720"/>
        <w:jc w:val="both"/>
        <w:rPr>
          <w:rFonts w:ascii="Arial" w:hAnsi="Arial" w:cs="Arial"/>
          <w:sz w:val="22"/>
        </w:rPr>
      </w:pPr>
    </w:p>
    <w:p w14:paraId="192197A4" w14:textId="77777777" w:rsidR="00575B4C" w:rsidRDefault="00575B4C" w:rsidP="0049012A">
      <w:pPr>
        <w:pStyle w:val="NormalWeb"/>
        <w:keepNext/>
        <w:spacing w:before="0" w:beforeAutospacing="0" w:after="0" w:afterAutospacing="0"/>
        <w:jc w:val="both"/>
        <w:rPr>
          <w:rFonts w:ascii="Arial" w:hAnsi="Arial" w:cs="Arial"/>
          <w:b/>
          <w:sz w:val="22"/>
          <w:szCs w:val="22"/>
        </w:rPr>
      </w:pPr>
      <w:r>
        <w:rPr>
          <w:rFonts w:ascii="Arial" w:hAnsi="Arial" w:cs="Arial"/>
          <w:noProof/>
          <w:sz w:val="22"/>
          <w:szCs w:val="22"/>
        </w:rPr>
        <w:drawing>
          <wp:inline distT="0" distB="0" distL="0" distR="0" wp14:anchorId="2607A599" wp14:editId="0E6893A2">
            <wp:extent cx="6352181" cy="3705726"/>
            <wp:effectExtent l="0" t="0" r="0" b="3175"/>
            <wp:docPr id="3" name="Picture 3"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968"/>
                    <a:stretch/>
                  </pic:blipFill>
                  <pic:spPr bwMode="auto">
                    <a:xfrm>
                      <a:off x="0" y="0"/>
                      <a:ext cx="6352540" cy="3705935"/>
                    </a:xfrm>
                    <a:prstGeom prst="rect">
                      <a:avLst/>
                    </a:prstGeom>
                    <a:noFill/>
                    <a:ln>
                      <a:noFill/>
                    </a:ln>
                    <a:extLst>
                      <a:ext uri="{53640926-AAD7-44d8-BBD7-CCE9431645EC}">
                        <a14:shadowObscured xmlns:a14="http://schemas.microsoft.com/office/drawing/2010/main"/>
                      </a:ext>
                    </a:extLst>
                  </pic:spPr>
                </pic:pic>
              </a:graphicData>
            </a:graphic>
          </wp:inline>
        </w:drawing>
      </w:r>
    </w:p>
    <w:p w14:paraId="69AB7765" w14:textId="76194534" w:rsidR="002271FF" w:rsidRPr="00C31A31" w:rsidRDefault="00575B4C" w:rsidP="0049012A">
      <w:pPr>
        <w:pStyle w:val="NormalWeb"/>
        <w:keepNext/>
        <w:spacing w:before="0" w:beforeAutospacing="0" w:after="0" w:afterAutospacing="0"/>
        <w:jc w:val="both"/>
      </w:pPr>
      <w:r>
        <w:rPr>
          <w:noProof/>
        </w:rPr>
        <mc:AlternateContent>
          <mc:Choice Requires="wps">
            <w:drawing>
              <wp:anchor distT="0" distB="0" distL="114300" distR="114300" simplePos="0" relativeHeight="251674624" behindDoc="0" locked="0" layoutInCell="1" allowOverlap="1" wp14:anchorId="16A7FC67" wp14:editId="458ABA48">
                <wp:simplePos x="0" y="0"/>
                <wp:positionH relativeFrom="column">
                  <wp:posOffset>0</wp:posOffset>
                </wp:positionH>
                <wp:positionV relativeFrom="paragraph">
                  <wp:posOffset>63500</wp:posOffset>
                </wp:positionV>
                <wp:extent cx="6400800" cy="1441450"/>
                <wp:effectExtent l="0" t="0" r="0" b="6350"/>
                <wp:wrapThrough wrapText="bothSides">
                  <wp:wrapPolygon edited="0">
                    <wp:start x="0" y="0"/>
                    <wp:lineTo x="0" y="21315"/>
                    <wp:lineTo x="21514" y="21315"/>
                    <wp:lineTo x="2151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BBDE320" w14:textId="728974B8" w:rsidR="00A542B2" w:rsidRPr="005E5B39" w:rsidRDefault="00A542B2"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7" type="#_x0000_t202" style="position:absolute;left:0;text-align:left;margin-left:0;margin-top:5pt;width:7in;height:11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" stroked="f">
                <v:textbox style="mso-fit-shape-to-text:t" inset="0,0,0,0">
                  <w:txbxContent>
                    <w:p w14:paraId="4BBDE320" w14:textId="728974B8" w:rsidR="00A542B2" w:rsidRPr="005E5B39" w:rsidRDefault="00A542B2" w:rsidP="00575B4C">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2. Tradict’s algorithmic workflow.</w:t>
                      </w:r>
                      <w:r>
                        <w:rPr>
                          <w:rFonts w:ascii="Arial" w:hAnsi="Arial" w:cs="Arial"/>
                          <w:b w:val="0"/>
                          <w:color w:val="auto"/>
                        </w:rPr>
                        <w:t xml:space="preserve"> a) During training,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 Multivariate Normal Continuous-Poisson hierarchical model is used as a predictive model to capture covariance relationships between markers, transcriptional programs, and all genes. b) During prediction, Tradict predicts the expression of transcriptional programs and all genes in the transcriptome using the expression measurements of the marker genes. c) The Multivariate Normal Continuous-Poisson hierarchy enables Tradict to efficiently model statistical coupling between the non-negative expression measurements typical of sequencing experiments. This is done by assuming that associated with each observed, noisy TPM measurement, there is an unmeasured (denoised), latent abundance the logarithm of which comes from a Multivariate Normal distribution over all genes and transcriptional programs.</w:t>
                      </w:r>
                    </w:p>
                  </w:txbxContent>
                </v:textbox>
                <w10:wrap type="through"/>
              </v:shape>
            </w:pict>
          </mc:Fallback>
        </mc:AlternateContent>
      </w:r>
      <w:r>
        <w:rPr>
          <w:rFonts w:ascii="Arial" w:hAnsi="Arial" w:cs="Arial"/>
          <w:b/>
          <w:sz w:val="22"/>
          <w:szCs w:val="22"/>
        </w:rPr>
        <w:t xml:space="preserve"> </w:t>
      </w:r>
      <w:r w:rsidR="00D057F8">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489FAB43" w:rsidR="007F1B91" w:rsidRDefault="002271FF" w:rsidP="007F1B91">
      <w:pPr>
        <w:ind w:firstLine="720"/>
        <w:jc w:val="both"/>
        <w:rPr>
          <w:rFonts w:ascii="Arial" w:hAnsi="Arial" w:cs="Arial"/>
          <w:sz w:val="22"/>
          <w:szCs w:val="22"/>
        </w:rPr>
      </w:pPr>
      <w:r>
        <w:rPr>
          <w:rFonts w:ascii="Arial" w:hAnsi="Arial"/>
          <w:sz w:val="22"/>
          <w:szCs w:val="22"/>
        </w:rPr>
        <w:t xml:space="preserve">We </w:t>
      </w:r>
      <w:r w:rsidR="004458C9">
        <w:rPr>
          <w:rFonts w:ascii="Arial" w:hAnsi="Arial"/>
          <w:sz w:val="22"/>
          <w:szCs w:val="22"/>
        </w:rPr>
        <w:t xml:space="preserve">downloaded </w:t>
      </w:r>
      <w:r>
        <w:rPr>
          <w:rFonts w:ascii="Arial" w:hAnsi="Arial"/>
          <w:sz w:val="22"/>
          <w:szCs w:val="22"/>
        </w:rPr>
        <w:t xml:space="preserve">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2F6A6BAC"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w:t>
      </w:r>
      <w:r w:rsidR="00420B6E">
        <w:rPr>
          <w:rFonts w:ascii="Arial" w:hAnsi="Arial"/>
          <w:sz w:val="22"/>
          <w:szCs w:val="22"/>
        </w:rPr>
        <w:lastRenderedPageBreak/>
        <w:t>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w:t>
      </w:r>
      <w:r w:rsidR="009647B8">
        <w:rPr>
          <w:rFonts w:ascii="Arial" w:hAnsi="Arial" w:cs="Arial"/>
          <w:sz w:val="22"/>
          <w:szCs w:val="22"/>
        </w:rPr>
        <w:t>Analysis</w:t>
      </w:r>
      <w:r w:rsidR="00920F44">
        <w:rPr>
          <w:rFonts w:ascii="Arial" w:hAnsi="Arial" w:cs="Arial"/>
          <w:sz w:val="22"/>
          <w:szCs w:val="22"/>
        </w:rPr>
        <w:t xml:space="preserv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1FE4B61A"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13D63C32"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"&lt;sup&gt;25&lt;/sup&gt;", "plainTextFormattedCitation" : "25", "previouslyFormattedCitation" : "&lt;sup&gt;25&lt;/sup&gt;" }, "properties" : { "noteIndex" : 0 }, "schema" : "https://github.com/citation-style-language/schema/raw/master/csl-citation.json" }</w:instrText>
      </w:r>
      <w:r w:rsidR="00D11BDC">
        <w:rPr>
          <w:rFonts w:ascii="Arial" w:hAnsi="Arial" w:cs="Arial"/>
          <w:sz w:val="22"/>
          <w:szCs w:val="22"/>
        </w:rPr>
        <w:fldChar w:fldCharType="separate"/>
      </w:r>
      <w:r w:rsidR="00C26AA6" w:rsidRPr="00C26AA6">
        <w:rPr>
          <w:rFonts w:ascii="Arial" w:hAnsi="Arial" w:cs="Arial"/>
          <w:noProof/>
          <w:sz w:val="22"/>
          <w:szCs w:val="22"/>
          <w:vertAlign w:val="superscript"/>
        </w:rPr>
        <w:t>25</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6A64FF">
        <w:rPr>
          <w:rFonts w:ascii="Arial" w:hAnsi="Arial" w:cs="Arial"/>
          <w:sz w:val="22"/>
          <w:szCs w:val="22"/>
        </w:rPr>
        <w:t>an</w:t>
      </w:r>
      <w:r w:rsidR="00765926">
        <w:rPr>
          <w:rFonts w:ascii="Arial" w:hAnsi="Arial" w:cs="Arial"/>
          <w:sz w:val="22"/>
          <w:szCs w:val="22"/>
        </w:rPr>
        <w:t xml:space="preserve"> </w:t>
      </w:r>
      <w:r w:rsidR="00C26AA6">
        <w:rPr>
          <w:rFonts w:ascii="Arial" w:hAnsi="Arial" w:cs="Arial"/>
          <w:sz w:val="22"/>
          <w:szCs w:val="22"/>
        </w:rPr>
        <w:t>accordingly</w:t>
      </w:r>
      <w:r w:rsidR="00765926">
        <w:rPr>
          <w:rFonts w:ascii="Arial" w:hAnsi="Arial" w:cs="Arial"/>
          <w:sz w:val="22"/>
          <w:szCs w:val="22"/>
        </w:rPr>
        <w:t xml:space="preserve">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"&lt;sup&gt;26,27&lt;/sup&gt;", "plainTextFormattedCitation" : "26,27", "previouslyFormattedCitation" : "&lt;sup&gt;26,27&lt;/sup&gt;" }, "properties" : { "noteIndex" : 0 }, "schema" : "https://github.com/citation-style-language/schema/raw/master/csl-citation.json" }</w:instrText>
      </w:r>
      <w:r w:rsidR="000554DC">
        <w:rPr>
          <w:rFonts w:ascii="Arial" w:hAnsi="Arial" w:cs="Arial"/>
          <w:sz w:val="22"/>
          <w:szCs w:val="22"/>
        </w:rPr>
        <w:fldChar w:fldCharType="separate"/>
      </w:r>
      <w:r w:rsidR="00C26AA6" w:rsidRPr="00C26AA6">
        <w:rPr>
          <w:rFonts w:ascii="Arial" w:hAnsi="Arial" w:cs="Arial"/>
          <w:noProof/>
          <w:sz w:val="22"/>
          <w:szCs w:val="22"/>
          <w:vertAlign w:val="superscript"/>
        </w:rPr>
        <w:t>26,27</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"&lt;sup&gt;28,29&lt;/sup&gt;", "plainTextFormattedCitation" : "28,29", "previouslyFormattedCitation" : "&lt;sup&gt;28,29&lt;/sup&gt;" }, "properties" : { "noteIndex" : 0 }, "schema" : "https://github.com/citation-style-language/schema/raw/master/csl-citation.json" }</w:instrText>
      </w:r>
      <w:r w:rsidR="00C41395">
        <w:rPr>
          <w:rFonts w:ascii="Arial" w:hAnsi="Arial" w:cs="Arial"/>
          <w:sz w:val="22"/>
          <w:szCs w:val="22"/>
        </w:rPr>
        <w:fldChar w:fldCharType="separate"/>
      </w:r>
      <w:r w:rsidR="00C26AA6" w:rsidRPr="00C26AA6">
        <w:rPr>
          <w:rFonts w:ascii="Arial" w:hAnsi="Arial" w:cs="Arial"/>
          <w:noProof/>
          <w:sz w:val="22"/>
          <w:szCs w:val="22"/>
          <w:vertAlign w:val="superscript"/>
        </w:rPr>
        <w:t>28,29</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w:t>
      </w:r>
      <w:r w:rsidR="00B2509C">
        <w:rPr>
          <w:rFonts w:ascii="Arial" w:hAnsi="Arial" w:cs="Arial"/>
          <w:sz w:val="22"/>
          <w:szCs w:val="22"/>
        </w:rPr>
        <w:t>prediction</w:t>
      </w:r>
      <w:r w:rsidR="00570D45">
        <w:rPr>
          <w:rFonts w:ascii="Arial" w:hAnsi="Arial" w:cs="Arial"/>
          <w:sz w:val="22"/>
          <w:szCs w:val="22"/>
        </w:rPr>
        <w:t xml:space="preserve"> tasks</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44F0C6A7" w14:textId="7E5C816A" w:rsidR="00F91805"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w:t>
      </w:r>
      <w:r w:rsidR="001A3F60">
        <w:rPr>
          <w:rFonts w:ascii="Arial" w:hAnsi="Arial" w:cs="Arial"/>
          <w:sz w:val="22"/>
          <w:szCs w:val="22"/>
        </w:rPr>
        <w:t>genes and/or</w:t>
      </w:r>
      <w:r w:rsidR="00FD4B46">
        <w:rPr>
          <w:rFonts w:ascii="Arial" w:hAnsi="Arial" w:cs="Arial"/>
          <w:sz w:val="22"/>
          <w:szCs w:val="22"/>
        </w:rPr>
        <w:t xml:space="preserve"> transcriptional programs</w:t>
      </w:r>
      <w:r>
        <w:rPr>
          <w:rFonts w:ascii="Arial" w:hAnsi="Arial" w:cs="Arial"/>
          <w:sz w:val="22"/>
          <w:szCs w:val="22"/>
        </w:rPr>
        <w:t xml:space="preserve"> can be inferred as needed. </w:t>
      </w:r>
      <w:r w:rsidR="004F43B0">
        <w:rPr>
          <w:rFonts w:ascii="Arial" w:hAnsi="Arial" w:cs="Arial"/>
          <w:sz w:val="22"/>
          <w:szCs w:val="22"/>
        </w:rPr>
        <w:t>During prediction</w:t>
      </w:r>
      <w:r w:rsidR="00DD7013">
        <w:rPr>
          <w:rFonts w:ascii="Arial" w:hAnsi="Arial" w:cs="Arial"/>
          <w:sz w:val="22"/>
          <w:szCs w:val="22"/>
        </w:rPr>
        <w:t xml:space="preserve">, </w:t>
      </w:r>
      <w:r w:rsidR="00F91805">
        <w:rPr>
          <w:rFonts w:ascii="Arial" w:hAnsi="Arial" w:cs="Arial"/>
          <w:sz w:val="22"/>
          <w:szCs w:val="22"/>
        </w:rPr>
        <w:t>Tradict uses the observed marker measurements as well as their log-latent mean and covariance learned during training, to estimate the posterior distribution over the log-latent abundances of the markers. Though a simply a consequence of proper inference of our model, this denoising step adds considerable robustness to Tradict’s predictions. From this estimate, Tradict</w:t>
      </w:r>
      <w:r w:rsidR="007E204A">
        <w:rPr>
          <w:rFonts w:ascii="Arial" w:hAnsi="Arial" w:cs="Arial"/>
          <w:sz w:val="22"/>
          <w:szCs w:val="22"/>
        </w:rPr>
        <w:t xml:space="preserve"> uses covariance relationships </w:t>
      </w:r>
      <w:r w:rsidR="00653E16">
        <w:rPr>
          <w:rFonts w:ascii="Arial" w:hAnsi="Arial" w:cs="Arial"/>
          <w:sz w:val="22"/>
          <w:szCs w:val="22"/>
        </w:rPr>
        <w:t>learned</w:t>
      </w:r>
      <w:r w:rsidR="007E204A">
        <w:rPr>
          <w:rFonts w:ascii="Arial" w:hAnsi="Arial" w:cs="Arial"/>
          <w:sz w:val="22"/>
          <w:szCs w:val="22"/>
        </w:rPr>
        <w:t xml:space="preserve"> during training to</w:t>
      </w:r>
      <w:r w:rsidR="00F91805">
        <w:rPr>
          <w:rFonts w:ascii="Arial" w:hAnsi="Arial" w:cs="Arial"/>
          <w:sz w:val="22"/>
          <w:szCs w:val="22"/>
        </w:rPr>
        <w:t xml:space="preserve"> </w:t>
      </w:r>
      <w:r w:rsidR="007E204A">
        <w:rPr>
          <w:rFonts w:ascii="Arial" w:hAnsi="Arial" w:cs="Arial"/>
          <w:sz w:val="22"/>
          <w:szCs w:val="22"/>
        </w:rPr>
        <w:t>estimate</w:t>
      </w:r>
      <w:r w:rsidR="00F91805">
        <w:rPr>
          <w:rFonts w:ascii="Arial" w:hAnsi="Arial" w:cs="Arial"/>
          <w:sz w:val="22"/>
          <w:szCs w:val="22"/>
        </w:rPr>
        <w:t xml:space="preserve"> the conditional posterior distribution</w:t>
      </w:r>
      <w:r w:rsidR="003A1A15">
        <w:rPr>
          <w:rFonts w:ascii="Arial" w:hAnsi="Arial" w:cs="Arial"/>
          <w:sz w:val="22"/>
          <w:szCs w:val="22"/>
        </w:rPr>
        <w:t>s</w:t>
      </w:r>
      <w:r w:rsidR="00F91805">
        <w:rPr>
          <w:rFonts w:ascii="Arial" w:hAnsi="Arial" w:cs="Arial"/>
          <w:sz w:val="22"/>
          <w:szCs w:val="22"/>
        </w:rPr>
        <w:t xml:space="preserve"> over the remain</w:t>
      </w:r>
      <w:r w:rsidR="001B7543">
        <w:rPr>
          <w:rFonts w:ascii="Arial" w:hAnsi="Arial" w:cs="Arial"/>
          <w:sz w:val="22"/>
          <w:szCs w:val="22"/>
        </w:rPr>
        <w:t xml:space="preserve">ing non-marker genes and </w:t>
      </w:r>
      <w:r w:rsidR="00F91805">
        <w:rPr>
          <w:rFonts w:ascii="Arial" w:hAnsi="Arial" w:cs="Arial"/>
          <w:sz w:val="22"/>
          <w:szCs w:val="22"/>
        </w:rPr>
        <w:t>transcriptional programs</w:t>
      </w:r>
      <w:r w:rsidR="00B417C6">
        <w:rPr>
          <w:rFonts w:ascii="Arial" w:hAnsi="Arial" w:cs="Arial"/>
          <w:sz w:val="22"/>
          <w:szCs w:val="22"/>
        </w:rPr>
        <w:t xml:space="preserve"> (Figure 2b)</w:t>
      </w:r>
      <w:r w:rsidR="00F91805">
        <w:rPr>
          <w:rFonts w:ascii="Arial" w:hAnsi="Arial" w:cs="Arial"/>
          <w:sz w:val="22"/>
          <w:szCs w:val="22"/>
        </w:rPr>
        <w:t xml:space="preserve">.  </w:t>
      </w:r>
      <w:r w:rsidR="00B2352C">
        <w:rPr>
          <w:rFonts w:ascii="Arial" w:hAnsi="Arial" w:cs="Arial"/>
          <w:sz w:val="22"/>
          <w:szCs w:val="22"/>
        </w:rPr>
        <w:t>From these distributions, the user can derive point estimates (e.g. posterior mean or mode), as well as measures of confidence (e.g. credible intervals).</w:t>
      </w:r>
    </w:p>
    <w:p w14:paraId="747CF9D2" w14:textId="77777777" w:rsidR="00C12C05" w:rsidRDefault="00C12C05" w:rsidP="008906AD">
      <w:pPr>
        <w:jc w:val="both"/>
        <w:rPr>
          <w:rFonts w:ascii="Arial" w:hAnsi="Arial" w:cs="Arial"/>
          <w:sz w:val="22"/>
          <w:szCs w:val="22"/>
        </w:rPr>
      </w:pPr>
    </w:p>
    <w:p w14:paraId="1E4F88EA" w14:textId="77777777" w:rsidR="00B417C6" w:rsidRDefault="00B417C6" w:rsidP="008906AD">
      <w:pPr>
        <w:jc w:val="both"/>
        <w:rPr>
          <w:rFonts w:ascii="Arial" w:hAnsi="Arial" w:cs="Arial"/>
          <w:sz w:val="22"/>
          <w:szCs w:val="22"/>
        </w:rPr>
      </w:pPr>
    </w:p>
    <w:p w14:paraId="4BB0C521" w14:textId="77777777" w:rsidR="00795FAD" w:rsidRDefault="00795FAD" w:rsidP="00C12C05">
      <w:pPr>
        <w:pStyle w:val="NormalWeb"/>
        <w:spacing w:before="0" w:beforeAutospacing="0" w:after="0" w:afterAutospacing="0"/>
        <w:rPr>
          <w:rFonts w:ascii="Arial" w:hAnsi="Arial" w:cs="Arial"/>
          <w:b/>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3116F5CD" w14:textId="45FEE553" w:rsidR="003D594F" w:rsidRDefault="00454549"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lastRenderedPageBreak/>
        <w:t xml:space="preserve">To </w:t>
      </w:r>
      <w:r w:rsidR="00C12C05">
        <w:rPr>
          <w:rFonts w:ascii="Arial" w:hAnsi="Arial" w:cs="Arial"/>
          <w:sz w:val="22"/>
          <w:szCs w:val="22"/>
        </w:rPr>
        <w:t xml:space="preserve">understand Tradict’s prospective predictive performance, we performed 20-fold cross validation on the training transcriptome collections for both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M. musculus</w:t>
      </w:r>
      <w:r w:rsidR="009C3D82">
        <w:rPr>
          <w:rFonts w:ascii="Arial" w:hAnsi="Arial" w:cs="Arial"/>
          <w:sz w:val="22"/>
          <w:szCs w:val="22"/>
        </w:rPr>
        <w:t xml:space="preserve"> and evaluated</w:t>
      </w:r>
      <w:r w:rsidR="00C12C05">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sidR="00C12C05">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sidR="00C12C05">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sidR="00C12C05">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w:t>
      </w:r>
      <w:r w:rsidR="00041269">
        <w:rPr>
          <w:rFonts w:ascii="Arial" w:hAnsi="Arial" w:cs="Arial"/>
          <w:sz w:val="22"/>
          <w:szCs w:val="22"/>
        </w:rPr>
        <w:t>any given</w:t>
      </w:r>
      <w:r w:rsidR="003D594F">
        <w:rPr>
          <w:rFonts w:ascii="Arial" w:hAnsi="Arial" w:cs="Arial"/>
          <w:sz w:val="22"/>
          <w:szCs w:val="22"/>
        </w:rPr>
        <w:t xml:space="preserve"> test set </w:t>
      </w:r>
      <w:r w:rsidR="00576CE2">
        <w:rPr>
          <w:rFonts w:ascii="Arial" w:hAnsi="Arial" w:cs="Arial"/>
          <w:sz w:val="22"/>
          <w:szCs w:val="22"/>
        </w:rPr>
        <w:t xml:space="preserve">likely </w:t>
      </w:r>
      <w:r w:rsidR="003D594F">
        <w:rPr>
          <w:rFonts w:ascii="Arial" w:hAnsi="Arial" w:cs="Arial"/>
          <w:sz w:val="22"/>
          <w:szCs w:val="22"/>
        </w:rPr>
        <w:t xml:space="preserve">exceeds that of what would be expected for typical application, which in turn would lead to overly optimistic estimates of prediction accuracy. </w:t>
      </w:r>
      <w:r w:rsidR="00041269">
        <w:rPr>
          <w:rFonts w:ascii="Arial" w:hAnsi="Arial" w:cs="Arial"/>
          <w:sz w:val="22"/>
          <w:szCs w:val="22"/>
        </w:rPr>
        <w:t>We</w:t>
      </w:r>
      <w:r w:rsidR="003D594F">
        <w:rPr>
          <w:rFonts w:ascii="Arial" w:hAnsi="Arial" w:cs="Arial"/>
          <w:sz w:val="22"/>
          <w:szCs w:val="22"/>
        </w:rPr>
        <w:t xml:space="preserve"> therefore evaluate </w:t>
      </w:r>
      <w:r w:rsidR="003D594F" w:rsidRPr="00BF6911">
        <w:rPr>
          <w:rFonts w:ascii="Arial" w:hAnsi="Arial" w:cs="Arial"/>
          <w:i/>
          <w:sz w:val="22"/>
          <w:szCs w:val="22"/>
        </w:rPr>
        <w:t>intra-submission</w:t>
      </w:r>
      <w:r w:rsidR="003D594F">
        <w:rPr>
          <w:rFonts w:ascii="Arial" w:hAnsi="Arial" w:cs="Arial"/>
          <w:sz w:val="22"/>
          <w:szCs w:val="22"/>
        </w:rPr>
        <w:t xml:space="preserve"> </w:t>
      </w:r>
      <w:r w:rsidR="003D594F" w:rsidRPr="00D02BFD">
        <w:rPr>
          <w:rFonts w:ascii="Arial" w:hAnsi="Arial" w:cs="Arial"/>
          <w:i/>
          <w:sz w:val="22"/>
          <w:szCs w:val="22"/>
        </w:rPr>
        <w:t>accuracy</w:t>
      </w:r>
      <w:r w:rsidR="003D594F">
        <w:rPr>
          <w:rFonts w:ascii="Arial" w:hAnsi="Arial" w:cs="Arial"/>
          <w:sz w:val="22"/>
          <w:szCs w:val="22"/>
        </w:rPr>
        <w:t>,</w:t>
      </w:r>
      <w:r w:rsidR="00041269">
        <w:rPr>
          <w:rFonts w:ascii="Arial" w:hAnsi="Arial" w:cs="Arial"/>
          <w:sz w:val="22"/>
          <w:szCs w:val="22"/>
        </w:rPr>
        <w:t xml:space="preserve"> in which</w:t>
      </w:r>
      <w:r w:rsidR="003D594F">
        <w:rPr>
          <w:rFonts w:ascii="Arial" w:hAnsi="Arial" w:cs="Arial"/>
          <w:sz w:val="22"/>
          <w:szCs w:val="22"/>
        </w:rPr>
        <w:t xml:space="preserve"> PCC calculations </w:t>
      </w:r>
      <w:r w:rsidR="00041269">
        <w:rPr>
          <w:rFonts w:ascii="Arial" w:hAnsi="Arial" w:cs="Arial"/>
          <w:sz w:val="22"/>
          <w:szCs w:val="22"/>
        </w:rPr>
        <w:t>are</w:t>
      </w:r>
      <w:r w:rsidR="003D594F">
        <w:rPr>
          <w:rFonts w:ascii="Arial" w:hAnsi="Arial" w:cs="Arial"/>
          <w:sz w:val="22"/>
          <w:szCs w:val="22"/>
        </w:rPr>
        <w:t xml:space="preserve"> performed on ‘submis</w:t>
      </w:r>
      <w:r w:rsidR="00151C7A">
        <w:rPr>
          <w:rFonts w:ascii="Arial" w:hAnsi="Arial" w:cs="Arial"/>
          <w:sz w:val="22"/>
          <w:szCs w:val="22"/>
        </w:rPr>
        <w:t>sion-adjusted’ expression values</w:t>
      </w:r>
      <w:r w:rsidR="000A37A2">
        <w:rPr>
          <w:rFonts w:ascii="Arial" w:hAnsi="Arial" w:cs="Arial"/>
          <w:sz w:val="22"/>
          <w:szCs w:val="22"/>
        </w:rPr>
        <w:t>.</w:t>
      </w:r>
      <w:r w:rsidR="003D594F">
        <w:rPr>
          <w:rFonts w:ascii="Arial" w:hAnsi="Arial" w:cs="Arial"/>
          <w:sz w:val="22"/>
          <w:szCs w:val="22"/>
        </w:rPr>
        <w:t xml:space="preserve"> </w:t>
      </w:r>
      <w:r w:rsidR="00B242DC">
        <w:rPr>
          <w:rFonts w:ascii="Arial" w:hAnsi="Arial" w:cs="Arial"/>
          <w:sz w:val="22"/>
          <w:szCs w:val="22"/>
        </w:rPr>
        <w:t>To do this</w:t>
      </w:r>
      <w:r w:rsidR="003D594F">
        <w:rPr>
          <w:rFonts w:ascii="Arial" w:hAnsi="Arial" w:cs="Arial"/>
          <w:sz w:val="22"/>
          <w:szCs w:val="22"/>
        </w:rPr>
        <w:t xml:space="preserve"> each submission’s mean expression was subtracted from the expression values of all </w:t>
      </w:r>
      <w:r w:rsidR="009121A5">
        <w:rPr>
          <w:rFonts w:ascii="Arial" w:hAnsi="Arial" w:cs="Arial"/>
          <w:sz w:val="22"/>
          <w:szCs w:val="22"/>
        </w:rPr>
        <w:t>samples associated with that submission. In effect, this regr</w:t>
      </w:r>
      <w:r w:rsidR="00D02BFD">
        <w:rPr>
          <w:rFonts w:ascii="Arial" w:hAnsi="Arial" w:cs="Arial"/>
          <w:sz w:val="22"/>
          <w:szCs w:val="22"/>
        </w:rPr>
        <w:t>esses out between-</w:t>
      </w:r>
      <w:r w:rsidR="009121A5">
        <w:rPr>
          <w:rFonts w:ascii="Arial" w:hAnsi="Arial" w:cs="Arial"/>
          <w:sz w:val="22"/>
          <w:szCs w:val="22"/>
        </w:rPr>
        <w:t>submission effects</w:t>
      </w:r>
      <w:r w:rsidR="00D02BFD">
        <w:rPr>
          <w:rFonts w:ascii="Arial" w:hAnsi="Arial" w:cs="Arial"/>
          <w:sz w:val="22"/>
          <w:szCs w:val="22"/>
        </w:rPr>
        <w:t xml:space="preserve">, and allows us to assess the Tradict’s predictive performance within a specific biological context that one might </w:t>
      </w:r>
      <w:r w:rsidR="001C040D">
        <w:rPr>
          <w:rFonts w:ascii="Arial" w:hAnsi="Arial" w:cs="Arial"/>
          <w:sz w:val="22"/>
          <w:szCs w:val="22"/>
        </w:rPr>
        <w:t xml:space="preserve">more </w:t>
      </w:r>
      <w:r w:rsidR="00B94AA8">
        <w:rPr>
          <w:rFonts w:ascii="Arial" w:hAnsi="Arial" w:cs="Arial"/>
          <w:sz w:val="22"/>
          <w:szCs w:val="22"/>
        </w:rPr>
        <w:t>typically encounter.</w:t>
      </w:r>
    </w:p>
    <w:p w14:paraId="7FA03411" w14:textId="555C99A2"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are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Pr>
          <w:rFonts w:ascii="Arial" w:hAnsi="Arial" w:cs="Arial"/>
          <w:sz w:val="22"/>
          <w:szCs w:val="22"/>
        </w:rPr>
        <w:t>, respectively. T</w:t>
      </w:r>
      <w:r w:rsidR="00D02BFD">
        <w:rPr>
          <w:rFonts w:ascii="Arial" w:hAnsi="Arial" w:cs="Arial"/>
          <w:sz w:val="22"/>
          <w:szCs w:val="22"/>
        </w:rPr>
        <w:t xml:space="preserve">his is despite lower </w:t>
      </w:r>
      <w:r>
        <w:rPr>
          <w:rFonts w:ascii="Arial" w:hAnsi="Arial" w:cs="Arial"/>
          <w:sz w:val="22"/>
          <w:szCs w:val="22"/>
        </w:rPr>
        <w:t>prediction performance on gene expression (Figures 3b and 3d). Intuitively, this</w:t>
      </w:r>
      <w:r w:rsidR="004731A7">
        <w:rPr>
          <w:rFonts w:ascii="Arial" w:hAnsi="Arial" w:cs="Arial"/>
          <w:sz w:val="22"/>
          <w:szCs w:val="22"/>
        </w:rPr>
        <w:t xml:space="preserve"> is</w:t>
      </w:r>
      <w:r>
        <w:rPr>
          <w:rFonts w:ascii="Arial" w:hAnsi="Arial" w:cs="Arial"/>
          <w:sz w:val="22"/>
          <w:szCs w:val="22"/>
        </w:rPr>
        <w:t xml:space="preserve"> because transcriptional programs are measured as linear combinations of the log-latent TPMs of the genes that comprise them, effectively smoothing over the orthogonal noise present in each gene’s expression prediction. </w:t>
      </w:r>
    </w:p>
    <w:p w14:paraId="73A4BAE8" w14:textId="61A02FE5" w:rsidR="000953F7" w:rsidRDefault="000953F7" w:rsidP="000953F7">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w:t>
      </w:r>
      <w:r w:rsidR="0088798D">
        <w:rPr>
          <w:rFonts w:ascii="Arial" w:hAnsi="Arial" w:cs="Arial"/>
          <w:sz w:val="22"/>
          <w:szCs w:val="22"/>
        </w:rPr>
        <w:t>found</w:t>
      </w:r>
      <w:r>
        <w:rPr>
          <w:rFonts w:ascii="Arial" w:hAnsi="Arial" w:cs="Arial"/>
          <w:sz w:val="22"/>
          <w:szCs w:val="22"/>
        </w:rPr>
        <w:t xml:space="preserve"> found Tradict’s performance to be superior to several baselines. These include two</w:t>
      </w:r>
      <w:r w:rsidR="00B41A26">
        <w:rPr>
          <w:rFonts w:ascii="Arial" w:hAnsi="Arial" w:cs="Arial"/>
          <w:sz w:val="22"/>
          <w:szCs w:val="22"/>
        </w:rPr>
        <w:t xml:space="preserve"> successful</w:t>
      </w:r>
      <w:r>
        <w:rPr>
          <w:rFonts w:ascii="Arial" w:hAnsi="Arial" w:cs="Arial"/>
          <w:sz w:val="22"/>
          <w:szCs w:val="22"/>
        </w:rPr>
        <w:t xml:space="preserve"> approaches developed in Donner </w:t>
      </w:r>
      <w:r>
        <w:rPr>
          <w:rFonts w:ascii="Arial" w:hAnsi="Arial" w:cs="Arial"/>
          <w:i/>
          <w:sz w:val="22"/>
          <w:szCs w:val="22"/>
        </w:rPr>
        <w:t>et al.</w:t>
      </w:r>
      <w:r>
        <w:rPr>
          <w:rFonts w:ascii="Arial" w:hAnsi="Arial" w:cs="Arial"/>
          <w:sz w:val="22"/>
          <w:szCs w:val="22"/>
        </w:rPr>
        <w:t xml:space="preserve"> (2012) for microarray</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and a version of Tradict that uses the 100 most abundant genes as it’s selected markers (Figure S5a, Supplemental </w:t>
      </w:r>
      <w:r w:rsidR="00AB4713">
        <w:rPr>
          <w:rFonts w:ascii="Arial" w:hAnsi="Arial" w:cs="Arial"/>
          <w:sz w:val="22"/>
          <w:szCs w:val="22"/>
        </w:rPr>
        <w:t>Analysis</w:t>
      </w:r>
      <w:r>
        <w:rPr>
          <w:rFonts w:ascii="Arial" w:hAnsi="Arial" w:cs="Arial"/>
          <w:sz w:val="22"/>
          <w:szCs w:val="22"/>
        </w:rPr>
        <w:t xml:space="preserve"> 2). The latter baseline examines the utility of simple shallow sequencing. We further found Tradict’s predictions were highly robust to noise (Figure S5b, Supplemental </w:t>
      </w:r>
      <w:r w:rsidR="00AB4713">
        <w:rPr>
          <w:rFonts w:ascii="Arial" w:hAnsi="Arial" w:cs="Arial"/>
          <w:sz w:val="22"/>
          <w:szCs w:val="22"/>
        </w:rPr>
        <w:t>Analysis</w:t>
      </w:r>
      <w:r>
        <w:rPr>
          <w:rFonts w:ascii="Arial" w:hAnsi="Arial" w:cs="Arial"/>
          <w:sz w:val="22"/>
          <w:szCs w:val="22"/>
        </w:rPr>
        <w:t xml:space="preserve"> 2) -- a consequence of its probabilistic framework, in which training and prediction are performed in the space of denoised latent abundances.</w:t>
      </w:r>
    </w:p>
    <w:p w14:paraId="4B3CC9D7" w14:textId="7DDBBCCC" w:rsidR="000953F7" w:rsidRDefault="00A542B2"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We additionally examin</w:t>
      </w:r>
      <w:r w:rsidR="009E5794">
        <w:rPr>
          <w:rFonts w:ascii="Arial" w:hAnsi="Arial" w:cs="Arial"/>
          <w:sz w:val="22"/>
          <w:szCs w:val="22"/>
        </w:rPr>
        <w:t>ed Tradict’s limitations through</w:t>
      </w:r>
      <w:bookmarkStart w:id="0" w:name="_GoBack"/>
      <w:bookmarkEnd w:id="0"/>
      <w:r>
        <w:rPr>
          <w:rFonts w:ascii="Arial" w:hAnsi="Arial" w:cs="Arial"/>
          <w:sz w:val="22"/>
          <w:szCs w:val="22"/>
        </w:rPr>
        <w:t xml:space="preserve"> error, power, and robustness analyses (Supplemental Analysis 3). </w:t>
      </w:r>
    </w:p>
    <w:p w14:paraId="0379FDF0" w14:textId="7432EA1E" w:rsidR="00485CA0" w:rsidRDefault="00485CA0"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prediction error was negatively correlated with mean expression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-0.496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-0.607 </w:t>
      </w:r>
      <w:r>
        <w:rPr>
          <w:rFonts w:ascii="Arial" w:hAnsi="Arial" w:cs="Arial"/>
          <w:i/>
          <w:sz w:val="22"/>
          <w:szCs w:val="22"/>
        </w:rPr>
        <w:t>M. musculus</w:t>
      </w:r>
      <w:r>
        <w:rPr>
          <w:rFonts w:ascii="Arial" w:hAnsi="Arial" w:cs="Arial"/>
          <w:sz w:val="22"/>
          <w:szCs w:val="22"/>
        </w:rPr>
        <w:t>; Spearman correlation) consistent with the findings of Donner</w:t>
      </w:r>
      <w:r>
        <w:rPr>
          <w:rFonts w:ascii="Arial" w:hAnsi="Arial" w:cs="Arial"/>
          <w:i/>
          <w:sz w:val="22"/>
          <w:szCs w:val="22"/>
        </w:rPr>
        <w:t xml:space="preserve"> et al. </w:t>
      </w:r>
      <w:r>
        <w:rPr>
          <w:rFonts w:ascii="Arial" w:hAnsi="Arial" w:cs="Arial"/>
          <w:sz w:val="22"/>
          <w:szCs w:val="22"/>
        </w:rPr>
        <w:t>2012. Similarly, for transcriptional programs, prediction error was negatively correlated with the mean expression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-0.325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-0.577 </w:t>
      </w:r>
      <w:r>
        <w:rPr>
          <w:rFonts w:ascii="Arial" w:hAnsi="Arial" w:cs="Arial"/>
          <w:i/>
          <w:sz w:val="22"/>
          <w:szCs w:val="22"/>
        </w:rPr>
        <w:t>M. musculus</w:t>
      </w:r>
      <w:r>
        <w:rPr>
          <w:rFonts w:ascii="Arial" w:hAnsi="Arial" w:cs="Arial"/>
          <w:sz w:val="22"/>
          <w:szCs w:val="22"/>
        </w:rPr>
        <w:t>; Spearman correlation) and the number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-0.545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-0.5826 </w:t>
      </w:r>
      <w:r>
        <w:rPr>
          <w:rFonts w:ascii="Arial" w:hAnsi="Arial" w:cs="Arial"/>
          <w:i/>
          <w:sz w:val="22"/>
          <w:szCs w:val="22"/>
        </w:rPr>
        <w:t>M. musculus</w:t>
      </w:r>
      <w:r>
        <w:rPr>
          <w:rFonts w:ascii="Arial" w:hAnsi="Arial" w:cs="Arial"/>
          <w:sz w:val="22"/>
          <w:szCs w:val="22"/>
        </w:rPr>
        <w:t>; Spearman correlation) contained within each program (Supplemental Tables 3-4). We did not find any transcriptional programs with relatively low (PCC &lt; 0.9) prediction accuracy that were not composed of a few or lowly expressed genes.</w:t>
      </w:r>
    </w:p>
    <w:p w14:paraId="3A4DFB0E" w14:textId="77777777" w:rsidR="00795FAD" w:rsidRDefault="00795FAD" w:rsidP="00795FAD">
      <w:pPr>
        <w:pStyle w:val="NormalWeb"/>
        <w:spacing w:before="0" w:beforeAutospacing="0" w:after="0" w:afterAutospacing="0"/>
        <w:jc w:val="both"/>
        <w:rPr>
          <w:rFonts w:ascii="Arial" w:hAnsi="Arial" w:cs="Arial"/>
          <w:sz w:val="22"/>
          <w:szCs w:val="22"/>
        </w:rPr>
      </w:pPr>
    </w:p>
    <w:p w14:paraId="66FD89E4" w14:textId="77777777" w:rsidR="00795FAD" w:rsidRDefault="00795FAD" w:rsidP="00795FAD">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reveal the power of predicting and studying predefined transcriptional programs</w:t>
      </w:r>
    </w:p>
    <w:p w14:paraId="279FDDD3" w14:textId="77777777" w:rsidR="00795FAD" w:rsidRDefault="00795FAD" w:rsidP="00795FAD">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M. musculus</w:t>
      </w:r>
      <w:r>
        <w:rPr>
          <w:rFonts w:ascii="Arial" w:hAnsi="Arial" w:cs="Arial"/>
          <w:sz w:val="22"/>
          <w:szCs w:val="22"/>
        </w:rPr>
        <w:t xml:space="preserve"> cell lines (detailed in Supplemental Note 3; Figure S6). We trained Tradict on our full collection of training transcriptomes for each organism to produce two organism-specific Tradict models. Each was based on the selection of 100 markers learned from the full training transcriptome collection (Supplemental Tables 5-6) that we assert are globally representative, and context-independent. The case study samples do not, of course, appear in the collection of training transcriptomes.</w:t>
      </w:r>
    </w:p>
    <w:p w14:paraId="0FB4F0D3" w14:textId="77777777" w:rsidR="00795FAD" w:rsidRDefault="00795FAD" w:rsidP="00795FAD">
      <w:pPr>
        <w:pStyle w:val="NormalWeb"/>
        <w:spacing w:before="0" w:beforeAutospacing="0" w:after="0" w:afterAutospacing="0"/>
        <w:jc w:val="both"/>
        <w:rPr>
          <w:rFonts w:ascii="Arial" w:hAnsi="Arial" w:cs="Arial"/>
          <w:sz w:val="22"/>
          <w:szCs w:val="22"/>
        </w:rPr>
      </w:pPr>
    </w:p>
    <w:p w14:paraId="1F7647C0" w14:textId="01E48EDF" w:rsidR="003963A1" w:rsidRDefault="00795FAD" w:rsidP="00485CA0">
      <w:pPr>
        <w:pStyle w:val="NormalWeb"/>
        <w:spacing w:before="0" w:beforeAutospacing="0" w:after="0" w:afterAutospacing="0"/>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71552" behindDoc="0" locked="0" layoutInCell="1" allowOverlap="1" wp14:anchorId="1427BF5F" wp14:editId="66626D69">
                <wp:simplePos x="0" y="0"/>
                <wp:positionH relativeFrom="column">
                  <wp:posOffset>0</wp:posOffset>
                </wp:positionH>
                <wp:positionV relativeFrom="paragraph">
                  <wp:posOffset>3427730</wp:posOffset>
                </wp:positionV>
                <wp:extent cx="6400800" cy="915670"/>
                <wp:effectExtent l="0" t="0" r="0" b="0"/>
                <wp:wrapThrough wrapText="bothSides">
                  <wp:wrapPolygon edited="0">
                    <wp:start x="0" y="0"/>
                    <wp:lineTo x="0" y="20971"/>
                    <wp:lineTo x="21514" y="20971"/>
                    <wp:lineTo x="2151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400800" cy="915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391258" w14:textId="5F00E84C" w:rsidR="00A542B2" w:rsidRPr="00DD7013" w:rsidRDefault="00A542B2"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left:0;text-align:left;margin-left:0;margin-top:269.9pt;width:7in;height:7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" stroked="f">
                <v:textbox style="mso-fit-shape-to-text:t" inset="0,0,0,0">
                  <w:txbxContent>
                    <w:p w14:paraId="41391258" w14:textId="5F00E84C" w:rsidR="00A542B2" w:rsidRPr="00DD7013" w:rsidRDefault="00A542B2"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a) Heatmaps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comparable. c &amp; d) Same as a &amp; b, but for </w:t>
                      </w:r>
                      <w:r>
                        <w:rPr>
                          <w:rFonts w:ascii="Arial" w:hAnsi="Arial" w:cs="Arial"/>
                          <w:b w:val="0"/>
                          <w:i/>
                          <w:color w:val="auto"/>
                        </w:rPr>
                        <w:t>M. musculus</w:t>
                      </w:r>
                      <w:r>
                        <w:rPr>
                          <w:rFonts w:ascii="Arial" w:hAnsi="Arial" w:cs="Arial"/>
                          <w:b w:val="0"/>
                          <w:color w:val="auto"/>
                        </w:rPr>
                        <w:t xml:space="preserve">. </w:t>
                      </w:r>
                    </w:p>
                  </w:txbxContent>
                </v:textbox>
                <w10:wrap type="through"/>
              </v:shape>
            </w:pict>
          </mc:Fallback>
        </mc:AlternateContent>
      </w:r>
      <w:r>
        <w:rPr>
          <w:rFonts w:ascii="Arial" w:hAnsi="Arial" w:cs="Arial"/>
          <w:noProof/>
          <w:sz w:val="22"/>
          <w:szCs w:val="22"/>
        </w:rPr>
        <w:drawing>
          <wp:anchor distT="0" distB="0" distL="114300" distR="114300" simplePos="0" relativeHeight="251664384" behindDoc="0" locked="0" layoutInCell="1" allowOverlap="1" wp14:anchorId="465A47DB" wp14:editId="63559C84">
            <wp:simplePos x="0" y="0"/>
            <wp:positionH relativeFrom="column">
              <wp:posOffset>0</wp:posOffset>
            </wp:positionH>
            <wp:positionV relativeFrom="paragraph">
              <wp:posOffset>41910</wp:posOffset>
            </wp:positionV>
            <wp:extent cx="6400800" cy="3426460"/>
            <wp:effectExtent l="0" t="0" r="0" b="2540"/>
            <wp:wrapTopAndBottom/>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58608"/>
                    <a:stretch/>
                  </pic:blipFill>
                  <pic:spPr bwMode="auto">
                    <a:xfrm>
                      <a:off x="0" y="0"/>
                      <a:ext cx="6400800" cy="3426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1AB30" w14:textId="689D069D" w:rsidR="00264974" w:rsidRDefault="00264974"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jasmonic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transgenically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sidR="00326C7F">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"&lt;sup&gt;31&lt;/sup&gt;", "plainTextFormattedCitation" : "31", "previouslyFormattedCitation" : "&lt;sup&gt;30&lt;/sup&gt;" }, "properties" : { "noteIndex" : 0 }, "schema" : "https://github.com/citation-style-language/schema/raw/master/csl-citation.json" }</w:instrText>
      </w:r>
      <w:r>
        <w:rPr>
          <w:rFonts w:ascii="Arial" w:hAnsi="Arial" w:cs="Arial"/>
          <w:sz w:val="22"/>
          <w:szCs w:val="22"/>
        </w:rPr>
        <w:fldChar w:fldCharType="separate"/>
      </w:r>
      <w:r w:rsidR="00326C7F" w:rsidRPr="00326C7F">
        <w:rPr>
          <w:rFonts w:ascii="Arial" w:hAnsi="Arial" w:cs="Arial"/>
          <w:noProof/>
          <w:sz w:val="22"/>
          <w:szCs w:val="22"/>
          <w:vertAlign w:val="superscript"/>
        </w:rPr>
        <w:t>31</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In their study, they performed a time course experiment, treating plants with MeJA (a JA response inducer), BTH (an SA mimic and SA response inducer), or mock buffer and monitored the transcriptome of bulk seedlings at 0 hr, 1 hr, 5 hr, and 8 hr post treatment. These experiments included several immune signaling mutants with differing degrees of response efficiency to MeJA and BTH treatment. Among other findings, they conclude that HopBB1 enhances the JA response, thereby repressing the SA response and facilitating biotrophic pathogen infection.</w:t>
      </w:r>
    </w:p>
    <w:p w14:paraId="0F631C55" w14:textId="776FB1F1" w:rsidR="00AC1AAB" w:rsidRPr="00CC2710" w:rsidRDefault="00FE09BD" w:rsidP="009E26E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r w:rsidR="00BA7EA0">
        <w:rPr>
          <w:rFonts w:ascii="Arial" w:hAnsi="Arial" w:cs="Arial"/>
          <w:sz w:val="22"/>
          <w:szCs w:val="22"/>
        </w:rPr>
        <w:t>under</w:t>
      </w:r>
      <w:r>
        <w:rPr>
          <w:rFonts w:ascii="Arial" w:hAnsi="Arial" w:cs="Arial"/>
          <w:sz w:val="22"/>
          <w:szCs w:val="22"/>
        </w:rPr>
        <w:t>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5D8B0539" w:rsidR="00896418" w:rsidRDefault="009E26E3" w:rsidP="00F66E82">
      <w:pPr>
        <w:pStyle w:val="NormalWeb"/>
        <w:spacing w:before="0" w:beforeAutospacing="0" w:after="0" w:afterAutospacing="0"/>
        <w:ind w:firstLine="720"/>
        <w:jc w:val="both"/>
        <w:rPr>
          <w:rFonts w:ascii="Arial" w:hAnsi="Arial" w:cs="Arial"/>
          <w:sz w:val="22"/>
          <w:szCs w:val="22"/>
        </w:rPr>
      </w:pPr>
      <w:r>
        <w:rPr>
          <w:noProof/>
        </w:rPr>
        <w:lastRenderedPageBreak/>
        <mc:AlternateContent>
          <mc:Choice Requires="wps">
            <w:drawing>
              <wp:anchor distT="0" distB="0" distL="114300" distR="114300" simplePos="0" relativeHeight="251669504" behindDoc="0" locked="0" layoutInCell="1" allowOverlap="1" wp14:anchorId="3A461EA9" wp14:editId="207C2812">
                <wp:simplePos x="0" y="0"/>
                <wp:positionH relativeFrom="column">
                  <wp:posOffset>0</wp:posOffset>
                </wp:positionH>
                <wp:positionV relativeFrom="paragraph">
                  <wp:posOffset>5143500</wp:posOffset>
                </wp:positionV>
                <wp:extent cx="6400800" cy="1441450"/>
                <wp:effectExtent l="0" t="0" r="0" b="6350"/>
                <wp:wrapThrough wrapText="bothSides">
                  <wp:wrapPolygon edited="0">
                    <wp:start x="0" y="0"/>
                    <wp:lineTo x="0" y="21315"/>
                    <wp:lineTo x="21514" y="21315"/>
                    <wp:lineTo x="2151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A542B2" w:rsidRPr="00AF4E6D" w:rsidRDefault="00A542B2"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05pt;width:7in;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HxJICAAAr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" stroked="f">
                <v:textbox style="mso-fit-shape-to-text:t" inset="0,0,0,0">
                  <w:txbxContent>
                    <w:p w14:paraId="78A6DF01" w14:textId="34C61E8D" w:rsidR="00A542B2" w:rsidRPr="00AF4E6D" w:rsidRDefault="00A542B2"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518D61D2">
            <wp:simplePos x="0" y="0"/>
            <wp:positionH relativeFrom="column">
              <wp:posOffset>0</wp:posOffset>
            </wp:positionH>
            <wp:positionV relativeFrom="paragraph">
              <wp:posOffset>0</wp:posOffset>
            </wp:positionV>
            <wp:extent cx="6400800" cy="5146040"/>
            <wp:effectExtent l="0" t="0" r="0" b="1016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400800" cy="514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A06">
        <w:rPr>
          <w:rFonts w:ascii="Arial" w:hAnsi="Arial" w:cs="Arial"/>
          <w:sz w:val="22"/>
          <w:szCs w:val="22"/>
        </w:rPr>
        <w:t xml:space="preserve">Recall </w:t>
      </w:r>
      <w:r w:rsidR="00FB6721">
        <w:rPr>
          <w:rFonts w:ascii="Arial" w:hAnsi="Arial" w:cs="Arial"/>
          <w:sz w:val="22"/>
          <w:szCs w:val="22"/>
        </w:rPr>
        <w:t xml:space="preserve">that </w:t>
      </w:r>
      <w:r w:rsidR="00E96A06">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sidR="00E96A06">
        <w:rPr>
          <w:rFonts w:ascii="Arial" w:hAnsi="Arial" w:cs="Arial"/>
          <w:sz w:val="22"/>
          <w:szCs w:val="22"/>
        </w:rPr>
        <w:t xml:space="preser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lastRenderedPageBreak/>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"&lt;sup&gt;32&lt;/sup&gt;", "plainTextFormattedCitation" : "32", "previouslyFormattedCitation" : "&lt;sup&gt;31&lt;/sup&gt;" }, "properties" : { "noteIndex" : 0 }, "schema" : "https://github.com/citation-style-language/schema/raw/master/csl-citation.json" }</w:instrText>
      </w:r>
      <w:r w:rsidR="00F47699">
        <w:rPr>
          <w:rFonts w:ascii="Arial" w:hAnsi="Arial" w:cs="Arial"/>
          <w:sz w:val="22"/>
          <w:szCs w:val="22"/>
        </w:rPr>
        <w:fldChar w:fldCharType="separate"/>
      </w:r>
      <w:r w:rsidR="00326C7F" w:rsidRPr="00326C7F">
        <w:rPr>
          <w:rFonts w:ascii="Arial" w:hAnsi="Arial" w:cs="Arial"/>
          <w:noProof/>
          <w:sz w:val="22"/>
          <w:szCs w:val="22"/>
          <w:vertAlign w:val="superscript"/>
        </w:rPr>
        <w:t>32</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r>
        <w:rPr>
          <w:rFonts w:ascii="Arial" w:hAnsi="Arial" w:cs="Arial"/>
          <w:sz w:val="22"/>
          <w:szCs w:val="22"/>
        </w:rPr>
        <w:t>Tradict’s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3E9DB794"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326C7F">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"&lt;sup&gt;21,33&lt;/sup&gt;", "plainTextFormattedCitation" : "21,33", "previouslyFormattedCitation" : "&lt;sup&gt;21,32&lt;/sup&gt;" }, "properties" : { "noteIndex" : 0 }, "schema" : "https://github.com/citation-style-language/schema/raw/master/csl-citation.json" }</w:instrText>
      </w:r>
      <w:r w:rsidR="003D6A3F">
        <w:rPr>
          <w:rFonts w:ascii="Arial" w:hAnsi="Arial" w:cs="Arial"/>
          <w:sz w:val="22"/>
          <w:szCs w:val="22"/>
        </w:rPr>
        <w:fldChar w:fldCharType="separate"/>
      </w:r>
      <w:r w:rsidR="00326C7F" w:rsidRPr="00326C7F">
        <w:rPr>
          <w:rFonts w:ascii="Arial" w:hAnsi="Arial" w:cs="Arial"/>
          <w:noProof/>
          <w:sz w:val="22"/>
          <w:szCs w:val="22"/>
          <w:vertAlign w:val="superscript"/>
        </w:rPr>
        <w:t>21,33</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measure the expression of 10’s-100’s of genes with accuracy, making their use compatible with Tradict. Nevertheless, we see improvements in these approaches that could increase multiplexibility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eukyarotic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chemogenomic,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phenotyping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uni-dimensional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lastRenderedPageBreak/>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thank Brian Cleary, Aviv Regev</w:t>
      </w:r>
      <w:r w:rsidRPr="00C65F27">
        <w:rPr>
          <w:rFonts w:ascii="Arial" w:hAnsi="Arial" w:cs="Arial"/>
          <w:sz w:val="22"/>
          <w:szCs w:val="22"/>
        </w:rPr>
        <w:t>,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3CF50040"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D5CD6">
          <w:type w:val="continuous"/>
          <w:pgSz w:w="12240" w:h="15840"/>
          <w:pgMar w:top="1440" w:right="1080" w:bottom="1440" w:left="108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2F8EE45C" w14:textId="77777777" w:rsidR="00AF4E6D" w:rsidRDefault="00AF4E6D" w:rsidP="00AF4E6D">
      <w:pPr>
        <w:pStyle w:val="NormalWeb"/>
        <w:spacing w:before="0" w:beforeAutospacing="0" w:after="0" w:afterAutospacing="0"/>
        <w:divId w:val="44567348"/>
        <w:rPr>
          <w:rFonts w:ascii="Arial" w:hAnsi="Arial" w:cs="Arial"/>
          <w:b/>
          <w:sz w:val="22"/>
          <w:szCs w:val="22"/>
        </w:rPr>
        <w:sectPr w:rsidR="00AF4E6D" w:rsidSect="00FD5CD6">
          <w:type w:val="continuous"/>
          <w:pgSz w:w="12240" w:h="15840"/>
          <w:pgMar w:top="1440" w:right="1080" w:bottom="1440" w:left="1080" w:header="720" w:footer="720" w:gutter="0"/>
          <w:cols w:space="720"/>
          <w:docGrid w:linePitch="360"/>
        </w:sectPr>
      </w:pPr>
    </w:p>
    <w:p w14:paraId="63A05F2D" w14:textId="1AA7DF38" w:rsidR="003B2961" w:rsidRPr="003B2961" w:rsidRDefault="003B2961" w:rsidP="00AF4E6D">
      <w:pPr>
        <w:pStyle w:val="NormalWeb"/>
        <w:tabs>
          <w:tab w:val="left" w:pos="270"/>
        </w:tabs>
        <w:spacing w:before="0" w:beforeAutospacing="0" w:after="0" w:afterAutospacing="0"/>
        <w:jc w:val="both"/>
        <w:divId w:val="44567348"/>
        <w:rPr>
          <w:rFonts w:ascii="Arial" w:hAnsi="Arial" w:cs="Arial"/>
          <w:b/>
          <w:sz w:val="22"/>
          <w:szCs w:val="22"/>
        </w:rPr>
      </w:pPr>
      <w:r>
        <w:rPr>
          <w:rFonts w:ascii="Arial" w:hAnsi="Arial" w:cs="Arial"/>
          <w:b/>
          <w:sz w:val="22"/>
          <w:szCs w:val="22"/>
        </w:rPr>
        <w:lastRenderedPageBreak/>
        <w:t>References</w:t>
      </w:r>
    </w:p>
    <w:p w14:paraId="2D78C71D" w14:textId="45BD5016" w:rsidR="00326C7F" w:rsidRPr="00326C7F" w:rsidRDefault="003B2961">
      <w:pPr>
        <w:pStyle w:val="NormalWeb"/>
        <w:ind w:left="640" w:hanging="640"/>
        <w:divId w:val="1133988545"/>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326C7F" w:rsidRPr="00326C7F">
        <w:rPr>
          <w:rFonts w:ascii="Arial" w:hAnsi="Arial" w:cs="Arial"/>
          <w:noProof/>
          <w:sz w:val="22"/>
        </w:rPr>
        <w:t>1.</w:t>
      </w:r>
      <w:r w:rsidR="00326C7F" w:rsidRPr="00326C7F">
        <w:rPr>
          <w:rFonts w:ascii="Arial" w:hAnsi="Arial" w:cs="Arial"/>
          <w:noProof/>
          <w:sz w:val="22"/>
        </w:rPr>
        <w:tab/>
        <w:t xml:space="preserve">Jacob, F. &amp; Monod, J. Genetic regulatory mechanisms in the synthesis of proteins. </w:t>
      </w:r>
      <w:r w:rsidR="00326C7F" w:rsidRPr="00326C7F">
        <w:rPr>
          <w:rFonts w:ascii="Arial" w:hAnsi="Arial" w:cs="Arial"/>
          <w:i/>
          <w:iCs/>
          <w:noProof/>
          <w:sz w:val="22"/>
        </w:rPr>
        <w:t>J. Mol. Biol.</w:t>
      </w:r>
      <w:r w:rsidR="00326C7F" w:rsidRPr="00326C7F">
        <w:rPr>
          <w:rFonts w:ascii="Arial" w:hAnsi="Arial" w:cs="Arial"/>
          <w:noProof/>
          <w:sz w:val="22"/>
        </w:rPr>
        <w:t xml:space="preserve"> </w:t>
      </w:r>
      <w:r w:rsidR="00326C7F" w:rsidRPr="00326C7F">
        <w:rPr>
          <w:rFonts w:ascii="Arial" w:hAnsi="Arial" w:cs="Arial"/>
          <w:b/>
          <w:bCs/>
          <w:noProof/>
          <w:sz w:val="22"/>
        </w:rPr>
        <w:t>3,</w:t>
      </w:r>
      <w:r w:rsidR="00326C7F" w:rsidRPr="00326C7F">
        <w:rPr>
          <w:rFonts w:ascii="Arial" w:hAnsi="Arial" w:cs="Arial"/>
          <w:noProof/>
          <w:sz w:val="22"/>
        </w:rPr>
        <w:t xml:space="preserve"> 318–356 (1961).</w:t>
      </w:r>
    </w:p>
    <w:p w14:paraId="0D7B5E2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w:t>
      </w:r>
      <w:r w:rsidRPr="00326C7F">
        <w:rPr>
          <w:rFonts w:ascii="Arial" w:hAnsi="Arial" w:cs="Arial"/>
          <w:noProof/>
          <w:sz w:val="22"/>
        </w:rPr>
        <w:tab/>
        <w:t xml:space="preserve">Kaufmann, K., Pajoro, A. &amp; Angenent, G. C. Regulation of transcription in plants: mechanisms controlling developmental switches. </w:t>
      </w:r>
      <w:r w:rsidRPr="00326C7F">
        <w:rPr>
          <w:rFonts w:ascii="Arial" w:hAnsi="Arial" w:cs="Arial"/>
          <w:i/>
          <w:iCs/>
          <w:noProof/>
          <w:sz w:val="22"/>
        </w:rPr>
        <w:t>Nat. Rev. Genet.</w:t>
      </w:r>
      <w:r w:rsidRPr="00326C7F">
        <w:rPr>
          <w:rFonts w:ascii="Arial" w:hAnsi="Arial" w:cs="Arial"/>
          <w:noProof/>
          <w:sz w:val="22"/>
        </w:rPr>
        <w:t xml:space="preserve"> </w:t>
      </w:r>
      <w:r w:rsidRPr="00326C7F">
        <w:rPr>
          <w:rFonts w:ascii="Arial" w:hAnsi="Arial" w:cs="Arial"/>
          <w:b/>
          <w:bCs/>
          <w:noProof/>
          <w:sz w:val="22"/>
        </w:rPr>
        <w:t>11,</w:t>
      </w:r>
      <w:r w:rsidRPr="00326C7F">
        <w:rPr>
          <w:rFonts w:ascii="Arial" w:hAnsi="Arial" w:cs="Arial"/>
          <w:noProof/>
          <w:sz w:val="22"/>
        </w:rPr>
        <w:t xml:space="preserve"> 830–842 (2010).</w:t>
      </w:r>
    </w:p>
    <w:p w14:paraId="50D6F37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w:t>
      </w:r>
      <w:r w:rsidRPr="00326C7F">
        <w:rPr>
          <w:rFonts w:ascii="Arial" w:hAnsi="Arial" w:cs="Arial"/>
          <w:noProof/>
          <w:sz w:val="22"/>
        </w:rPr>
        <w:tab/>
        <w:t xml:space="preserve">Mitchell, P. J. &amp; Tjian, R. Transcriptional Regulation in Mammalian Cells by DNA Binding Proteins.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245,</w:t>
      </w:r>
      <w:r w:rsidRPr="00326C7F">
        <w:rPr>
          <w:rFonts w:ascii="Arial" w:hAnsi="Arial" w:cs="Arial"/>
          <w:noProof/>
          <w:sz w:val="22"/>
        </w:rPr>
        <w:t xml:space="preserve"> 371–378 (1989).</w:t>
      </w:r>
    </w:p>
    <w:p w14:paraId="614760D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4.</w:t>
      </w:r>
      <w:r w:rsidRPr="00326C7F">
        <w:rPr>
          <w:rFonts w:ascii="Arial" w:hAnsi="Arial" w:cs="Arial"/>
          <w:noProof/>
          <w:sz w:val="22"/>
        </w:rPr>
        <w:tab/>
        <w:t xml:space="preserve">Segal, E. </w:t>
      </w:r>
      <w:r w:rsidRPr="00326C7F">
        <w:rPr>
          <w:rFonts w:ascii="Arial" w:hAnsi="Arial" w:cs="Arial"/>
          <w:i/>
          <w:iCs/>
          <w:noProof/>
          <w:sz w:val="22"/>
        </w:rPr>
        <w:t>et al.</w:t>
      </w:r>
      <w:r w:rsidRPr="00326C7F">
        <w:rPr>
          <w:rFonts w:ascii="Arial" w:hAnsi="Arial" w:cs="Arial"/>
          <w:noProof/>
          <w:sz w:val="22"/>
        </w:rPr>
        <w:t xml:space="preserve"> Module networks: identifying regulatory modules and their condition-specific regulators from gene expression data. </w:t>
      </w:r>
      <w:r w:rsidRPr="00326C7F">
        <w:rPr>
          <w:rFonts w:ascii="Arial" w:hAnsi="Arial" w:cs="Arial"/>
          <w:i/>
          <w:iCs/>
          <w:noProof/>
          <w:sz w:val="22"/>
        </w:rPr>
        <w:t>Nat. Genet.</w:t>
      </w:r>
      <w:r w:rsidRPr="00326C7F">
        <w:rPr>
          <w:rFonts w:ascii="Arial" w:hAnsi="Arial" w:cs="Arial"/>
          <w:noProof/>
          <w:sz w:val="22"/>
        </w:rPr>
        <w:t xml:space="preserve"> </w:t>
      </w:r>
      <w:r w:rsidRPr="00326C7F">
        <w:rPr>
          <w:rFonts w:ascii="Arial" w:hAnsi="Arial" w:cs="Arial"/>
          <w:b/>
          <w:bCs/>
          <w:noProof/>
          <w:sz w:val="22"/>
        </w:rPr>
        <w:t>34,</w:t>
      </w:r>
      <w:r w:rsidRPr="00326C7F">
        <w:rPr>
          <w:rFonts w:ascii="Arial" w:hAnsi="Arial" w:cs="Arial"/>
          <w:noProof/>
          <w:sz w:val="22"/>
        </w:rPr>
        <w:t xml:space="preserve"> (2003).</w:t>
      </w:r>
    </w:p>
    <w:p w14:paraId="0A5B09E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5.</w:t>
      </w:r>
      <w:r w:rsidRPr="00326C7F">
        <w:rPr>
          <w:rFonts w:ascii="Arial" w:hAnsi="Arial" w:cs="Arial"/>
          <w:noProof/>
          <w:sz w:val="22"/>
        </w:rPr>
        <w:tab/>
        <w:t xml:space="preserve">Hart, Y. </w:t>
      </w:r>
      <w:r w:rsidRPr="00326C7F">
        <w:rPr>
          <w:rFonts w:ascii="Arial" w:hAnsi="Arial" w:cs="Arial"/>
          <w:i/>
          <w:iCs/>
          <w:noProof/>
          <w:sz w:val="22"/>
        </w:rPr>
        <w:t>et al.</w:t>
      </w:r>
      <w:r w:rsidRPr="00326C7F">
        <w:rPr>
          <w:rFonts w:ascii="Arial" w:hAnsi="Arial" w:cs="Arial"/>
          <w:noProof/>
          <w:sz w:val="22"/>
        </w:rPr>
        <w:t xml:space="preserve"> Inferring biological tasks using Pareto analysis of high-dimensional data.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12,</w:t>
      </w:r>
      <w:r w:rsidRPr="00326C7F">
        <w:rPr>
          <w:rFonts w:ascii="Arial" w:hAnsi="Arial" w:cs="Arial"/>
          <w:noProof/>
          <w:sz w:val="22"/>
        </w:rPr>
        <w:t xml:space="preserve"> (2015).</w:t>
      </w:r>
    </w:p>
    <w:p w14:paraId="6198793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6.</w:t>
      </w:r>
      <w:r w:rsidRPr="00326C7F">
        <w:rPr>
          <w:rFonts w:ascii="Arial" w:hAnsi="Arial" w:cs="Arial"/>
          <w:noProof/>
          <w:sz w:val="22"/>
        </w:rPr>
        <w:tab/>
        <w:t xml:space="preserve">Shoval, O. </w:t>
      </w:r>
      <w:r w:rsidRPr="00326C7F">
        <w:rPr>
          <w:rFonts w:ascii="Arial" w:hAnsi="Arial" w:cs="Arial"/>
          <w:i/>
          <w:iCs/>
          <w:noProof/>
          <w:sz w:val="22"/>
        </w:rPr>
        <w:t>et al.</w:t>
      </w:r>
      <w:r w:rsidRPr="00326C7F">
        <w:rPr>
          <w:rFonts w:ascii="Arial" w:hAnsi="Arial" w:cs="Arial"/>
          <w:noProof/>
          <w:sz w:val="22"/>
        </w:rPr>
        <w:t xml:space="preserve"> Evolutionary Trade-Offs, Pareto Optimality, and the Geometry of Phenotype Space.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336,</w:t>
      </w:r>
      <w:r w:rsidRPr="00326C7F">
        <w:rPr>
          <w:rFonts w:ascii="Arial" w:hAnsi="Arial" w:cs="Arial"/>
          <w:noProof/>
          <w:sz w:val="22"/>
        </w:rPr>
        <w:t xml:space="preserve"> 1157–1160 (2012).</w:t>
      </w:r>
    </w:p>
    <w:p w14:paraId="316E8AE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7.</w:t>
      </w:r>
      <w:r w:rsidRPr="00326C7F">
        <w:rPr>
          <w:rFonts w:ascii="Arial" w:hAnsi="Arial" w:cs="Arial"/>
          <w:noProof/>
          <w:sz w:val="22"/>
        </w:rPr>
        <w:tab/>
        <w:t xml:space="preserve">Jeong, H., Tombor, B., Albert, R., Oltvai, Z. N. &amp; Barabási, a L. The large-scale organization of metabolic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407,</w:t>
      </w:r>
      <w:r w:rsidRPr="00326C7F">
        <w:rPr>
          <w:rFonts w:ascii="Arial" w:hAnsi="Arial" w:cs="Arial"/>
          <w:noProof/>
          <w:sz w:val="22"/>
        </w:rPr>
        <w:t xml:space="preserve"> 651–654 (2000).</w:t>
      </w:r>
    </w:p>
    <w:p w14:paraId="78D346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8.</w:t>
      </w:r>
      <w:r w:rsidRPr="00326C7F">
        <w:rPr>
          <w:rFonts w:ascii="Arial" w:hAnsi="Arial" w:cs="Arial"/>
          <w:noProof/>
          <w:sz w:val="22"/>
        </w:rPr>
        <w:tab/>
        <w:t xml:space="preserve">Albert, R., Lee, J. H. &amp; Barabási, A.-L. Error and attack tolerance of complex networks.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406,</w:t>
      </w:r>
      <w:r w:rsidRPr="00326C7F">
        <w:rPr>
          <w:rFonts w:ascii="Arial" w:hAnsi="Arial" w:cs="Arial"/>
          <w:noProof/>
          <w:sz w:val="22"/>
        </w:rPr>
        <w:t xml:space="preserve"> 378–382 (2000).</w:t>
      </w:r>
    </w:p>
    <w:p w14:paraId="5C396958"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9.</w:t>
      </w:r>
      <w:r w:rsidRPr="00326C7F">
        <w:rPr>
          <w:rFonts w:ascii="Arial" w:hAnsi="Arial" w:cs="Arial"/>
          <w:noProof/>
          <w:sz w:val="22"/>
        </w:rPr>
        <w:tab/>
        <w:t xml:space="preserve">Barabási, A.-L. &amp; Albert, R. Emergence of Scaling in Random Networks.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286,</w:t>
      </w:r>
      <w:r w:rsidRPr="00326C7F">
        <w:rPr>
          <w:rFonts w:ascii="Arial" w:hAnsi="Arial" w:cs="Arial"/>
          <w:noProof/>
          <w:sz w:val="22"/>
        </w:rPr>
        <w:t xml:space="preserve"> 509–513 (1999).</w:t>
      </w:r>
    </w:p>
    <w:p w14:paraId="218B4C2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10.</w:t>
      </w:r>
      <w:r w:rsidRPr="00326C7F">
        <w:rPr>
          <w:rFonts w:ascii="Arial" w:hAnsi="Arial" w:cs="Arial"/>
          <w:noProof/>
          <w:sz w:val="22"/>
        </w:rPr>
        <w:tab/>
        <w:t xml:space="preserve">Troyanskaya, O. </w:t>
      </w:r>
      <w:r w:rsidRPr="00326C7F">
        <w:rPr>
          <w:rFonts w:ascii="Arial" w:hAnsi="Arial" w:cs="Arial"/>
          <w:i/>
          <w:iCs/>
          <w:noProof/>
          <w:sz w:val="22"/>
        </w:rPr>
        <w:t>et al.</w:t>
      </w:r>
      <w:r w:rsidRPr="00326C7F">
        <w:rPr>
          <w:rFonts w:ascii="Arial" w:hAnsi="Arial" w:cs="Arial"/>
          <w:noProof/>
          <w:sz w:val="22"/>
        </w:rPr>
        <w:t xml:space="preserve"> Missing value estimation methods for DNA microarrays. </w:t>
      </w:r>
      <w:r w:rsidRPr="00326C7F">
        <w:rPr>
          <w:rFonts w:ascii="Arial" w:hAnsi="Arial" w:cs="Arial"/>
          <w:b/>
          <w:bCs/>
          <w:noProof/>
          <w:sz w:val="22"/>
        </w:rPr>
        <w:t>17,</w:t>
      </w:r>
      <w:r w:rsidRPr="00326C7F">
        <w:rPr>
          <w:rFonts w:ascii="Arial" w:hAnsi="Arial" w:cs="Arial"/>
          <w:noProof/>
          <w:sz w:val="22"/>
        </w:rPr>
        <w:t xml:space="preserve"> 520–525 (2001).</w:t>
      </w:r>
    </w:p>
    <w:p w14:paraId="77F65A2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11.</w:t>
      </w:r>
      <w:r w:rsidRPr="00326C7F">
        <w:rPr>
          <w:rFonts w:ascii="Arial" w:hAnsi="Arial" w:cs="Arial"/>
          <w:noProof/>
          <w:sz w:val="22"/>
        </w:rPr>
        <w:tab/>
        <w:t xml:space="preserve">Liew, A. W., Law, N. &amp; Yan, H. Missing value imputation for gene expression data : computational techniques to recover missing data from available information. </w:t>
      </w:r>
      <w:r w:rsidRPr="00326C7F">
        <w:rPr>
          <w:rFonts w:ascii="Arial" w:hAnsi="Arial" w:cs="Arial"/>
          <w:b/>
          <w:bCs/>
          <w:noProof/>
          <w:sz w:val="22"/>
        </w:rPr>
        <w:t>12,</w:t>
      </w:r>
      <w:r w:rsidRPr="00326C7F">
        <w:rPr>
          <w:rFonts w:ascii="Arial" w:hAnsi="Arial" w:cs="Arial"/>
          <w:noProof/>
          <w:sz w:val="22"/>
        </w:rPr>
        <w:t xml:space="preserve"> 498–513 (2010).</w:t>
      </w:r>
    </w:p>
    <w:p w14:paraId="40EE458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12.</w:t>
      </w:r>
      <w:r w:rsidRPr="00326C7F">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0FEEAD3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13.</w:t>
      </w:r>
      <w:r w:rsidRPr="00326C7F">
        <w:rPr>
          <w:rFonts w:ascii="Arial" w:hAnsi="Arial" w:cs="Arial"/>
          <w:noProof/>
          <w:sz w:val="22"/>
        </w:rPr>
        <w:tab/>
        <w:t xml:space="preserve">Ling, M. H. T. &amp; Poh, C. L. A predictor for predicting Escherichia coli transcriptome and the effects of gene perturbations. </w:t>
      </w:r>
      <w:r w:rsidRPr="00326C7F">
        <w:rPr>
          <w:rFonts w:ascii="Arial" w:hAnsi="Arial" w:cs="Arial"/>
          <w:i/>
          <w:iCs/>
          <w:noProof/>
          <w:sz w:val="22"/>
        </w:rPr>
        <w:t>BMC Bioinformatics</w:t>
      </w:r>
      <w:r w:rsidRPr="00326C7F">
        <w:rPr>
          <w:rFonts w:ascii="Arial" w:hAnsi="Arial" w:cs="Arial"/>
          <w:noProof/>
          <w:sz w:val="22"/>
        </w:rPr>
        <w:t xml:space="preserve"> </w:t>
      </w:r>
      <w:r w:rsidRPr="00326C7F">
        <w:rPr>
          <w:rFonts w:ascii="Arial" w:hAnsi="Arial" w:cs="Arial"/>
          <w:b/>
          <w:bCs/>
          <w:noProof/>
          <w:sz w:val="22"/>
        </w:rPr>
        <w:t>15,</w:t>
      </w:r>
      <w:r w:rsidRPr="00326C7F">
        <w:rPr>
          <w:rFonts w:ascii="Arial" w:hAnsi="Arial" w:cs="Arial"/>
          <w:noProof/>
          <w:sz w:val="22"/>
        </w:rPr>
        <w:t xml:space="preserve"> 140 (2014).</w:t>
      </w:r>
    </w:p>
    <w:p w14:paraId="52777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14.</w:t>
      </w:r>
      <w:r w:rsidRPr="00326C7F">
        <w:rPr>
          <w:rFonts w:ascii="Arial" w:hAnsi="Arial" w:cs="Arial"/>
          <w:noProof/>
          <w:sz w:val="22"/>
        </w:rPr>
        <w:tab/>
        <w:t xml:space="preserve">Donner, Y., Feng, T., Benoist, C. &amp; Koller, D. Imputing gene expression from selectively reduced probe sets.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(2012).</w:t>
      </w:r>
    </w:p>
    <w:p w14:paraId="4C252BDB"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15.</w:t>
      </w:r>
      <w:r w:rsidRPr="00326C7F">
        <w:rPr>
          <w:rFonts w:ascii="Arial" w:hAnsi="Arial" w:cs="Arial"/>
          <w:noProof/>
          <w:sz w:val="22"/>
        </w:rPr>
        <w:tab/>
        <w:t xml:space="preserve">Heimberg, G. </w:t>
      </w:r>
      <w:r w:rsidRPr="00326C7F">
        <w:rPr>
          <w:rFonts w:ascii="Arial" w:hAnsi="Arial" w:cs="Arial"/>
          <w:i/>
          <w:iCs/>
          <w:noProof/>
          <w:sz w:val="22"/>
        </w:rPr>
        <w:t>et al.</w:t>
      </w:r>
      <w:r w:rsidRPr="00326C7F">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326C7F">
        <w:rPr>
          <w:rFonts w:ascii="Arial" w:hAnsi="Arial" w:cs="Arial"/>
          <w:i/>
          <w:iCs/>
          <w:noProof/>
          <w:sz w:val="22"/>
        </w:rPr>
        <w:t>Cell Syst.</w:t>
      </w:r>
      <w:r w:rsidRPr="00326C7F">
        <w:rPr>
          <w:rFonts w:ascii="Arial" w:hAnsi="Arial" w:cs="Arial"/>
          <w:noProof/>
          <w:sz w:val="22"/>
        </w:rPr>
        <w:t xml:space="preserve"> </w:t>
      </w:r>
      <w:r w:rsidRPr="00326C7F">
        <w:rPr>
          <w:rFonts w:ascii="Arial" w:hAnsi="Arial" w:cs="Arial"/>
          <w:b/>
          <w:bCs/>
          <w:noProof/>
          <w:sz w:val="22"/>
        </w:rPr>
        <w:t>2,</w:t>
      </w:r>
      <w:r w:rsidRPr="00326C7F">
        <w:rPr>
          <w:rFonts w:ascii="Arial" w:hAnsi="Arial" w:cs="Arial"/>
          <w:noProof/>
          <w:sz w:val="22"/>
        </w:rPr>
        <w:t xml:space="preserve"> 239–250 (2016).</w:t>
      </w:r>
    </w:p>
    <w:p w14:paraId="4910573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16.</w:t>
      </w:r>
      <w:r w:rsidRPr="00326C7F">
        <w:rPr>
          <w:rFonts w:ascii="Arial" w:hAnsi="Arial" w:cs="Arial"/>
          <w:noProof/>
          <w:sz w:val="22"/>
        </w:rPr>
        <w:tab/>
        <w:t xml:space="preserve">Pollen, A. A. </w:t>
      </w:r>
      <w:r w:rsidRPr="00326C7F">
        <w:rPr>
          <w:rFonts w:ascii="Arial" w:hAnsi="Arial" w:cs="Arial"/>
          <w:i/>
          <w:iCs/>
          <w:noProof/>
          <w:sz w:val="22"/>
        </w:rPr>
        <w:t>et al.</w:t>
      </w:r>
      <w:r w:rsidRPr="00326C7F">
        <w:rPr>
          <w:rFonts w:ascii="Arial" w:hAnsi="Arial" w:cs="Arial"/>
          <w:noProof/>
          <w:sz w:val="22"/>
        </w:rPr>
        <w:t xml:space="preserve"> Low-coverage single-cell mRNA sequencing reveals cellular heterogeneity and activated signaling pathways in developing cerebral cortex. </w:t>
      </w:r>
      <w:r w:rsidRPr="00326C7F">
        <w:rPr>
          <w:rFonts w:ascii="Arial" w:hAnsi="Arial" w:cs="Arial"/>
          <w:i/>
          <w:iCs/>
          <w:noProof/>
          <w:sz w:val="22"/>
        </w:rPr>
        <w:t>Nat. Biotechnol.</w:t>
      </w:r>
      <w:r w:rsidRPr="00326C7F">
        <w:rPr>
          <w:rFonts w:ascii="Arial" w:hAnsi="Arial" w:cs="Arial"/>
          <w:noProof/>
          <w:sz w:val="22"/>
        </w:rPr>
        <w:t xml:space="preserve"> </w:t>
      </w:r>
      <w:r w:rsidRPr="00326C7F">
        <w:rPr>
          <w:rFonts w:ascii="Arial" w:hAnsi="Arial" w:cs="Arial"/>
          <w:b/>
          <w:bCs/>
          <w:noProof/>
          <w:sz w:val="22"/>
        </w:rPr>
        <w:t>32,</w:t>
      </w:r>
      <w:r w:rsidRPr="00326C7F">
        <w:rPr>
          <w:rFonts w:ascii="Arial" w:hAnsi="Arial" w:cs="Arial"/>
          <w:noProof/>
          <w:sz w:val="22"/>
        </w:rPr>
        <w:t xml:space="preserve"> (2014).</w:t>
      </w:r>
    </w:p>
    <w:p w14:paraId="12EE869D"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17.</w:t>
      </w:r>
      <w:r w:rsidRPr="00326C7F">
        <w:rPr>
          <w:rFonts w:ascii="Arial" w:hAnsi="Arial" w:cs="Arial"/>
          <w:noProof/>
          <w:sz w:val="22"/>
        </w:rPr>
        <w:tab/>
        <w:t xml:space="preserve">Kliebenstein, D. J. Exploring the shallow end; estimating information content in transcriptomics studies. </w:t>
      </w:r>
      <w:r w:rsidRPr="00326C7F">
        <w:rPr>
          <w:rFonts w:ascii="Arial" w:hAnsi="Arial" w:cs="Arial"/>
          <w:i/>
          <w:iCs/>
          <w:noProof/>
          <w:sz w:val="22"/>
        </w:rPr>
        <w:t>Front. Plant Sci.</w:t>
      </w:r>
      <w:r w:rsidRPr="00326C7F">
        <w:rPr>
          <w:rFonts w:ascii="Arial" w:hAnsi="Arial" w:cs="Arial"/>
          <w:noProof/>
          <w:sz w:val="22"/>
        </w:rPr>
        <w:t xml:space="preserve"> </w:t>
      </w:r>
      <w:r w:rsidRPr="00326C7F">
        <w:rPr>
          <w:rFonts w:ascii="Arial" w:hAnsi="Arial" w:cs="Arial"/>
          <w:b/>
          <w:bCs/>
          <w:noProof/>
          <w:sz w:val="22"/>
        </w:rPr>
        <w:t>3,</w:t>
      </w:r>
      <w:r w:rsidRPr="00326C7F">
        <w:rPr>
          <w:rFonts w:ascii="Arial" w:hAnsi="Arial" w:cs="Arial"/>
          <w:noProof/>
          <w:sz w:val="22"/>
        </w:rPr>
        <w:t xml:space="preserve"> 1–10 (2012).</w:t>
      </w:r>
    </w:p>
    <w:p w14:paraId="63AF0043"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18.</w:t>
      </w:r>
      <w:r w:rsidRPr="00326C7F">
        <w:rPr>
          <w:rFonts w:ascii="Arial" w:hAnsi="Arial" w:cs="Arial"/>
          <w:noProof/>
          <w:sz w:val="22"/>
        </w:rPr>
        <w:tab/>
        <w:t xml:space="preserve">Jaitin, D. A. </w:t>
      </w:r>
      <w:r w:rsidRPr="00326C7F">
        <w:rPr>
          <w:rFonts w:ascii="Arial" w:hAnsi="Arial" w:cs="Arial"/>
          <w:i/>
          <w:iCs/>
          <w:noProof/>
          <w:sz w:val="22"/>
        </w:rPr>
        <w:t>et al.</w:t>
      </w:r>
      <w:r w:rsidRPr="00326C7F">
        <w:rPr>
          <w:rFonts w:ascii="Arial" w:hAnsi="Arial" w:cs="Arial"/>
          <w:noProof/>
          <w:sz w:val="22"/>
        </w:rPr>
        <w:t xml:space="preserve"> Massively Parallel Single-Cell RNA-Seq for Marker-Free Decomposition of Tissues into Cell Types. </w:t>
      </w:r>
      <w:r w:rsidRPr="00326C7F">
        <w:rPr>
          <w:rFonts w:ascii="Arial" w:hAnsi="Arial" w:cs="Arial"/>
          <w:i/>
          <w:iCs/>
          <w:noProof/>
          <w:sz w:val="22"/>
        </w:rPr>
        <w:t>Science (80-. ).</w:t>
      </w:r>
      <w:r w:rsidRPr="00326C7F">
        <w:rPr>
          <w:rFonts w:ascii="Arial" w:hAnsi="Arial" w:cs="Arial"/>
          <w:noProof/>
          <w:sz w:val="22"/>
        </w:rPr>
        <w:t xml:space="preserve"> </w:t>
      </w:r>
      <w:r w:rsidRPr="00326C7F">
        <w:rPr>
          <w:rFonts w:ascii="Arial" w:hAnsi="Arial" w:cs="Arial"/>
          <w:b/>
          <w:bCs/>
          <w:noProof/>
          <w:sz w:val="22"/>
        </w:rPr>
        <w:t>343,</w:t>
      </w:r>
      <w:r w:rsidRPr="00326C7F">
        <w:rPr>
          <w:rFonts w:ascii="Arial" w:hAnsi="Arial" w:cs="Arial"/>
          <w:noProof/>
          <w:sz w:val="22"/>
        </w:rPr>
        <w:t xml:space="preserve"> 776–779 (2014).</w:t>
      </w:r>
    </w:p>
    <w:p w14:paraId="4BA9F244"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19.</w:t>
      </w:r>
      <w:r w:rsidRPr="00326C7F">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51BFF212"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20.</w:t>
      </w:r>
      <w:r w:rsidRPr="00326C7F">
        <w:rPr>
          <w:rFonts w:ascii="Arial" w:hAnsi="Arial" w:cs="Arial"/>
          <w:noProof/>
          <w:sz w:val="22"/>
        </w:rPr>
        <w:tab/>
        <w:t>Illumina. TruSeq Targeted RNA Expression Kits. at &lt;http://www.illumina.com/products/truseq-targeted-rna-expression-kits.html&gt;</w:t>
      </w:r>
    </w:p>
    <w:p w14:paraId="4BB66E6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21.</w:t>
      </w:r>
      <w:r w:rsidRPr="00326C7F">
        <w:rPr>
          <w:rFonts w:ascii="Arial" w:hAnsi="Arial" w:cs="Arial"/>
          <w:noProof/>
          <w:sz w:val="22"/>
        </w:rPr>
        <w:tab/>
        <w:t xml:space="preserve">Mercer, T. R. </w:t>
      </w:r>
      <w:r w:rsidRPr="00326C7F">
        <w:rPr>
          <w:rFonts w:ascii="Arial" w:hAnsi="Arial" w:cs="Arial"/>
          <w:i/>
          <w:iCs/>
          <w:noProof/>
          <w:sz w:val="22"/>
        </w:rPr>
        <w:t>et al.</w:t>
      </w:r>
      <w:r w:rsidRPr="00326C7F">
        <w:rPr>
          <w:rFonts w:ascii="Arial" w:hAnsi="Arial" w:cs="Arial"/>
          <w:noProof/>
          <w:sz w:val="22"/>
        </w:rPr>
        <w:t xml:space="preserve"> Targeted sequencing for gene discovery and quantification using RNA CaptureSeq. </w:t>
      </w:r>
      <w:r w:rsidRPr="00326C7F">
        <w:rPr>
          <w:rFonts w:ascii="Arial" w:hAnsi="Arial" w:cs="Arial"/>
          <w:i/>
          <w:iCs/>
          <w:noProof/>
          <w:sz w:val="22"/>
        </w:rPr>
        <w:t>Nat. Protoc.</w:t>
      </w:r>
      <w:r w:rsidRPr="00326C7F">
        <w:rPr>
          <w:rFonts w:ascii="Arial" w:hAnsi="Arial" w:cs="Arial"/>
          <w:noProof/>
          <w:sz w:val="22"/>
        </w:rPr>
        <w:t xml:space="preserve"> </w:t>
      </w:r>
      <w:r w:rsidRPr="00326C7F">
        <w:rPr>
          <w:rFonts w:ascii="Arial" w:hAnsi="Arial" w:cs="Arial"/>
          <w:b/>
          <w:bCs/>
          <w:noProof/>
          <w:sz w:val="22"/>
        </w:rPr>
        <w:t>9,</w:t>
      </w:r>
      <w:r w:rsidRPr="00326C7F">
        <w:rPr>
          <w:rFonts w:ascii="Arial" w:hAnsi="Arial" w:cs="Arial"/>
          <w:noProof/>
          <w:sz w:val="22"/>
        </w:rPr>
        <w:t xml:space="preserve"> 989–1009 (2014).</w:t>
      </w:r>
    </w:p>
    <w:p w14:paraId="30B7869F"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22.</w:t>
      </w:r>
      <w:r w:rsidRPr="00326C7F">
        <w:rPr>
          <w:rFonts w:ascii="Arial" w:hAnsi="Arial" w:cs="Arial"/>
          <w:noProof/>
          <w:sz w:val="22"/>
        </w:rPr>
        <w:tab/>
        <w:t xml:space="preserve">Li, H., Qiu, J. &amp; Fu, X. RASL-seq for Massively Parallel and Quantitative Analysis of Gene Expression. </w:t>
      </w:r>
      <w:r w:rsidRPr="00326C7F">
        <w:rPr>
          <w:rFonts w:ascii="Arial" w:hAnsi="Arial" w:cs="Arial"/>
          <w:i/>
          <w:iCs/>
          <w:noProof/>
          <w:sz w:val="22"/>
        </w:rPr>
        <w:t>Curr. Protoc. Mol. Biol.</w:t>
      </w:r>
      <w:r w:rsidRPr="00326C7F">
        <w:rPr>
          <w:rFonts w:ascii="Arial" w:hAnsi="Arial" w:cs="Arial"/>
          <w:noProof/>
          <w:sz w:val="22"/>
        </w:rPr>
        <w:t xml:space="preserve"> 1–9 (2012). doi:10.1002/0471142727.mb0413s98</w:t>
      </w:r>
    </w:p>
    <w:p w14:paraId="0BB443A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23.</w:t>
      </w:r>
      <w:r w:rsidRPr="00326C7F">
        <w:rPr>
          <w:rFonts w:ascii="Arial" w:hAnsi="Arial" w:cs="Arial"/>
          <w:noProof/>
          <w:sz w:val="22"/>
        </w:rPr>
        <w:tab/>
        <w:t xml:space="preserve">Larman, H. B. </w:t>
      </w:r>
      <w:r w:rsidRPr="00326C7F">
        <w:rPr>
          <w:rFonts w:ascii="Arial" w:hAnsi="Arial" w:cs="Arial"/>
          <w:i/>
          <w:iCs/>
          <w:noProof/>
          <w:sz w:val="22"/>
        </w:rPr>
        <w:t>et al.</w:t>
      </w:r>
      <w:r w:rsidRPr="00326C7F">
        <w:rPr>
          <w:rFonts w:ascii="Arial" w:hAnsi="Arial" w:cs="Arial"/>
          <w:noProof/>
          <w:sz w:val="22"/>
        </w:rPr>
        <w:t xml:space="preserve"> Sensitive, multiplex and direct quantification of RNA sequences using a modified RASL assay. </w:t>
      </w:r>
      <w:r w:rsidRPr="00326C7F">
        <w:rPr>
          <w:rFonts w:ascii="Arial" w:hAnsi="Arial" w:cs="Arial"/>
          <w:i/>
          <w:iCs/>
          <w:noProof/>
          <w:sz w:val="22"/>
        </w:rPr>
        <w:t>Nucleic Acids Res.</w:t>
      </w:r>
      <w:r w:rsidRPr="00326C7F">
        <w:rPr>
          <w:rFonts w:ascii="Arial" w:hAnsi="Arial" w:cs="Arial"/>
          <w:noProof/>
          <w:sz w:val="22"/>
        </w:rPr>
        <w:t xml:space="preserve"> 1–12 (2014). doi:10.1093/nar/gku636</w:t>
      </w:r>
    </w:p>
    <w:p w14:paraId="1D931E01"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24.</w:t>
      </w:r>
      <w:r w:rsidRPr="00326C7F">
        <w:rPr>
          <w:rFonts w:ascii="Arial" w:hAnsi="Arial" w:cs="Arial"/>
          <w:noProof/>
          <w:sz w:val="22"/>
        </w:rPr>
        <w:tab/>
        <w:t xml:space="preserve">Scott, E. R. </w:t>
      </w:r>
      <w:r w:rsidRPr="00326C7F">
        <w:rPr>
          <w:rFonts w:ascii="Arial" w:hAnsi="Arial" w:cs="Arial"/>
          <w:i/>
          <w:iCs/>
          <w:noProof/>
          <w:sz w:val="22"/>
        </w:rPr>
        <w:t>et al.</w:t>
      </w:r>
      <w:r w:rsidRPr="00326C7F">
        <w:rPr>
          <w:rFonts w:ascii="Arial" w:hAnsi="Arial" w:cs="Arial"/>
          <w:noProof/>
          <w:sz w:val="22"/>
        </w:rPr>
        <w:t xml:space="preserve"> RASLseqTools: open-source methods for designing and analyzing RNA-mediated oligonucleotide Annealing, Selection, and, Ligation sequencing (RASL-seq) experiments. </w:t>
      </w:r>
      <w:r w:rsidRPr="00326C7F">
        <w:rPr>
          <w:rFonts w:ascii="Arial" w:hAnsi="Arial" w:cs="Arial"/>
          <w:i/>
          <w:iCs/>
          <w:noProof/>
          <w:sz w:val="22"/>
        </w:rPr>
        <w:t>bioRxiv</w:t>
      </w:r>
      <w:r w:rsidRPr="00326C7F">
        <w:rPr>
          <w:rFonts w:ascii="Arial" w:hAnsi="Arial" w:cs="Arial"/>
          <w:noProof/>
          <w:sz w:val="22"/>
        </w:rPr>
        <w:t xml:space="preserve"> (2016).</w:t>
      </w:r>
    </w:p>
    <w:p w14:paraId="2FF2CDC7"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25.</w:t>
      </w:r>
      <w:r w:rsidRPr="00326C7F">
        <w:rPr>
          <w:rFonts w:ascii="Arial" w:hAnsi="Arial" w:cs="Arial"/>
          <w:noProof/>
          <w:sz w:val="22"/>
        </w:rPr>
        <w:tab/>
        <w:t xml:space="preserve">Biswas, S. The latent logarithm. </w:t>
      </w:r>
      <w:r w:rsidRPr="00326C7F">
        <w:rPr>
          <w:rFonts w:ascii="Arial" w:hAnsi="Arial" w:cs="Arial"/>
          <w:i/>
          <w:iCs/>
          <w:noProof/>
          <w:sz w:val="22"/>
        </w:rPr>
        <w:t>arXiv</w:t>
      </w:r>
      <w:r w:rsidRPr="00326C7F">
        <w:rPr>
          <w:rFonts w:ascii="Arial" w:hAnsi="Arial" w:cs="Arial"/>
          <w:noProof/>
          <w:sz w:val="22"/>
        </w:rPr>
        <w:t xml:space="preserve"> 1–11 (2016).</w:t>
      </w:r>
    </w:p>
    <w:p w14:paraId="10CD14B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26.</w:t>
      </w:r>
      <w:r w:rsidRPr="00326C7F">
        <w:rPr>
          <w:rFonts w:ascii="Arial" w:hAnsi="Arial" w:cs="Arial"/>
          <w:noProof/>
          <w:sz w:val="22"/>
        </w:rPr>
        <w:tab/>
        <w:t xml:space="preserve">Ma, S. &amp; Kosorok, M. R. Identification of differential gene pathways with principal component analysis. </w:t>
      </w:r>
      <w:r w:rsidRPr="00326C7F">
        <w:rPr>
          <w:rFonts w:ascii="Arial" w:hAnsi="Arial" w:cs="Arial"/>
          <w:i/>
          <w:iCs/>
          <w:noProof/>
          <w:sz w:val="22"/>
        </w:rPr>
        <w:t>Bioinformatics</w:t>
      </w:r>
      <w:r w:rsidRPr="00326C7F">
        <w:rPr>
          <w:rFonts w:ascii="Arial" w:hAnsi="Arial" w:cs="Arial"/>
          <w:noProof/>
          <w:sz w:val="22"/>
        </w:rPr>
        <w:t xml:space="preserve"> </w:t>
      </w:r>
      <w:r w:rsidRPr="00326C7F">
        <w:rPr>
          <w:rFonts w:ascii="Arial" w:hAnsi="Arial" w:cs="Arial"/>
          <w:b/>
          <w:bCs/>
          <w:noProof/>
          <w:sz w:val="22"/>
        </w:rPr>
        <w:t>25,</w:t>
      </w:r>
      <w:r w:rsidRPr="00326C7F">
        <w:rPr>
          <w:rFonts w:ascii="Arial" w:hAnsi="Arial" w:cs="Arial"/>
          <w:noProof/>
          <w:sz w:val="22"/>
        </w:rPr>
        <w:t xml:space="preserve"> 882–889 (2009).</w:t>
      </w:r>
    </w:p>
    <w:p w14:paraId="26A0D75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27.</w:t>
      </w:r>
      <w:r w:rsidRPr="00326C7F">
        <w:rPr>
          <w:rFonts w:ascii="Arial" w:hAnsi="Arial" w:cs="Arial"/>
          <w:noProof/>
          <w:sz w:val="22"/>
        </w:rPr>
        <w:tab/>
        <w:t xml:space="preserve">Fan, J. </w:t>
      </w:r>
      <w:r w:rsidRPr="00326C7F">
        <w:rPr>
          <w:rFonts w:ascii="Arial" w:hAnsi="Arial" w:cs="Arial"/>
          <w:i/>
          <w:iCs/>
          <w:noProof/>
          <w:sz w:val="22"/>
        </w:rPr>
        <w:t>et al.</w:t>
      </w:r>
      <w:r w:rsidRPr="00326C7F">
        <w:rPr>
          <w:rFonts w:ascii="Arial" w:hAnsi="Arial" w:cs="Arial"/>
          <w:noProof/>
          <w:sz w:val="22"/>
        </w:rPr>
        <w:t xml:space="preserve"> Characterizing transcriptional heterogeneity through pathway and gene set overdispersion analysis. </w:t>
      </w:r>
      <w:r w:rsidRPr="00326C7F">
        <w:rPr>
          <w:rFonts w:ascii="Arial" w:hAnsi="Arial" w:cs="Arial"/>
          <w:i/>
          <w:iCs/>
          <w:noProof/>
          <w:sz w:val="22"/>
        </w:rPr>
        <w:t>Nat. Methods</w:t>
      </w:r>
      <w:r w:rsidRPr="00326C7F">
        <w:rPr>
          <w:rFonts w:ascii="Arial" w:hAnsi="Arial" w:cs="Arial"/>
          <w:noProof/>
          <w:sz w:val="22"/>
        </w:rPr>
        <w:t xml:space="preserve"> </w:t>
      </w:r>
      <w:r w:rsidRPr="00326C7F">
        <w:rPr>
          <w:rFonts w:ascii="Arial" w:hAnsi="Arial" w:cs="Arial"/>
          <w:b/>
          <w:bCs/>
          <w:noProof/>
          <w:sz w:val="22"/>
        </w:rPr>
        <w:t>13,</w:t>
      </w:r>
      <w:r w:rsidRPr="00326C7F">
        <w:rPr>
          <w:rFonts w:ascii="Arial" w:hAnsi="Arial" w:cs="Arial"/>
          <w:noProof/>
          <w:sz w:val="22"/>
        </w:rPr>
        <w:t xml:space="preserve"> 241–244 (2016).</w:t>
      </w:r>
    </w:p>
    <w:p w14:paraId="03723885"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28.</w:t>
      </w:r>
      <w:r w:rsidRPr="00326C7F">
        <w:rPr>
          <w:rFonts w:ascii="Arial" w:hAnsi="Arial" w:cs="Arial"/>
          <w:noProof/>
          <w:sz w:val="22"/>
        </w:rPr>
        <w:tab/>
        <w:t xml:space="preserve">Tropp, J. a &amp; Gilbert, A. C. Signal Recovery From Random Measurements Via Orthogonal Matching Pursuit. </w:t>
      </w:r>
      <w:r w:rsidRPr="00326C7F">
        <w:rPr>
          <w:rFonts w:ascii="Arial" w:hAnsi="Arial" w:cs="Arial"/>
          <w:i/>
          <w:iCs/>
          <w:noProof/>
          <w:sz w:val="22"/>
        </w:rPr>
        <w:t>IEEE Trans. Inf. Theory</w:t>
      </w:r>
      <w:r w:rsidRPr="00326C7F">
        <w:rPr>
          <w:rFonts w:ascii="Arial" w:hAnsi="Arial" w:cs="Arial"/>
          <w:noProof/>
          <w:sz w:val="22"/>
        </w:rPr>
        <w:t xml:space="preserve"> </w:t>
      </w:r>
      <w:r w:rsidRPr="00326C7F">
        <w:rPr>
          <w:rFonts w:ascii="Arial" w:hAnsi="Arial" w:cs="Arial"/>
          <w:b/>
          <w:bCs/>
          <w:noProof/>
          <w:sz w:val="22"/>
        </w:rPr>
        <w:t>53,</w:t>
      </w:r>
      <w:r w:rsidRPr="00326C7F">
        <w:rPr>
          <w:rFonts w:ascii="Arial" w:hAnsi="Arial" w:cs="Arial"/>
          <w:noProof/>
          <w:sz w:val="22"/>
        </w:rPr>
        <w:t xml:space="preserve"> 4655–4666 (2007).</w:t>
      </w:r>
    </w:p>
    <w:p w14:paraId="4FEEE8DC"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29.</w:t>
      </w:r>
      <w:r w:rsidRPr="00326C7F">
        <w:rPr>
          <w:rFonts w:ascii="Arial" w:hAnsi="Arial" w:cs="Arial"/>
          <w:noProof/>
          <w:sz w:val="22"/>
        </w:rPr>
        <w:tab/>
        <w:t xml:space="preserve">Tropp, J. a., Gilbert, A. C. &amp; Strauss, M. J. Algorithms for simultaneous sparse approximation. Part I: Greedy pursuit. </w:t>
      </w:r>
      <w:r w:rsidRPr="00326C7F">
        <w:rPr>
          <w:rFonts w:ascii="Arial" w:hAnsi="Arial" w:cs="Arial"/>
          <w:i/>
          <w:iCs/>
          <w:noProof/>
          <w:sz w:val="22"/>
        </w:rPr>
        <w:t>Signal Processing</w:t>
      </w:r>
      <w:r w:rsidRPr="00326C7F">
        <w:rPr>
          <w:rFonts w:ascii="Arial" w:hAnsi="Arial" w:cs="Arial"/>
          <w:noProof/>
          <w:sz w:val="22"/>
        </w:rPr>
        <w:t xml:space="preserve"> </w:t>
      </w:r>
      <w:r w:rsidRPr="00326C7F">
        <w:rPr>
          <w:rFonts w:ascii="Arial" w:hAnsi="Arial" w:cs="Arial"/>
          <w:b/>
          <w:bCs/>
          <w:noProof/>
          <w:sz w:val="22"/>
        </w:rPr>
        <w:t>86,</w:t>
      </w:r>
      <w:r w:rsidRPr="00326C7F">
        <w:rPr>
          <w:rFonts w:ascii="Arial" w:hAnsi="Arial" w:cs="Arial"/>
          <w:noProof/>
          <w:sz w:val="22"/>
        </w:rPr>
        <w:t xml:space="preserve"> 572–588 (2006).</w:t>
      </w:r>
    </w:p>
    <w:p w14:paraId="1B680FA6"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30.</w:t>
      </w:r>
      <w:r w:rsidRPr="00326C7F">
        <w:rPr>
          <w:rFonts w:ascii="Arial" w:hAnsi="Arial" w:cs="Arial"/>
          <w:noProof/>
          <w:sz w:val="22"/>
        </w:rPr>
        <w:tab/>
        <w:t xml:space="preserve">Besag, J. On the Statistical Analysis of Dirty Pictures. </w:t>
      </w:r>
      <w:r w:rsidRPr="00326C7F">
        <w:rPr>
          <w:rFonts w:ascii="Arial" w:hAnsi="Arial" w:cs="Arial"/>
          <w:i/>
          <w:iCs/>
          <w:noProof/>
          <w:sz w:val="22"/>
        </w:rPr>
        <w:t>J. R. Stat. Soc.</w:t>
      </w:r>
      <w:r w:rsidRPr="00326C7F">
        <w:rPr>
          <w:rFonts w:ascii="Arial" w:hAnsi="Arial" w:cs="Arial"/>
          <w:noProof/>
          <w:sz w:val="22"/>
        </w:rPr>
        <w:t xml:space="preserve"> </w:t>
      </w:r>
      <w:r w:rsidRPr="00326C7F">
        <w:rPr>
          <w:rFonts w:ascii="Arial" w:hAnsi="Arial" w:cs="Arial"/>
          <w:b/>
          <w:bCs/>
          <w:noProof/>
          <w:sz w:val="22"/>
        </w:rPr>
        <w:t>48,</w:t>
      </w:r>
      <w:r w:rsidRPr="00326C7F">
        <w:rPr>
          <w:rFonts w:ascii="Arial" w:hAnsi="Arial" w:cs="Arial"/>
          <w:noProof/>
          <w:sz w:val="22"/>
        </w:rPr>
        <w:t xml:space="preserve"> 259–302 (1986).</w:t>
      </w:r>
    </w:p>
    <w:p w14:paraId="022D10FA"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31.</w:t>
      </w:r>
      <w:r w:rsidRPr="00326C7F">
        <w:rPr>
          <w:rFonts w:ascii="Arial" w:hAnsi="Arial" w:cs="Arial"/>
          <w:noProof/>
          <w:sz w:val="22"/>
        </w:rPr>
        <w:tab/>
        <w:t xml:space="preserve">Yang, L. </w:t>
      </w:r>
      <w:r w:rsidRPr="00326C7F">
        <w:rPr>
          <w:rFonts w:ascii="Arial" w:hAnsi="Arial" w:cs="Arial"/>
          <w:i/>
          <w:iCs/>
          <w:noProof/>
          <w:sz w:val="22"/>
        </w:rPr>
        <w:t>et al.</w:t>
      </w:r>
      <w:r w:rsidRPr="00326C7F">
        <w:rPr>
          <w:rFonts w:ascii="Arial" w:hAnsi="Arial" w:cs="Arial"/>
          <w:noProof/>
          <w:sz w:val="22"/>
        </w:rPr>
        <w:t xml:space="preserve"> The Pseudomonas syringae type III effector HopBB1 fine tunes pathogen virulence by gluing together host transcriptional regulators for degradation. </w:t>
      </w:r>
      <w:r w:rsidRPr="00326C7F">
        <w:rPr>
          <w:rFonts w:ascii="Arial" w:hAnsi="Arial" w:cs="Arial"/>
          <w:i/>
          <w:iCs/>
          <w:noProof/>
          <w:sz w:val="22"/>
        </w:rPr>
        <w:t>Submitted</w:t>
      </w:r>
      <w:r w:rsidRPr="00326C7F">
        <w:rPr>
          <w:rFonts w:ascii="Arial" w:hAnsi="Arial" w:cs="Arial"/>
          <w:noProof/>
          <w:sz w:val="22"/>
        </w:rPr>
        <w:t xml:space="preserve"> (2016).</w:t>
      </w:r>
    </w:p>
    <w:p w14:paraId="15F0E6BE"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32.</w:t>
      </w:r>
      <w:r w:rsidRPr="00326C7F">
        <w:rPr>
          <w:rFonts w:ascii="Arial" w:hAnsi="Arial" w:cs="Arial"/>
          <w:noProof/>
          <w:sz w:val="22"/>
        </w:rPr>
        <w:tab/>
        <w:t xml:space="preserve">Jones, J. D. G. &amp; Dangl, J. L. The plant immune system. </w:t>
      </w:r>
      <w:r w:rsidRPr="00326C7F">
        <w:rPr>
          <w:rFonts w:ascii="Arial" w:hAnsi="Arial" w:cs="Arial"/>
          <w:i/>
          <w:iCs/>
          <w:noProof/>
          <w:sz w:val="22"/>
        </w:rPr>
        <w:t>Nature</w:t>
      </w:r>
      <w:r w:rsidRPr="00326C7F">
        <w:rPr>
          <w:rFonts w:ascii="Arial" w:hAnsi="Arial" w:cs="Arial"/>
          <w:noProof/>
          <w:sz w:val="22"/>
        </w:rPr>
        <w:t xml:space="preserve"> </w:t>
      </w:r>
      <w:r w:rsidRPr="00326C7F">
        <w:rPr>
          <w:rFonts w:ascii="Arial" w:hAnsi="Arial" w:cs="Arial"/>
          <w:b/>
          <w:bCs/>
          <w:noProof/>
          <w:sz w:val="22"/>
        </w:rPr>
        <w:t>444,</w:t>
      </w:r>
      <w:r w:rsidRPr="00326C7F">
        <w:rPr>
          <w:rFonts w:ascii="Arial" w:hAnsi="Arial" w:cs="Arial"/>
          <w:noProof/>
          <w:sz w:val="22"/>
        </w:rPr>
        <w:t xml:space="preserve"> 323–9 (2006).</w:t>
      </w:r>
    </w:p>
    <w:p w14:paraId="55D0C909" w14:textId="77777777" w:rsidR="00326C7F" w:rsidRPr="00326C7F" w:rsidRDefault="00326C7F">
      <w:pPr>
        <w:pStyle w:val="NormalWeb"/>
        <w:ind w:left="640" w:hanging="640"/>
        <w:divId w:val="1133988545"/>
        <w:rPr>
          <w:rFonts w:ascii="Arial" w:hAnsi="Arial" w:cs="Arial"/>
          <w:noProof/>
          <w:sz w:val="22"/>
        </w:rPr>
      </w:pPr>
      <w:r w:rsidRPr="00326C7F">
        <w:rPr>
          <w:rFonts w:ascii="Arial" w:hAnsi="Arial" w:cs="Arial"/>
          <w:noProof/>
          <w:sz w:val="22"/>
        </w:rPr>
        <w:t>33.</w:t>
      </w:r>
      <w:r w:rsidRPr="00326C7F">
        <w:rPr>
          <w:rFonts w:ascii="Arial" w:hAnsi="Arial" w:cs="Arial"/>
          <w:noProof/>
          <w:sz w:val="22"/>
        </w:rPr>
        <w:tab/>
        <w:t xml:space="preserve">Fu, G. K. </w:t>
      </w:r>
      <w:r w:rsidRPr="00326C7F">
        <w:rPr>
          <w:rFonts w:ascii="Arial" w:hAnsi="Arial" w:cs="Arial"/>
          <w:i/>
          <w:iCs/>
          <w:noProof/>
          <w:sz w:val="22"/>
        </w:rPr>
        <w:t>et al.</w:t>
      </w:r>
      <w:r w:rsidRPr="00326C7F">
        <w:rPr>
          <w:rFonts w:ascii="Arial" w:hAnsi="Arial" w:cs="Arial"/>
          <w:noProof/>
          <w:sz w:val="22"/>
        </w:rPr>
        <w:t xml:space="preserve"> Molecular indexing enables quantitative targeted RNA sequencing and reveals poor efficiencies in standard library preparations. </w:t>
      </w:r>
      <w:r w:rsidRPr="00326C7F">
        <w:rPr>
          <w:rFonts w:ascii="Arial" w:hAnsi="Arial" w:cs="Arial"/>
          <w:b/>
          <w:bCs/>
          <w:noProof/>
          <w:sz w:val="22"/>
        </w:rPr>
        <w:t>111,</w:t>
      </w:r>
      <w:r w:rsidRPr="00326C7F">
        <w:rPr>
          <w:rFonts w:ascii="Arial" w:hAnsi="Arial" w:cs="Arial"/>
          <w:noProof/>
          <w:sz w:val="22"/>
        </w:rPr>
        <w:t xml:space="preserve"> 1891–1896 (2014). </w:t>
      </w:r>
    </w:p>
    <w:p w14:paraId="060E89D3" w14:textId="527F9AEA" w:rsidR="0049012A" w:rsidRDefault="003B2961" w:rsidP="00326C7F">
      <w:pPr>
        <w:pStyle w:val="NormalWeb"/>
        <w:ind w:left="640" w:hanging="640"/>
        <w:divId w:val="2095276899"/>
        <w:rPr>
          <w:rFonts w:ascii="Arial" w:hAnsi="Arial" w:cs="Arial"/>
          <w:sz w:val="22"/>
          <w:szCs w:val="22"/>
        </w:rPr>
        <w:sectPr w:rsidR="0049012A" w:rsidSect="00FD5CD6">
          <w:type w:val="continuous"/>
          <w:pgSz w:w="12240" w:h="15840"/>
          <w:pgMar w:top="1440" w:right="1080" w:bottom="1440" w:left="1080" w:header="720" w:footer="720" w:gutter="0"/>
          <w:cols w:space="432"/>
          <w:docGrid w:linePitch="360"/>
        </w:sectPr>
      </w:pPr>
      <w:r>
        <w:rPr>
          <w:rFonts w:ascii="Arial" w:hAnsi="Arial" w:cs="Arial"/>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FD5CD6">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A542B2" w:rsidRDefault="00A542B2" w:rsidP="003B2961">
      <w:r>
        <w:separator/>
      </w:r>
    </w:p>
  </w:endnote>
  <w:endnote w:type="continuationSeparator" w:id="0">
    <w:p w14:paraId="2CDFFB0A" w14:textId="77777777" w:rsidR="00A542B2" w:rsidRDefault="00A542B2"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A542B2" w:rsidRDefault="00A542B2" w:rsidP="003B2961">
      <w:r>
        <w:separator/>
      </w:r>
    </w:p>
  </w:footnote>
  <w:footnote w:type="continuationSeparator" w:id="0">
    <w:p w14:paraId="768DE92F" w14:textId="77777777" w:rsidR="00A542B2" w:rsidRDefault="00A542B2"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1269"/>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953F7"/>
    <w:rsid w:val="000A37A2"/>
    <w:rsid w:val="000A51D1"/>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4C7"/>
    <w:rsid w:val="000E2EDF"/>
    <w:rsid w:val="000E68EC"/>
    <w:rsid w:val="000F3FC7"/>
    <w:rsid w:val="000F55AD"/>
    <w:rsid w:val="000F635E"/>
    <w:rsid w:val="001005F3"/>
    <w:rsid w:val="00102BC7"/>
    <w:rsid w:val="00105A75"/>
    <w:rsid w:val="00107191"/>
    <w:rsid w:val="00110B2D"/>
    <w:rsid w:val="00114382"/>
    <w:rsid w:val="00122AFF"/>
    <w:rsid w:val="00125AF5"/>
    <w:rsid w:val="00127FEC"/>
    <w:rsid w:val="00141B80"/>
    <w:rsid w:val="00151C7A"/>
    <w:rsid w:val="00156BBE"/>
    <w:rsid w:val="001617B5"/>
    <w:rsid w:val="001653C5"/>
    <w:rsid w:val="0016775E"/>
    <w:rsid w:val="00167FE0"/>
    <w:rsid w:val="001717F9"/>
    <w:rsid w:val="00176FEF"/>
    <w:rsid w:val="001778CF"/>
    <w:rsid w:val="00184AED"/>
    <w:rsid w:val="00192AED"/>
    <w:rsid w:val="001948CC"/>
    <w:rsid w:val="00195E99"/>
    <w:rsid w:val="001A3920"/>
    <w:rsid w:val="001A3F60"/>
    <w:rsid w:val="001A4E7B"/>
    <w:rsid w:val="001A5D25"/>
    <w:rsid w:val="001A7FFA"/>
    <w:rsid w:val="001B1815"/>
    <w:rsid w:val="001B30E2"/>
    <w:rsid w:val="001B3418"/>
    <w:rsid w:val="001B5B45"/>
    <w:rsid w:val="001B69F7"/>
    <w:rsid w:val="001B6D33"/>
    <w:rsid w:val="001B7543"/>
    <w:rsid w:val="001C040D"/>
    <w:rsid w:val="001C0FE0"/>
    <w:rsid w:val="001C2389"/>
    <w:rsid w:val="001D5530"/>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46CC6"/>
    <w:rsid w:val="00262D47"/>
    <w:rsid w:val="00264942"/>
    <w:rsid w:val="00264974"/>
    <w:rsid w:val="002658C2"/>
    <w:rsid w:val="00265B61"/>
    <w:rsid w:val="00267556"/>
    <w:rsid w:val="0027713E"/>
    <w:rsid w:val="00280663"/>
    <w:rsid w:val="00282F22"/>
    <w:rsid w:val="0029178B"/>
    <w:rsid w:val="0029334E"/>
    <w:rsid w:val="002A041C"/>
    <w:rsid w:val="002A3BE9"/>
    <w:rsid w:val="002B27D3"/>
    <w:rsid w:val="002C3E8B"/>
    <w:rsid w:val="002D4A0D"/>
    <w:rsid w:val="002D4BBA"/>
    <w:rsid w:val="002E03A8"/>
    <w:rsid w:val="002F0527"/>
    <w:rsid w:val="00300230"/>
    <w:rsid w:val="00301F90"/>
    <w:rsid w:val="0030673B"/>
    <w:rsid w:val="00306FA8"/>
    <w:rsid w:val="003145AB"/>
    <w:rsid w:val="00320F7A"/>
    <w:rsid w:val="003231FE"/>
    <w:rsid w:val="003260E5"/>
    <w:rsid w:val="00326C7F"/>
    <w:rsid w:val="00335FA7"/>
    <w:rsid w:val="0033617B"/>
    <w:rsid w:val="003363E1"/>
    <w:rsid w:val="00337F6D"/>
    <w:rsid w:val="003572BF"/>
    <w:rsid w:val="00357BA9"/>
    <w:rsid w:val="00365439"/>
    <w:rsid w:val="00371491"/>
    <w:rsid w:val="00371EF4"/>
    <w:rsid w:val="003811D4"/>
    <w:rsid w:val="00393B69"/>
    <w:rsid w:val="003963A1"/>
    <w:rsid w:val="003A0F07"/>
    <w:rsid w:val="003A1A15"/>
    <w:rsid w:val="003A4737"/>
    <w:rsid w:val="003B035B"/>
    <w:rsid w:val="003B1068"/>
    <w:rsid w:val="003B1798"/>
    <w:rsid w:val="003B2961"/>
    <w:rsid w:val="003B4C58"/>
    <w:rsid w:val="003C471D"/>
    <w:rsid w:val="003C5517"/>
    <w:rsid w:val="003C6641"/>
    <w:rsid w:val="003D3C36"/>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278AF"/>
    <w:rsid w:val="00434FCA"/>
    <w:rsid w:val="00437DE0"/>
    <w:rsid w:val="004403E2"/>
    <w:rsid w:val="00441BF1"/>
    <w:rsid w:val="00441FB7"/>
    <w:rsid w:val="00443361"/>
    <w:rsid w:val="00444E43"/>
    <w:rsid w:val="004458C9"/>
    <w:rsid w:val="00446BD8"/>
    <w:rsid w:val="00454549"/>
    <w:rsid w:val="00454D8E"/>
    <w:rsid w:val="0045621E"/>
    <w:rsid w:val="00460457"/>
    <w:rsid w:val="00460C89"/>
    <w:rsid w:val="0046130F"/>
    <w:rsid w:val="004638BC"/>
    <w:rsid w:val="00470D48"/>
    <w:rsid w:val="00472B7C"/>
    <w:rsid w:val="004731A7"/>
    <w:rsid w:val="004754E2"/>
    <w:rsid w:val="004761D8"/>
    <w:rsid w:val="00485CA0"/>
    <w:rsid w:val="0049012A"/>
    <w:rsid w:val="00490845"/>
    <w:rsid w:val="0049793E"/>
    <w:rsid w:val="004A2505"/>
    <w:rsid w:val="004A2B2B"/>
    <w:rsid w:val="004A4677"/>
    <w:rsid w:val="004A6859"/>
    <w:rsid w:val="004B34ED"/>
    <w:rsid w:val="004B49BA"/>
    <w:rsid w:val="004C155F"/>
    <w:rsid w:val="004C2351"/>
    <w:rsid w:val="004C2D8E"/>
    <w:rsid w:val="004C493C"/>
    <w:rsid w:val="004E1499"/>
    <w:rsid w:val="004E2446"/>
    <w:rsid w:val="004E396C"/>
    <w:rsid w:val="004E5839"/>
    <w:rsid w:val="004E5C41"/>
    <w:rsid w:val="004E5CC1"/>
    <w:rsid w:val="004F16D0"/>
    <w:rsid w:val="004F2795"/>
    <w:rsid w:val="004F43B0"/>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0D45"/>
    <w:rsid w:val="00571320"/>
    <w:rsid w:val="00571ABC"/>
    <w:rsid w:val="00575B4C"/>
    <w:rsid w:val="00576CE2"/>
    <w:rsid w:val="00583281"/>
    <w:rsid w:val="00595576"/>
    <w:rsid w:val="00595895"/>
    <w:rsid w:val="005A0A71"/>
    <w:rsid w:val="005A21D0"/>
    <w:rsid w:val="005A24CC"/>
    <w:rsid w:val="005A31E9"/>
    <w:rsid w:val="005A477D"/>
    <w:rsid w:val="005A5020"/>
    <w:rsid w:val="005A57BB"/>
    <w:rsid w:val="005A75B4"/>
    <w:rsid w:val="005B4CE5"/>
    <w:rsid w:val="005B5F49"/>
    <w:rsid w:val="005D148C"/>
    <w:rsid w:val="005D44FD"/>
    <w:rsid w:val="005D6BA2"/>
    <w:rsid w:val="005D6BD7"/>
    <w:rsid w:val="005D7A36"/>
    <w:rsid w:val="005E0357"/>
    <w:rsid w:val="005E2523"/>
    <w:rsid w:val="005E5B39"/>
    <w:rsid w:val="005F1DFF"/>
    <w:rsid w:val="005F2006"/>
    <w:rsid w:val="005F5C9F"/>
    <w:rsid w:val="005F5EE5"/>
    <w:rsid w:val="005F6B9C"/>
    <w:rsid w:val="00601C8A"/>
    <w:rsid w:val="006141FA"/>
    <w:rsid w:val="0062386E"/>
    <w:rsid w:val="00625645"/>
    <w:rsid w:val="0063067A"/>
    <w:rsid w:val="00644ED5"/>
    <w:rsid w:val="00653E16"/>
    <w:rsid w:val="00664745"/>
    <w:rsid w:val="00664AAD"/>
    <w:rsid w:val="00674D48"/>
    <w:rsid w:val="00676A78"/>
    <w:rsid w:val="00687DFB"/>
    <w:rsid w:val="00690EBD"/>
    <w:rsid w:val="00691589"/>
    <w:rsid w:val="00695B8D"/>
    <w:rsid w:val="00695D0F"/>
    <w:rsid w:val="006A59E2"/>
    <w:rsid w:val="006A64FF"/>
    <w:rsid w:val="006B00A3"/>
    <w:rsid w:val="006B1A79"/>
    <w:rsid w:val="006B351A"/>
    <w:rsid w:val="006B702C"/>
    <w:rsid w:val="006B7FCE"/>
    <w:rsid w:val="006C16C7"/>
    <w:rsid w:val="006C36A1"/>
    <w:rsid w:val="006C5897"/>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1039"/>
    <w:rsid w:val="00714C3B"/>
    <w:rsid w:val="00715A79"/>
    <w:rsid w:val="00716490"/>
    <w:rsid w:val="00720221"/>
    <w:rsid w:val="00722C6D"/>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95FAD"/>
    <w:rsid w:val="007A1057"/>
    <w:rsid w:val="007A5606"/>
    <w:rsid w:val="007A5D02"/>
    <w:rsid w:val="007B044E"/>
    <w:rsid w:val="007B0651"/>
    <w:rsid w:val="007B0E61"/>
    <w:rsid w:val="007B30E3"/>
    <w:rsid w:val="007C0D34"/>
    <w:rsid w:val="007C0D78"/>
    <w:rsid w:val="007C25D2"/>
    <w:rsid w:val="007C3E54"/>
    <w:rsid w:val="007C4ADA"/>
    <w:rsid w:val="007C599A"/>
    <w:rsid w:val="007C78E3"/>
    <w:rsid w:val="007D4AEF"/>
    <w:rsid w:val="007E0C61"/>
    <w:rsid w:val="007E204A"/>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85671"/>
    <w:rsid w:val="0088798D"/>
    <w:rsid w:val="008906AD"/>
    <w:rsid w:val="0089152E"/>
    <w:rsid w:val="00891A4F"/>
    <w:rsid w:val="00894F26"/>
    <w:rsid w:val="00895C5A"/>
    <w:rsid w:val="00896418"/>
    <w:rsid w:val="008A10C5"/>
    <w:rsid w:val="008A1F33"/>
    <w:rsid w:val="008A2F92"/>
    <w:rsid w:val="008A50AD"/>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2F33"/>
    <w:rsid w:val="00905B6A"/>
    <w:rsid w:val="00906C63"/>
    <w:rsid w:val="009121A5"/>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647B8"/>
    <w:rsid w:val="00967BE5"/>
    <w:rsid w:val="00970176"/>
    <w:rsid w:val="00973370"/>
    <w:rsid w:val="009735CA"/>
    <w:rsid w:val="009775C5"/>
    <w:rsid w:val="00981597"/>
    <w:rsid w:val="0098277B"/>
    <w:rsid w:val="009839A7"/>
    <w:rsid w:val="00984C17"/>
    <w:rsid w:val="009951EB"/>
    <w:rsid w:val="009957AD"/>
    <w:rsid w:val="009960FB"/>
    <w:rsid w:val="00996778"/>
    <w:rsid w:val="009A1297"/>
    <w:rsid w:val="009A27F1"/>
    <w:rsid w:val="009A3DD4"/>
    <w:rsid w:val="009A403D"/>
    <w:rsid w:val="009A7C82"/>
    <w:rsid w:val="009C3D82"/>
    <w:rsid w:val="009C467A"/>
    <w:rsid w:val="009C6BC1"/>
    <w:rsid w:val="009C7DE4"/>
    <w:rsid w:val="009D0FE7"/>
    <w:rsid w:val="009D2472"/>
    <w:rsid w:val="009D552C"/>
    <w:rsid w:val="009D6C09"/>
    <w:rsid w:val="009E0CAE"/>
    <w:rsid w:val="009E26E3"/>
    <w:rsid w:val="009E5794"/>
    <w:rsid w:val="009E7A40"/>
    <w:rsid w:val="009F085D"/>
    <w:rsid w:val="009F7720"/>
    <w:rsid w:val="009F776E"/>
    <w:rsid w:val="00A032CD"/>
    <w:rsid w:val="00A04CE3"/>
    <w:rsid w:val="00A063F6"/>
    <w:rsid w:val="00A10C0E"/>
    <w:rsid w:val="00A125D3"/>
    <w:rsid w:val="00A14360"/>
    <w:rsid w:val="00A167CF"/>
    <w:rsid w:val="00A20818"/>
    <w:rsid w:val="00A27B64"/>
    <w:rsid w:val="00A35FE8"/>
    <w:rsid w:val="00A36686"/>
    <w:rsid w:val="00A427FE"/>
    <w:rsid w:val="00A43B24"/>
    <w:rsid w:val="00A45248"/>
    <w:rsid w:val="00A52622"/>
    <w:rsid w:val="00A542B2"/>
    <w:rsid w:val="00A555BD"/>
    <w:rsid w:val="00A5652E"/>
    <w:rsid w:val="00A5754D"/>
    <w:rsid w:val="00A57AE0"/>
    <w:rsid w:val="00A57FA0"/>
    <w:rsid w:val="00A66548"/>
    <w:rsid w:val="00A66C7A"/>
    <w:rsid w:val="00A74237"/>
    <w:rsid w:val="00A76C0B"/>
    <w:rsid w:val="00A778D2"/>
    <w:rsid w:val="00A77CA0"/>
    <w:rsid w:val="00A8427A"/>
    <w:rsid w:val="00A85440"/>
    <w:rsid w:val="00A91BA2"/>
    <w:rsid w:val="00A94BEC"/>
    <w:rsid w:val="00A95175"/>
    <w:rsid w:val="00A96429"/>
    <w:rsid w:val="00AB259D"/>
    <w:rsid w:val="00AB4713"/>
    <w:rsid w:val="00AB4BF2"/>
    <w:rsid w:val="00AC0B35"/>
    <w:rsid w:val="00AC1AAB"/>
    <w:rsid w:val="00AC566A"/>
    <w:rsid w:val="00AD6932"/>
    <w:rsid w:val="00AE3ABA"/>
    <w:rsid w:val="00AE683A"/>
    <w:rsid w:val="00AF4124"/>
    <w:rsid w:val="00AF4E6D"/>
    <w:rsid w:val="00B00698"/>
    <w:rsid w:val="00B008A8"/>
    <w:rsid w:val="00B02B51"/>
    <w:rsid w:val="00B05A76"/>
    <w:rsid w:val="00B05E93"/>
    <w:rsid w:val="00B10210"/>
    <w:rsid w:val="00B11ADD"/>
    <w:rsid w:val="00B16D23"/>
    <w:rsid w:val="00B17345"/>
    <w:rsid w:val="00B2352C"/>
    <w:rsid w:val="00B242DC"/>
    <w:rsid w:val="00B243CB"/>
    <w:rsid w:val="00B2509C"/>
    <w:rsid w:val="00B25C2F"/>
    <w:rsid w:val="00B26499"/>
    <w:rsid w:val="00B27037"/>
    <w:rsid w:val="00B30DFD"/>
    <w:rsid w:val="00B33620"/>
    <w:rsid w:val="00B406CE"/>
    <w:rsid w:val="00B417C6"/>
    <w:rsid w:val="00B41911"/>
    <w:rsid w:val="00B41A26"/>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94AA8"/>
    <w:rsid w:val="00BA2502"/>
    <w:rsid w:val="00BA2DDD"/>
    <w:rsid w:val="00BA3980"/>
    <w:rsid w:val="00BA6A9F"/>
    <w:rsid w:val="00BA7606"/>
    <w:rsid w:val="00BA7DBC"/>
    <w:rsid w:val="00BA7EA0"/>
    <w:rsid w:val="00BB105F"/>
    <w:rsid w:val="00BB478A"/>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027E"/>
    <w:rsid w:val="00C11543"/>
    <w:rsid w:val="00C12843"/>
    <w:rsid w:val="00C12C05"/>
    <w:rsid w:val="00C12F56"/>
    <w:rsid w:val="00C14684"/>
    <w:rsid w:val="00C15007"/>
    <w:rsid w:val="00C24D3B"/>
    <w:rsid w:val="00C26AA6"/>
    <w:rsid w:val="00C31A31"/>
    <w:rsid w:val="00C31BE8"/>
    <w:rsid w:val="00C32302"/>
    <w:rsid w:val="00C33C37"/>
    <w:rsid w:val="00C40951"/>
    <w:rsid w:val="00C410BD"/>
    <w:rsid w:val="00C4110A"/>
    <w:rsid w:val="00C41395"/>
    <w:rsid w:val="00C415BC"/>
    <w:rsid w:val="00C453DD"/>
    <w:rsid w:val="00C46E91"/>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327"/>
    <w:rsid w:val="00CA2735"/>
    <w:rsid w:val="00CA30B3"/>
    <w:rsid w:val="00CA3382"/>
    <w:rsid w:val="00CA3866"/>
    <w:rsid w:val="00CA49FE"/>
    <w:rsid w:val="00CA4AC4"/>
    <w:rsid w:val="00CA5258"/>
    <w:rsid w:val="00CA5EE2"/>
    <w:rsid w:val="00CA7589"/>
    <w:rsid w:val="00CA78FD"/>
    <w:rsid w:val="00CB1242"/>
    <w:rsid w:val="00CB20D8"/>
    <w:rsid w:val="00CB3372"/>
    <w:rsid w:val="00CB68B5"/>
    <w:rsid w:val="00CC217D"/>
    <w:rsid w:val="00CC2710"/>
    <w:rsid w:val="00CC4B70"/>
    <w:rsid w:val="00CC4E0C"/>
    <w:rsid w:val="00CD1374"/>
    <w:rsid w:val="00CD27E1"/>
    <w:rsid w:val="00CD3F0C"/>
    <w:rsid w:val="00CD4A09"/>
    <w:rsid w:val="00CD6EE2"/>
    <w:rsid w:val="00CD787A"/>
    <w:rsid w:val="00CE2AD0"/>
    <w:rsid w:val="00CE39FB"/>
    <w:rsid w:val="00CF2215"/>
    <w:rsid w:val="00CF2A13"/>
    <w:rsid w:val="00CF3A1A"/>
    <w:rsid w:val="00D0023C"/>
    <w:rsid w:val="00D011D4"/>
    <w:rsid w:val="00D01B69"/>
    <w:rsid w:val="00D02BFD"/>
    <w:rsid w:val="00D04A4E"/>
    <w:rsid w:val="00D04CB8"/>
    <w:rsid w:val="00D057F8"/>
    <w:rsid w:val="00D07D48"/>
    <w:rsid w:val="00D11BDC"/>
    <w:rsid w:val="00D158C5"/>
    <w:rsid w:val="00D20A84"/>
    <w:rsid w:val="00D21F71"/>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0E59"/>
    <w:rsid w:val="00D8267D"/>
    <w:rsid w:val="00D84E5A"/>
    <w:rsid w:val="00D87044"/>
    <w:rsid w:val="00D9024C"/>
    <w:rsid w:val="00D9042F"/>
    <w:rsid w:val="00D94320"/>
    <w:rsid w:val="00DA360B"/>
    <w:rsid w:val="00DA50B1"/>
    <w:rsid w:val="00DA6BD8"/>
    <w:rsid w:val="00DB27C7"/>
    <w:rsid w:val="00DB6CB1"/>
    <w:rsid w:val="00DB6F63"/>
    <w:rsid w:val="00DC2CA9"/>
    <w:rsid w:val="00DC30C0"/>
    <w:rsid w:val="00DC3647"/>
    <w:rsid w:val="00DC4B8F"/>
    <w:rsid w:val="00DC6FA1"/>
    <w:rsid w:val="00DC715A"/>
    <w:rsid w:val="00DD42B6"/>
    <w:rsid w:val="00DD7013"/>
    <w:rsid w:val="00DD75F0"/>
    <w:rsid w:val="00DE59BA"/>
    <w:rsid w:val="00DF6EDF"/>
    <w:rsid w:val="00E004A7"/>
    <w:rsid w:val="00E02B31"/>
    <w:rsid w:val="00E04185"/>
    <w:rsid w:val="00E051D8"/>
    <w:rsid w:val="00E07637"/>
    <w:rsid w:val="00E10778"/>
    <w:rsid w:val="00E13FE6"/>
    <w:rsid w:val="00E14628"/>
    <w:rsid w:val="00E150D7"/>
    <w:rsid w:val="00E201E2"/>
    <w:rsid w:val="00E20794"/>
    <w:rsid w:val="00E20CBA"/>
    <w:rsid w:val="00E20E8F"/>
    <w:rsid w:val="00E217EC"/>
    <w:rsid w:val="00E24219"/>
    <w:rsid w:val="00E24267"/>
    <w:rsid w:val="00E342F4"/>
    <w:rsid w:val="00E348A0"/>
    <w:rsid w:val="00E36239"/>
    <w:rsid w:val="00E37EE5"/>
    <w:rsid w:val="00E46556"/>
    <w:rsid w:val="00E521BD"/>
    <w:rsid w:val="00E57B6E"/>
    <w:rsid w:val="00E634F3"/>
    <w:rsid w:val="00E653DA"/>
    <w:rsid w:val="00E7218A"/>
    <w:rsid w:val="00E90228"/>
    <w:rsid w:val="00E941D4"/>
    <w:rsid w:val="00E95EAA"/>
    <w:rsid w:val="00E96A06"/>
    <w:rsid w:val="00E977B2"/>
    <w:rsid w:val="00EB2703"/>
    <w:rsid w:val="00EB53FB"/>
    <w:rsid w:val="00EC133D"/>
    <w:rsid w:val="00EC38F8"/>
    <w:rsid w:val="00EE7627"/>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03F"/>
    <w:rsid w:val="00F83555"/>
    <w:rsid w:val="00F875EC"/>
    <w:rsid w:val="00F90117"/>
    <w:rsid w:val="00F91805"/>
    <w:rsid w:val="00F95192"/>
    <w:rsid w:val="00F9686F"/>
    <w:rsid w:val="00FB6388"/>
    <w:rsid w:val="00FB6721"/>
    <w:rsid w:val="00FB73E0"/>
    <w:rsid w:val="00FB7CA9"/>
    <w:rsid w:val="00FC09E4"/>
    <w:rsid w:val="00FC1DDB"/>
    <w:rsid w:val="00FC2DCA"/>
    <w:rsid w:val="00FC32A3"/>
    <w:rsid w:val="00FC3E1F"/>
    <w:rsid w:val="00FC5F98"/>
    <w:rsid w:val="00FD4B46"/>
    <w:rsid w:val="00FD5068"/>
    <w:rsid w:val="00FD54BC"/>
    <w:rsid w:val="00FD5CD6"/>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sChild>
                                                                        <w:div w:id="2095276899">
                                                                          <w:marLeft w:val="0"/>
                                                                          <w:marRight w:val="0"/>
                                                                          <w:marTop w:val="0"/>
                                                                          <w:marBottom w:val="0"/>
                                                                          <w:divBdr>
                                                                            <w:top w:val="none" w:sz="0" w:space="0" w:color="auto"/>
                                                                            <w:left w:val="none" w:sz="0" w:space="0" w:color="auto"/>
                                                                            <w:bottom w:val="none" w:sz="0" w:space="0" w:color="auto"/>
                                                                            <w:right w:val="none" w:sz="0" w:space="0" w:color="auto"/>
                                                                          </w:divBdr>
                                                                          <w:divsChild>
                                                                            <w:div w:id="11339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698FD-3726-0D4A-BF04-D68534BC1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14987</Words>
  <Characters>85431</Characters>
  <Application>Microsoft Macintosh Word</Application>
  <DocSecurity>0</DocSecurity>
  <Lines>711</Lines>
  <Paragraphs>200</Paragraphs>
  <ScaleCrop>false</ScaleCrop>
  <Company/>
  <LinksUpToDate>false</LinksUpToDate>
  <CharactersWithSpaces>100218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81</cp:revision>
  <cp:lastPrinted>2016-09-19T21:13:00Z</cp:lastPrinted>
  <dcterms:created xsi:type="dcterms:W3CDTF">2016-09-19T22:45:00Z</dcterms:created>
  <dcterms:modified xsi:type="dcterms:W3CDTF">2016-09-20T20:07:00Z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