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Casos de uso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PsicoHábitos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320" w:lineRule="auto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1. Actores y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80" w:before="160" w:line="3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 en atención psicológica que registra sus hábitos y consulta ejercicios y citas.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Psicólogo: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profesional que gestiona pacientes, agenda sesiones y revisa la evolución de sus hábitos.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(actor externo):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 autorizada, externa a la aplicación móvil, que registra psicólogos y gestiona sus suscripciones desde una página web.</w:t>
      </w:r>
    </w:p>
    <w:p w:rsidR="00000000" w:rsidDel="00000000" w:rsidP="00000000" w:rsidRDefault="00000000" w:rsidRPr="00000000" w14:paraId="00000008">
      <w:pPr>
        <w:keepNext w:val="1"/>
        <w:spacing w:after="80" w:before="160" w:line="3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Sistemas externos (no son actores del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 de correo: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 los códigos de 6 dígitos (activación, recuperación y autorización).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dará las respuestas de H.O.P.E.; su integración está pendiente.</w:t>
      </w:r>
    </w:p>
    <w:p w:rsidR="00000000" w:rsidDel="00000000" w:rsidP="00000000" w:rsidRDefault="00000000" w:rsidRPr="00000000" w14:paraId="0000000B">
      <w:pPr>
        <w:pStyle w:val="Heading1"/>
        <w:keepNext w:val="1"/>
        <w:spacing w:after="120" w:before="320" w:lineRule="auto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2.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before="0" w:line="3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Figura 1 reúne en un solo diagrama a todos los actores con todas sus acciones: los 20 casos de uso, las relaciones entre ellos y los sistemas externos. La tabla siguiente explica la simbología.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6181725"/>
            <wp:effectExtent b="0" l="0" r="0" t="0"/>
            <wp:docPr descr="Los actores Paciente, Psicólogo y Administrador (externo) con sus 20 casos de uso, las relaciones include y extend, y los sistemas externos Servicio de correo y Modelo de IA." id="2" name="image1.png"/>
            <a:graphic>
              <a:graphicData uri="http://schemas.openxmlformats.org/drawingml/2006/picture">
                <pic:pic>
                  <pic:nvPicPr>
                    <pic:cNvPr descr="Los actores Paciente, Psicólogo y Administrador (externo) con sus 20 casos de uso, las relaciones include y extend, y los sistemas externos Servicio de correo y Modelo de IA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jc w:val="center"/>
        <w:rPr>
          <w:i w:val="1"/>
          <w:i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jc w:val="center"/>
        <w:rPr>
          <w:i w:val="1"/>
          <w:i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160" w:line="30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Simbología</w:t>
      </w:r>
    </w:p>
    <w:p w:rsidR="00000000" w:rsidDel="00000000" w:rsidP="00000000" w:rsidRDefault="00000000" w:rsidRPr="00000000" w14:paraId="00000012">
      <w:pPr>
        <w:keepNext w:val="1"/>
        <w:spacing w:after="80" w:before="16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6260"/>
        <w:tblGridChange w:id="0">
          <w:tblGrid>
            <w:gridCol w:w="3100"/>
            <w:gridCol w:w="6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ed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ed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Figura de palo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Actor: persona que usa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Rectángulo con «sistema externo»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Actor secundario: sistema externo que participa en un caso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Óvalo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Caso de uso: objetivo que un actor logra con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Rectángulo grande con el nombre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Límite del sistema: separa lo que hace el sistema de sus actores.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Línea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Asociación entre un actor y un caso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Flecha punteada «include»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caso de origen siempre usa al caso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Flecha punteada «extend»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caso de origen agrega un comportamiento opcional al caso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«actor externo»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Actor que usa el sistema desde fuera de la aplicación móvil (el Administrador, que usa una página web).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keepNext w:val="1"/>
        <w:spacing w:after="120" w:before="32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1"/>
        <w:spacing w:after="120" w:before="320" w:lineRule="auto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3. Tabla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120" w:before="0" w:line="3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caso de uso se vincula con las historias de usuario del Product Backlog y con los casos que incluye o extiende.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2000"/>
        <w:gridCol w:w="1500"/>
        <w:gridCol w:w="1500"/>
        <w:gridCol w:w="2000"/>
        <w:gridCol w:w="1640"/>
        <w:tblGridChange w:id="0">
          <w:tblGrid>
            <w:gridCol w:w="720"/>
            <w:gridCol w:w="2000"/>
            <w:gridCol w:w="1500"/>
            <w:gridCol w:w="1500"/>
            <w:gridCol w:w="2000"/>
            <w:gridCol w:w="16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ed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ed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ed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ed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ed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Historias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ed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Paciente, 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HU-AUTH-0001, HU-AUTH-0002, HU-AUTH-0008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Paciente, 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HU-AUTH-0005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Extiende CU-01. Incluye CU-18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Cambiar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Paciente, 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HU-AUTH-0006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Registrar hábitos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HU-HABI-0001 a 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Consultar ejercicios y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Parcial (videos de ejemplo)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HU-EJER-0001, HU-EJER-0002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Consultar citas e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HU-SESI-0001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Conversar con H.O.P.E.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Paciente, Modelo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En desarrollo (solo la pantalla)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HU-HOPE-0001 a 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Registrar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HU-PACI-0001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Vincular paciente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HU-PACI-0006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Incluye CU-18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Consultar ficha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HU-PACI-0002 a 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Agendar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HU-AGEN-0001, HU-AGEN-0002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Incluye CU-19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Reprogramar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HU-AGEN-0005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Incluye CU-19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Consultar calendario clínico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HU-AGEN-0004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Consultar informe de hábitos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HU-DASH-0001, HU-DASH-0002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Registrar 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HU-ADMI-0001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Gestionar suscripciones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HU-ADMI-0002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Activar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Paciente, 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HU-AUTH-0003, HU-AUTH-0004, HU-SEGU-0001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Extiende CU-01. Incluye CU-18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Enviar código por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Servicio de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HU-AUTH-0003, HU-AUTH-0005, HU-PACI-0006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Validar disponibilidad 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Sin actor (caso incluido)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HU-AGEN-0003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Cancelar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HU-AGEN-0006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MtAQjeC+/hpgaMue22y9c+8XBw==">CgMxLjA4AHIhMXZtclJTYUVkTUtvTlEyVUlNU0ptcGNOcHdjbzB4bzF5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2026-10-14T00:49:51.852Z</dcterms:created>
  <dc:creator>PsicoHábitos-IA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