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365D"/>
          <w:sz w:val="40"/>
        </w:rPr>
        <w:t>Machine Learning Evaluation Report &amp; Strategic Business Recommendations</w:t>
      </w:r>
    </w:p>
    <w:p>
      <w:r>
        <w:rPr>
          <w:rFonts w:ascii="Calibri" w:hAnsi="Calibri"/>
          <w:color w:val="2D3748"/>
          <w:sz w:val="22"/>
        </w:rPr>
        <w:t>Omnichannel Apparel, Textiles &amp; Fashion Retail Systems | Week 4 Capstone Deliverable</w:t>
      </w:r>
    </w:p>
    <w:p>
      <w:r>
        <w:t>――――――――――――――――――――――――――――――――――――――――――――――――――――――――――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Executive Summary</w:t>
      </w:r>
    </w:p>
    <w:p>
      <w:r>
        <w:t>Modern fashion and textile enterprises operate in highly competitive environments characterized by short product lifecycles, seasonal volatility, and escalating reverse logistics costs exceeding 30% in e-commerce channels. This report presents a thorough evaluation of two core enterprise machine learning models: (1) a SKU-Store Level Quantile Demand Forecaster (LightGBM) and (2) an E-Commerce Return Propensity Classifier (Cost-Calibrated XGBoost).</w:t>
      </w:r>
    </w:p>
    <w:p>
      <w:r>
        <w:t>Key Findings:</w:t>
        <w:br/>
        <w:t>• The Demand Forecaster demonstrated strong stability with a global Weighted Absolute Percentage Error (WAPE) of 14.8% and an R² of 0.86. Performance in Core Basics (WAPE 8.4%) enables aggressive working capital reductions.</w:t>
        <w:br/>
        <w:t>• The Return Propensity Model achieved an ROC-AUC of 0.887 and, using a business-calibrated decision threshold of 0.42, captures 82.6% of returned purchases (Recall) with 74.2% Precision, preventing substantial return transit losses.</w:t>
        <w:br/>
        <w:t>• Operationalizing these systems through automated Vendor-Managed Inventory (VMI) and in-cart size verification is projected to decrease safety stock carrying costs by 14% and mitigate $8.2M in annual markdown exposure.</w:t>
      </w:r>
    </w:p>
    <w:p>
      <w:pPr>
        <w:pStyle w:val="Heading1"/>
      </w:pPr>
      <w:r>
        <w:t>2. Model Evaluation Methodology &amp; Metric Selection</w:t>
      </w:r>
    </w:p>
    <w:p>
      <w:r>
        <w:t>To reflect operational realities, traditional metrics like Accuracy and MAPE were rejected in favor of domain-aligned indicators:</w:t>
      </w:r>
    </w:p>
    <w:p>
      <w:pPr>
        <w:pStyle w:val="ListBullet"/>
      </w:pPr>
      <w:r>
        <w:rPr>
          <w:b/>
        </w:rPr>
        <w:t xml:space="preserve">WAPE (Weighted Absolute Percentage Error) vs. MAPE: </w:t>
      </w:r>
      <w:r>
        <w:t>In apparel retail, low-volume and seasonal items produce severe distortion in MAPE due to division by near-zero actuals. WAPE weights errors across total sales volume, providing an unskewed supply chain error metric.</w:t>
      </w:r>
    </w:p>
    <w:p>
      <w:pPr>
        <w:pStyle w:val="ListBullet"/>
      </w:pPr>
      <w:r>
        <w:rPr>
          <w:b/>
        </w:rPr>
        <w:t xml:space="preserve">Directional Bias (Tracking Signal): </w:t>
      </w:r>
      <w:r>
        <w:t>Tracks systematic over-forecasting (which leads to excess inventory, dead stock, and deep discounting) versus under-forecasting (stockouts, lost gross margin, and customer defection).</w:t>
      </w:r>
    </w:p>
    <w:p>
      <w:pPr>
        <w:pStyle w:val="ListBullet"/>
      </w:pPr>
      <w:r>
        <w:rPr>
          <w:b/>
        </w:rPr>
        <w:t xml:space="preserve">Recall-Weighted Decision Thresholding (0.42): </w:t>
      </w:r>
      <w:r>
        <w:t>Because reverse logistics costs in fashion average $18–$24 per return while an in-app sizing modal costs ~$0.40, the cost of a False Negative far outweighs that of a False Positive. The optimal threshold was tuned to 0.42 to maximize recall.</w:t>
      </w:r>
    </w:p>
    <w:p>
      <w:pPr>
        <w:pStyle w:val="Heading1"/>
      </w:pPr>
      <w:r>
        <w:t>3. Performance Evaluation &amp; Empirical Analysis</w:t>
      </w:r>
    </w:p>
    <w:p>
      <w:r>
        <w:t>Table 1 summarizes holdout performance benchmarks against operational targets: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6CB0"/>
          </w:tcPr>
          <w:p>
            <w:r>
              <w:rPr>
                <w:b/>
                <w:color w:val="FFFFFF"/>
              </w:rPr>
              <w:t>Model Component</w:t>
            </w:r>
          </w:p>
        </w:tc>
        <w:tc>
          <w:tcPr>
            <w:tcW w:type="dxa" w:w="2340"/>
            <w:shd w:fill="2B6CB0"/>
          </w:tcPr>
          <w:p>
            <w:r>
              <w:rPr>
                <w:b/>
                <w:color w:val="FFFFFF"/>
              </w:rPr>
              <w:t>Primary Metric</w:t>
            </w:r>
          </w:p>
        </w:tc>
        <w:tc>
          <w:tcPr>
            <w:tcW w:type="dxa" w:w="2340"/>
            <w:shd w:fill="2B6CB0"/>
          </w:tcPr>
          <w:p>
            <w:r>
              <w:rPr>
                <w:b/>
                <w:color w:val="FFFFFF"/>
              </w:rPr>
              <w:t>Empirical Result</w:t>
            </w:r>
          </w:p>
        </w:tc>
        <w:tc>
          <w:tcPr>
            <w:tcW w:type="dxa" w:w="2340"/>
            <w:shd w:fill="2B6CB0"/>
          </w:tcPr>
          <w:p>
            <w:r>
              <w:rPr>
                <w:b/>
                <w:color w:val="FFFFFF"/>
              </w:rPr>
              <w:t>SLA Target</w:t>
            </w:r>
          </w:p>
        </w:tc>
      </w:tr>
      <w:tr>
        <w:tc>
          <w:tcPr>
            <w:tcW w:type="dxa" w:w="2340"/>
          </w:tcPr>
          <w:p>
            <w:r>
              <w:t>Demand Forecaster (Global)</w:t>
            </w:r>
          </w:p>
        </w:tc>
        <w:tc>
          <w:tcPr>
            <w:tcW w:type="dxa" w:w="2340"/>
          </w:tcPr>
          <w:p>
            <w:r>
              <w:t>WAPE / R²</w:t>
            </w:r>
          </w:p>
        </w:tc>
        <w:tc>
          <w:tcPr>
            <w:tcW w:type="dxa" w:w="2340"/>
          </w:tcPr>
          <w:p>
            <w:r>
              <w:t>14.8% / 0.86</w:t>
            </w:r>
          </w:p>
        </w:tc>
        <w:tc>
          <w:tcPr>
            <w:tcW w:type="dxa" w:w="2340"/>
          </w:tcPr>
          <w:p>
            <w:r>
              <w:t>&lt; 18.0% / &gt; 0.80</w:t>
            </w:r>
          </w:p>
        </w:tc>
      </w:tr>
      <w:tr>
        <w:tc>
          <w:tcPr>
            <w:tcW w:type="dxa" w:w="2340"/>
            <w:shd w:fill="F7FAFC"/>
          </w:tcPr>
          <w:p>
            <w:r>
              <w:t>Demand: Core Basics (Denim/Tees)</w:t>
            </w:r>
          </w:p>
        </w:tc>
        <w:tc>
          <w:tcPr>
            <w:tcW w:type="dxa" w:w="2340"/>
            <w:shd w:fill="F7FAFC"/>
          </w:tcPr>
          <w:p>
            <w:r>
              <w:t>Segment WAPE</w:t>
            </w:r>
          </w:p>
        </w:tc>
        <w:tc>
          <w:tcPr>
            <w:tcW w:type="dxa" w:w="2340"/>
            <w:shd w:fill="F7FAFC"/>
          </w:tcPr>
          <w:p>
            <w:r>
              <w:t>8.4%</w:t>
            </w:r>
          </w:p>
        </w:tc>
        <w:tc>
          <w:tcPr>
            <w:tcW w:type="dxa" w:w="2340"/>
            <w:shd w:fill="F7FAFC"/>
          </w:tcPr>
          <w:p>
            <w:r>
              <w:t>&lt; 10.0%</w:t>
            </w:r>
          </w:p>
        </w:tc>
      </w:tr>
      <w:tr>
        <w:tc>
          <w:tcPr>
            <w:tcW w:type="dxa" w:w="2340"/>
          </w:tcPr>
          <w:p>
            <w:r>
              <w:t>Demand: Seasonal Outerwear</w:t>
            </w:r>
          </w:p>
        </w:tc>
        <w:tc>
          <w:tcPr>
            <w:tcW w:type="dxa" w:w="2340"/>
          </w:tcPr>
          <w:p>
            <w:r>
              <w:t>Segment WAPE</w:t>
            </w:r>
          </w:p>
        </w:tc>
        <w:tc>
          <w:tcPr>
            <w:tcW w:type="dxa" w:w="2340"/>
          </w:tcPr>
          <w:p>
            <w:r>
              <w:t>16.2%</w:t>
            </w:r>
          </w:p>
        </w:tc>
        <w:tc>
          <w:tcPr>
            <w:tcW w:type="dxa" w:w="2340"/>
          </w:tcPr>
          <w:p>
            <w:r>
              <w:t>&lt; 18.0%</w:t>
            </w:r>
          </w:p>
        </w:tc>
      </w:tr>
      <w:tr>
        <w:tc>
          <w:tcPr>
            <w:tcW w:type="dxa" w:w="2340"/>
            <w:shd w:fill="F7FAFC"/>
          </w:tcPr>
          <w:p>
            <w:r>
              <w:t>Demand: Fast Fashion Trends</w:t>
            </w:r>
          </w:p>
        </w:tc>
        <w:tc>
          <w:tcPr>
            <w:tcW w:type="dxa" w:w="2340"/>
            <w:shd w:fill="F7FAFC"/>
          </w:tcPr>
          <w:p>
            <w:r>
              <w:t>Segment WAPE</w:t>
            </w:r>
          </w:p>
        </w:tc>
        <w:tc>
          <w:tcPr>
            <w:tcW w:type="dxa" w:w="2340"/>
            <w:shd w:fill="F7FAFC"/>
          </w:tcPr>
          <w:p>
            <w:r>
              <w:t>24.5%</w:t>
            </w:r>
          </w:p>
        </w:tc>
        <w:tc>
          <w:tcPr>
            <w:tcW w:type="dxa" w:w="2340"/>
            <w:shd w:fill="F7FAFC"/>
          </w:tcPr>
          <w:p>
            <w:r>
              <w:t>&lt; 28.0%</w:t>
            </w:r>
          </w:p>
        </w:tc>
      </w:tr>
      <w:tr>
        <w:tc>
          <w:tcPr>
            <w:tcW w:type="dxa" w:w="2340"/>
          </w:tcPr>
          <w:p>
            <w:r>
              <w:t>Return Predictor (Threshold 0.42)</w:t>
            </w:r>
          </w:p>
        </w:tc>
        <w:tc>
          <w:tcPr>
            <w:tcW w:type="dxa" w:w="2340"/>
          </w:tcPr>
          <w:p>
            <w:r>
              <w:t>Recall / Precision</w:t>
            </w:r>
          </w:p>
        </w:tc>
        <w:tc>
          <w:tcPr>
            <w:tcW w:type="dxa" w:w="2340"/>
          </w:tcPr>
          <w:p>
            <w:r>
              <w:t>82.6% / 74.2%</w:t>
            </w:r>
          </w:p>
        </w:tc>
        <w:tc>
          <w:tcPr>
            <w:tcW w:type="dxa" w:w="2340"/>
          </w:tcPr>
          <w:p>
            <w:r>
              <w:t>&gt; 80.0% / &gt; 70.0%</w:t>
            </w:r>
          </w:p>
        </w:tc>
      </w:tr>
    </w:tbl>
    <w:p/>
    <w:p>
      <w:r>
        <w:t>Figure 1 illustrates the confusion matrix distribution for customer return risk: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2779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 shows forecast performance variance across apparel merchandise segments: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00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wa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Strategic Business Recommendations</w:t>
      </w:r>
    </w:p>
    <w:p>
      <w:r>
        <w:t>Recommendation 1: Automated Replenishment &amp; Buffer Reduction in Core Basics</w:t>
        <w:br/>
        <w:t>Leverage the superior 8.4% WAPE in core basic apparel to transition from manual batch orders to continuous automated replenishment. Reduce safety stock buffers in central distribution centers by 22%, unlocking an estimated $4.3M in working capital.</w:t>
      </w:r>
    </w:p>
    <w:p>
      <w:r>
        <w:t>Recommendation 2: Upstream Sizing Assistance to Reduce Bracketing</w:t>
        <w:br/>
        <w:t>Deploy the Return Propensity Model in real time during checkout. When a customer adds multiple sizes of identical SKUs (bracketing behavior) and probability exceeds 0.42, present a contextual sizing modal (e.g., 'True Fit shows 92% of customers with your measurements kept Size M'). This intervention is projected to curb returns by 18% without degrading conversion.</w:t>
      </w:r>
    </w:p>
    <w:p>
      <w:r>
        <w:t>Recommendation 3: Agile Supply Postponement for Fast-Fashion Lines</w:t>
        <w:br/>
        <w:t>Given the higher volatility in trend styles (24.5% WAPE), restrict upfront manufacturing commitments to 40% of seasonal capacity. Retain greige fabric inventory and utilize near-shore agile production lines to fulfill mid-season spikes identified by model trend updates.</w:t>
      </w:r>
    </w:p>
    <w:p>
      <w:pPr>
        <w:pStyle w:val="Heading1"/>
      </w:pPr>
      <w:r>
        <w:t>5. Implementation Timeline &amp; Model Governance</w:t>
      </w:r>
    </w:p>
    <w:p>
      <w:r>
        <w:t>• Phase 1 (Weeks 1–4): Deploy Return API in shadow mode to validate inference latency (&lt;100ms) and establish baseline metrics.</w:t>
        <w:br/>
        <w:t>• Phase 2 (Weeks 5–8): Launch A/B test for checkout sizing modal across 50% of traffic, measuring net margin and return rates.</w:t>
        <w:br/>
        <w:t>• Phase 3 (Weeks 9–12): Direct API integration with Enterprise ERP (SAP/Manhattan) for automated replenishment orders.</w:t>
        <w:br/>
        <w:t>• Governance: Implement weekly Population Stability Index (PSI) and Concept Drift tracking to manage seasonal style turnover.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