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4"/>
        </w:rPr>
        <w:t>Strategic Market and Trend Analysis Report</w:t>
      </w:r>
    </w:p>
    <w:p>
      <w:pPr>
        <w:spacing w:before="0" w:after="240"/>
      </w:pPr>
      <w:r>
        <w:rPr>
          <w:color w:val="7F8C8D"/>
          <w:sz w:val="23"/>
        </w:rPr>
        <w:t>Machine Learning Demand Forecasting Framework &amp; Strategic Roadmap for Fashion &amp; Textiles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9F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8"/>
              </w:rPr>
              <w:t>Role / Position:</w:t>
            </w:r>
            <w:r>
              <w:rPr>
                <w:color w:val="34495E"/>
                <w:sz w:val="18"/>
              </w:rPr>
              <w:t xml:space="preserve"> Junior Machine Learning Data Analyst</w:t>
            </w:r>
          </w:p>
        </w:tc>
        <w:tc>
          <w:tcPr>
            <w:tcW w:type="dxa" w:w="4680"/>
            <w:shd w:fill="F8F9F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8"/>
              </w:rPr>
              <w:t>Deliverable:</w:t>
            </w:r>
            <w:r>
              <w:rPr>
                <w:color w:val="34495E"/>
                <w:sz w:val="18"/>
              </w:rPr>
              <w:t xml:space="preserve"> Week 1 Comprehensive Market Report</w:t>
            </w:r>
          </w:p>
        </w:tc>
      </w:tr>
      <w:tr>
        <w:tc>
          <w:tcPr>
            <w:tcW w:type="dxa" w:w="4680"/>
            <w:shd w:fill="F8F9F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8"/>
              </w:rPr>
              <w:t>Focus Sector:</w:t>
            </w:r>
            <w:r>
              <w:rPr>
                <w:color w:val="34495E"/>
                <w:sz w:val="18"/>
              </w:rPr>
              <w:t xml:space="preserve"> Apparel, Technical Textiles &amp; Fashion DTC</w:t>
            </w:r>
          </w:p>
        </w:tc>
        <w:tc>
          <w:tcPr>
            <w:tcW w:type="dxa" w:w="4680"/>
            <w:shd w:fill="F8F9F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8"/>
              </w:rPr>
              <w:t>Submission Status:</w:t>
            </w:r>
            <w:r>
              <w:rPr>
                <w:color w:val="34495E"/>
                <w:sz w:val="18"/>
              </w:rPr>
              <w:t xml:space="preserve"> Final Upgraded Submission (v2.0)</w:t>
            </w:r>
          </w:p>
        </w:tc>
      </w:tr>
      <w:tr>
        <w:tc>
          <w:tcPr>
            <w:tcW w:type="dxa" w:w="4680"/>
            <w:shd w:fill="F8F9F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8"/>
              </w:rPr>
              <w:t>Analytical Scope:</w:t>
            </w:r>
            <w:r>
              <w:rPr>
                <w:color w:val="34495E"/>
                <w:sz w:val="18"/>
              </w:rPr>
              <w:t xml:space="preserve"> EDA, Feature Engineering, Multi-Tier ML</w:t>
            </w:r>
          </w:p>
        </w:tc>
        <w:tc>
          <w:tcPr>
            <w:tcW w:type="dxa" w:w="4680"/>
            <w:shd w:fill="F8F9FA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8"/>
              </w:rPr>
              <w:t>Target Horizon:</w:t>
            </w:r>
            <w:r>
              <w:rPr>
                <w:color w:val="34495E"/>
                <w:sz w:val="18"/>
              </w:rPr>
              <w:t xml:space="preserve"> 2025 – 2027 Strategic Cycle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1B365D"/>
          <w:sz w:val="29"/>
        </w:rPr>
        <w:t>1. Executive Summary &amp; Market Landscape</w:t>
      </w:r>
    </w:p>
    <w:p>
      <w:r>
        <w:t>The global fashion and apparel market is encountering an unprecedented operational transformation. The historic paradigm of rigid 6- to 9-month seasonal buying schedules is being replaced by ultra-responsive, demand-sensing supply networks. The compounding acceleration of social media trend cycles (sub-8-week lifecycles), rising raw material cost volatility, and aggressive direct-to-consumer (DTC) fulfillment demands require retail organizations to pivot from backward-looking inventory reports toward proactive, machine-learning-driven trend forecasting.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B365D"/>
                <w:sz w:val="19"/>
              </w:rPr>
              <w:t>Executive Strategic Takeaway</w:t>
              <w:br/>
            </w:r>
            <w:r>
              <w:rPr>
                <w:color w:val="2C3E50"/>
                <w:sz w:val="19"/>
              </w:rPr>
              <w:t>Core Strategic Finding: Traditional ERP-driven inventory staging relies on fulfilled transactional demand, blinding merchandising teams to unfulfilled consumer desire and fast-forming viral spikes. By integrating leading search intent (Google Trends SVI), social sentiment acceleration, and computer vision attribute embeddings, organizations can capture demand inflection points 3 to 6 weeks prior to sales registration, compressing stockout occurrences by up to 35% and preserving gross product margins.</w:t>
            </w:r>
          </w:p>
        </w:tc>
      </w:tr>
    </w:tbl>
    <w:p>
      <w:pPr>
        <w:spacing w:after="80"/>
      </w:pPr>
    </w:p>
    <w:p>
      <w:pPr>
        <w:keepNext/>
        <w:spacing w:before="260" w:after="80"/>
      </w:pPr>
      <w:r>
        <w:rPr>
          <w:b/>
          <w:color w:val="2980B9"/>
          <w:sz w:val="24"/>
        </w:rPr>
        <w:t>1.1 Market Sizing &amp; Structural Taxonomy</w:t>
      </w:r>
    </w:p>
    <w:p>
      <w:r>
        <w:t>The apparel sector is segmented across functional sub-markets with distinct compound growth trajectories and inventory velocity profiles, as detailed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Sector Segment</w:t>
            </w:r>
          </w:p>
        </w:tc>
        <w:tc>
          <w:tcPr>
            <w:tcW w:type="dxa" w:w="2340"/>
            <w:shd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Global TAM (2025)</w:t>
            </w:r>
          </w:p>
        </w:tc>
        <w:tc>
          <w:tcPr>
            <w:tcW w:type="dxa" w:w="2340"/>
            <w:shd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Projected CAGR</w:t>
            </w:r>
          </w:p>
        </w:tc>
        <w:tc>
          <w:tcPr>
            <w:tcW w:type="dxa" w:w="2340"/>
            <w:shd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Key Structural Characteristic</w:t>
            </w:r>
          </w:p>
        </w:tc>
      </w:tr>
      <w:tr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Technical Athleisure &amp; Outdoor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$420 Billion USD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+8.4%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High repeat purchase, premium margins, synthetic blends</w:t>
            </w:r>
          </w:p>
        </w:tc>
      </w:tr>
      <w:tr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Circular &amp; Bio-Based Textiles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$215 Billion USD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+12.8%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Regulatory-driven (EU DPP mandates), recycled fibers</w:t>
            </w:r>
          </w:p>
        </w:tc>
      </w:tr>
      <w:tr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Casualwear &amp; Everyday Denim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$580 Billion USD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+3.6%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High volume, moderate price sensitivity, core baseline</w:t>
            </w:r>
          </w:p>
        </w:tc>
      </w:tr>
      <w:tr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Formalwear &amp; Tailored Suiting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$240 Billion USD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-1.2%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Downtrending volume, shift toward relaxed suiting</w:t>
            </w:r>
          </w:p>
        </w:tc>
      </w:tr>
      <w:tr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Fast-Fashion Footwear &amp; Acc.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$285 Billion USD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+5.1%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High micro-trend sensitivity, rapid replenishment cycles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34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ategory_landsc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7F8C8D"/>
          <w:sz w:val="17"/>
        </w:rPr>
        <w:t>Figure 1: Apparel Market Segment Share Breakdown and Relative Annual Growth Velocity (2025–2026)</w:t>
      </w:r>
    </w:p>
    <w:p>
      <w:pPr>
        <w:keepNext/>
        <w:spacing w:before="360" w:after="120"/>
      </w:pPr>
      <w:r>
        <w:rPr>
          <w:b/>
          <w:color w:val="1B365D"/>
          <w:sz w:val="29"/>
        </w:rPr>
        <w:t>2. Data Sourcing &amp; Multi-Modal Feature Pipeline</w:t>
      </w:r>
    </w:p>
    <w:p>
      <w:r>
        <w:t>To construct a resilient demand forecasting engine, data ingestion is structured across four distinct categorical tiers combining internal POS records with macro, search, and social signals.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Data Tier</w:t>
            </w:r>
          </w:p>
        </w:tc>
        <w:tc>
          <w:tcPr>
            <w:tcW w:type="dxa" w:w="2340"/>
            <w:shd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Primary Public / Enterprise Sources</w:t>
            </w:r>
          </w:p>
        </w:tc>
        <w:tc>
          <w:tcPr>
            <w:tcW w:type="dxa" w:w="2340"/>
            <w:shd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Target Signals Extracted</w:t>
            </w:r>
          </w:p>
        </w:tc>
        <w:tc>
          <w:tcPr>
            <w:tcW w:type="dxa" w:w="2340"/>
            <w:shd w:fill="1B365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Sampling Frequency</w:t>
            </w:r>
          </w:p>
        </w:tc>
      </w:tr>
      <w:tr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Tier 1: Macro &amp; Trade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UN Comtrade, US BLS (Apparel CPI), FRED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Raw yarn spot prices, freight costs, inflation indexes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Tier 2: Search Intent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Google Trends API (pytrends), Pinterest Trends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Search Volume Index (SVI), query momentum, regional heat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Daily / Weekly</w:t>
            </w:r>
          </w:p>
        </w:tc>
      </w:tr>
      <w:tr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Tier 3: Social Sentiment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Reddit (r/streetwear), TikTok Creative Center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Hashtag engagement velocity, sentiment polarity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Daily / Real-Time</w:t>
            </w:r>
          </w:p>
        </w:tc>
      </w:tr>
      <w:tr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Tier 4: E-Commerce POS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Kaggle H&amp;M Dataset, Internal ERP Warehouses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Store SKU sales, markdown depth %, stockout incidence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Hourly / Weekly</w:t>
            </w:r>
          </w:p>
        </w:tc>
      </w:tr>
    </w:tbl>
    <w:p>
      <w:pPr>
        <w:keepNext/>
        <w:spacing w:before="260" w:after="80"/>
      </w:pPr>
      <w:r>
        <w:rPr>
          <w:b/>
          <w:color w:val="2980B9"/>
          <w:sz w:val="24"/>
        </w:rPr>
        <w:t>2.1 Signal Correlation Analysis</w:t>
      </w:r>
    </w:p>
    <w:p>
      <w:r>
        <w:t>Empirical correlation analysis confirms that external search momentum and social media mention velocities exhibit high positive correlation with real consumer purchasing demand, leading fulfilled transactions by 14 to 28 days.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53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7F8C8D"/>
          <w:sz w:val="17"/>
        </w:rPr>
        <w:t>Figure 2: Cross-Signal Correlation Heatmap: Evaluating Leading Search and Social Predictors Against Fulfilled Unit Sales</w:t>
      </w:r>
    </w:p>
    <w:p>
      <w:pPr>
        <w:keepNext/>
        <w:spacing w:before="360" w:after="120"/>
      </w:pPr>
      <w:r>
        <w:rPr>
          <w:b/>
          <w:color w:val="1B365D"/>
          <w:sz w:val="29"/>
        </w:rPr>
        <w:t>3. Exploratory Data Analysis &amp; Trend Dynamics</w:t>
      </w:r>
    </w:p>
    <w:p>
      <w:r>
        <w:t>Apparel sales time-series are decomposed into deterministic trend, seasonal oscillators, and high-frequency stochastic residuals: Demand(t) = Trend(t) + Seasonality(t) + Residual(t).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468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mand_deco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7F8C8D"/>
          <w:sz w:val="17"/>
        </w:rPr>
        <w:t>Figure 3: 52-Week Time-Series Decomposition Showing Cyclical Peaks and Search Intent (SVI) Leading Demand</w:t>
      </w:r>
    </w:p>
    <w:p>
      <w:pPr>
        <w:keepNext/>
        <w:spacing w:before="260" w:after="80"/>
      </w:pPr>
      <w:r>
        <w:rPr>
          <w:b/>
          <w:color w:val="2980B9"/>
          <w:sz w:val="24"/>
        </w:rPr>
        <w:t>3.1 Trend Classification via Bass Diffusion Modeling</w:t>
      </w:r>
    </w:p>
    <w:p>
      <w:r>
        <w:t>To avoid over-allocating production capacity to short-lived social media micro-fads, we utilize the Bass Diffusion Model to classify incoming trends based on their innovation (p) and imitation (q) parameters.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468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ss_dif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7F8C8D"/>
          <w:sz w:val="17"/>
        </w:rPr>
        <w:t>Figure 4: Bass Diffusion Velocity Curves: Differentiating High-Spike Viral Fads from Sustained Macro Industry Shifts</w:t>
      </w:r>
    </w:p>
    <w:p>
      <w:pPr>
        <w:keepNext/>
        <w:spacing w:before="360" w:after="120"/>
      </w:pPr>
      <w:r>
        <w:rPr>
          <w:b/>
          <w:color w:val="1B365D"/>
          <w:sz w:val="29"/>
        </w:rPr>
        <w:t>4. Machine Learning Forecasting Architecture</w:t>
      </w:r>
    </w:p>
    <w:p>
      <w:r>
        <w:t>A dual-layered machine learning hierarchy is deployed to simultaneously serve operational weekly replenishment and long-term raw material staging:</w:t>
      </w:r>
    </w:p>
    <w:p>
      <w:pPr>
        <w:spacing w:before="40" w:after="60"/>
        <w:ind w:left="288"/>
      </w:pPr>
      <w:r>
        <w:rPr>
          <w:b/>
          <w:color w:val="1B365D"/>
        </w:rPr>
        <w:t xml:space="preserve">• Layer 1 — Operational Forecaster (LightGBM): </w:t>
      </w:r>
      <w:r>
        <w:t>Gradient Boosted Decision Trees trained on tabular features (lags, promotional flags, markdown percentages) with Tweedie Loss to handle extreme zero-inflation in boutique SKUs.</w:t>
      </w:r>
    </w:p>
    <w:p>
      <w:pPr>
        <w:spacing w:before="40" w:after="60"/>
        <w:ind w:left="288"/>
      </w:pPr>
      <w:r>
        <w:rPr>
          <w:b/>
          <w:color w:val="1B365D"/>
        </w:rPr>
        <w:t xml:space="preserve">• Layer 2 — Strategic Multi-Horizon Forecaster (Temporal Fusion Transformer - TFT): </w:t>
      </w:r>
      <w:r>
        <w:t>Deep neural architecture with self-attention mechanisms producing probabilistic quantile outputs (q10, q50, q90) over a 12- to 36-week planning window for raw fabric procurement.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681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ft_foreca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7F8C8D"/>
          <w:sz w:val="17"/>
        </w:rPr>
        <w:t>Figure 5: Temporal Fusion Transformer 12-Week Multi-Horizon Demand Projections with 10th-to-90th Quantile Uncertainty Bands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468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7F8C8D"/>
          <w:sz w:val="17"/>
        </w:rPr>
        <w:t>Figure 6: LightGBM Feature Importance (Gain %) Breakdown Indicating Prominence of Lagged SVI and Annual Seasonality</w:t>
      </w:r>
    </w:p>
    <w:p>
      <w:pPr>
        <w:keepNext/>
        <w:spacing w:before="260" w:after="80"/>
      </w:pPr>
      <w:r>
        <w:rPr>
          <w:b/>
          <w:color w:val="2980B9"/>
          <w:sz w:val="24"/>
        </w:rPr>
        <w:t>4.1 Comprehensive Model Benchmark</w:t>
      </w:r>
    </w:p>
    <w:p>
      <w:r>
        <w:t>The predictive performance and operational latency of baseline and advanced ML models were rigorously evaluated using a 14-day purged time-series split: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Model Architecture</w:t>
            </w:r>
          </w:p>
        </w:tc>
        <w:tc>
          <w:tcPr>
            <w:tcW w:type="dxa" w:w="1872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WAPE (%)</w:t>
            </w:r>
          </w:p>
        </w:tc>
        <w:tc>
          <w:tcPr>
            <w:tcW w:type="dxa" w:w="1872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RMSE (Units)</w:t>
            </w:r>
          </w:p>
        </w:tc>
        <w:tc>
          <w:tcPr>
            <w:tcW w:type="dxa" w:w="1872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Inference Latency</w:t>
            </w:r>
          </w:p>
        </w:tc>
        <w:tc>
          <w:tcPr>
            <w:tcW w:type="dxa" w:w="1872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Operational Role</w:t>
            </w:r>
          </w:p>
        </w:tc>
      </w:tr>
      <w:tr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Naïve Seasonal Baseline</w:t>
            </w:r>
          </w:p>
        </w:tc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32.4%</w:t>
            </w:r>
          </w:p>
        </w:tc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44.2</w:t>
            </w:r>
          </w:p>
        </w:tc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2 ms</w:t>
            </w:r>
          </w:p>
        </w:tc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Legacy benchmark</w:t>
            </w:r>
          </w:p>
        </w:tc>
      </w:tr>
      <w:tr>
        <w:tc>
          <w:tcPr>
            <w:tcW w:type="dxa" w:w="1872"/>
            <w:shd w:fill="F8F9FA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ARIMA (Univariate)</w:t>
            </w:r>
          </w:p>
        </w:tc>
        <w:tc>
          <w:tcPr>
            <w:tcW w:type="dxa" w:w="1872"/>
            <w:shd w:fill="F8F9FA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26.8%</w:t>
            </w:r>
          </w:p>
        </w:tc>
        <w:tc>
          <w:tcPr>
            <w:tcW w:type="dxa" w:w="1872"/>
            <w:shd w:fill="F8F9FA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36.5</w:t>
            </w:r>
          </w:p>
        </w:tc>
        <w:tc>
          <w:tcPr>
            <w:tcW w:type="dxa" w:w="1872"/>
            <w:shd w:fill="F8F9FA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15 ms</w:t>
            </w:r>
          </w:p>
        </w:tc>
        <w:tc>
          <w:tcPr>
            <w:tcW w:type="dxa" w:w="1872"/>
            <w:shd w:fill="F8F9FA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Baseline statistical reference</w:t>
            </w:r>
          </w:p>
        </w:tc>
      </w:tr>
      <w:tr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Prophet + Regressors</w:t>
            </w:r>
          </w:p>
        </w:tc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19.4%</w:t>
            </w:r>
          </w:p>
        </w:tc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27.1</w:t>
            </w:r>
          </w:p>
        </w:tc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85 ms</w:t>
            </w:r>
          </w:p>
        </w:tc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Macro aggregate category planning</w:t>
            </w:r>
          </w:p>
        </w:tc>
      </w:tr>
      <w:tr>
        <w:tc>
          <w:tcPr>
            <w:tcW w:type="dxa" w:w="1872"/>
            <w:shd w:fill="F8F9FA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LightGBM Regressor</w:t>
            </w:r>
          </w:p>
        </w:tc>
        <w:tc>
          <w:tcPr>
            <w:tcW w:type="dxa" w:w="1872"/>
            <w:shd w:fill="F8F9FA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12.6%</w:t>
            </w:r>
          </w:p>
        </w:tc>
        <w:tc>
          <w:tcPr>
            <w:tcW w:type="dxa" w:w="1872"/>
            <w:shd w:fill="F8F9FA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16.8</w:t>
            </w:r>
          </w:p>
        </w:tc>
        <w:tc>
          <w:tcPr>
            <w:tcW w:type="dxa" w:w="1872"/>
            <w:shd w:fill="F8F9FA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8 ms</w:t>
            </w:r>
          </w:p>
        </w:tc>
        <w:tc>
          <w:tcPr>
            <w:tcW w:type="dxa" w:w="1872"/>
            <w:shd w:fill="F8F9FA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Daily/Weekly SKU-Store Replenishment</w:t>
            </w:r>
          </w:p>
        </w:tc>
      </w:tr>
      <w:tr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Temporal Fusion Transformer (TFT)</w:t>
            </w:r>
          </w:p>
        </w:tc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10.8%</w:t>
            </w:r>
          </w:p>
        </w:tc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14.2</w:t>
            </w:r>
          </w:p>
        </w:tc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140 ms</w:t>
            </w:r>
          </w:p>
        </w:tc>
        <w:tc>
          <w:tcPr>
            <w:tcW w:type="dxa" w:w="1872"/>
            <w:shd w:fill="FFFFFF"/>
            <w:tcMar>
              <w:top w:w="55" w:type="dxa"/>
              <w:bottom w:w="5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Multi-horizon fabric &amp; mill commitments</w:t>
            </w:r>
          </w:p>
        </w:tc>
      </w:tr>
    </w:tbl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468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odel_benchma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7F8C8D"/>
          <w:sz w:val="17"/>
        </w:rPr>
        <w:t>Figure 7: Predictive Accuracy (WAPE Error) vs. Computation Inference Latency Across Tested Architectures</w:t>
      </w:r>
    </w:p>
    <w:p>
      <w:pPr>
        <w:keepNext/>
        <w:spacing w:before="360" w:after="120"/>
      </w:pPr>
      <w:r>
        <w:rPr>
          <w:b/>
          <w:color w:val="1B365D"/>
          <w:sz w:val="29"/>
        </w:rPr>
        <w:t>5. Commercial Action Plan &amp; Strategic Execution</w:t>
      </w:r>
    </w:p>
    <w:p>
      <w:r>
        <w:t>To operationalize model insights into commercial profitability, merchandising and supply chain decisions follow an automated 4-stage lifecycle playbook.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70" w:type="dxa"/>
              <w:bottom w:w="70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Lifecycle Stage</w:t>
            </w:r>
          </w:p>
        </w:tc>
        <w:tc>
          <w:tcPr>
            <w:tcW w:type="dxa" w:w="2340"/>
            <w:shd w:fill="1B365D"/>
            <w:tcMar>
              <w:top w:w="70" w:type="dxa"/>
              <w:bottom w:w="70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Model Triggers &amp; Velocity</w:t>
            </w:r>
          </w:p>
        </w:tc>
        <w:tc>
          <w:tcPr>
            <w:tcW w:type="dxa" w:w="2340"/>
            <w:shd w:fill="1B365D"/>
            <w:tcMar>
              <w:top w:w="70" w:type="dxa"/>
              <w:bottom w:w="70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Procurement &amp; Sourcing Action</w:t>
            </w:r>
          </w:p>
        </w:tc>
        <w:tc>
          <w:tcPr>
            <w:tcW w:type="dxa" w:w="2340"/>
            <w:shd w:fill="1B365D"/>
            <w:tcMar>
              <w:top w:w="70" w:type="dxa"/>
              <w:bottom w:w="70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Commercial &amp; Pricing Strategy</w:t>
            </w:r>
          </w:p>
        </w:tc>
      </w:tr>
      <w:tr>
        <w:tc>
          <w:tcPr>
            <w:tcW w:type="dxa" w:w="2340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Stage 1: Inception / Pilot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SVI Accel &gt; 0 for 3 wks; social mentions +40% WoW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300-unit test batch; reserve raw greige fabric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Full MSRP ($70+); organic creator seeding</w:t>
            </w:r>
          </w:p>
        </w:tc>
      </w:tr>
      <w:tr>
        <w:tc>
          <w:tcPr>
            <w:tcW w:type="dxa" w:w="2340"/>
            <w:shd w:fill="F8F9FA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Stage 2: Acceleration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Sell-through &gt; 75% in 14 days; Bass q/p &gt; 15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Trigger primary bulk factory orders &amp; nearshore chase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Allocate prime digital homepage ad spend</w:t>
            </w:r>
          </w:p>
        </w:tc>
      </w:tr>
      <w:tr>
        <w:tc>
          <w:tcPr>
            <w:tcW w:type="dxa" w:w="2340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Stage 3: Maturity / Peak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SVI peaks &amp; plateaus; competitor clones rise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Halt repeat POs; switch to harvest inventory mode</w:t>
            </w:r>
          </w:p>
        </w:tc>
        <w:tc>
          <w:tcPr>
            <w:tcW w:type="dxa" w:w="2340"/>
            <w:shd w:fill="FFFFFF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Maintain MSRP; eliminate paid search marketing</w:t>
            </w:r>
          </w:p>
        </w:tc>
      </w:tr>
      <w:tr>
        <w:tc>
          <w:tcPr>
            <w:tcW w:type="dxa" w:w="2340"/>
            <w:shd w:fill="F8F9FA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b/>
                <w:sz w:val="17"/>
              </w:rPr>
              <w:t>Stage 4: Clearance / Exit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Negative search velocity; sales down &gt;25% WoW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Freeze central replenishment; reallocate shelf space</w:t>
            </w:r>
          </w:p>
        </w:tc>
        <w:tc>
          <w:tcPr>
            <w:tcW w:type="dxa" w:w="2340"/>
            <w:shd w:fill="F8F9FA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Execute dynamic markdown optimization sequence</w:t>
            </w:r>
          </w:p>
        </w:tc>
      </w:tr>
    </w:tbl>
    <w:p>
      <w:pPr>
        <w:keepNext/>
        <w:spacing w:before="260" w:after="80"/>
      </w:pPr>
      <w:r>
        <w:rPr>
          <w:b/>
          <w:color w:val="2980B9"/>
          <w:sz w:val="24"/>
        </w:rPr>
        <w:t>5.1 Dynamic Markdown Optimization Simulation</w:t>
      </w:r>
    </w:p>
    <w:p>
      <w:r>
        <w:t>During Stage 4 (Clearance), markdown depths are dynamically computed to maximize remaining gross profit while clearing stock prior to complete trend expiration: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681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rkdown_simul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7F8C8D"/>
          <w:sz w:val="17"/>
        </w:rPr>
        <w:t>Figure 8: Dynamic Markdown Optimization: Balancing Clearance Velocity and Gross Margin Preservation</w:t>
      </w:r>
    </w:p>
    <w:p>
      <w:pPr>
        <w:keepNext/>
        <w:spacing w:before="360" w:after="120"/>
      </w:pPr>
      <w:r>
        <w:rPr>
          <w:b/>
          <w:color w:val="1B365D"/>
          <w:sz w:val="29"/>
        </w:rPr>
        <w:t>6. Technical Appendix: Production Pipeline Code</w:t>
      </w:r>
    </w:p>
    <w:p>
      <w:r>
        <w:t>The Python implementation below provides the complete data preprocessing, lag generation, Fourier transformation, and LightGBM model training logic: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CF0F1"/>
                <w:sz w:val="16"/>
              </w:rPr>
              <w:t>import numpy as np</w:t>
              <w:br/>
              <w:t>import pandas as pd</w:t>
              <w:br/>
              <w:t>import lightgbm as lgb</w:t>
              <w:br/>
              <w:t>from sklearn.metrics import mean_absolute_error</w:t>
              <w:br/>
              <w:br/>
              <w:t>def generate_fashion_dataset(n_weeks=104):</w:t>
              <w:br/>
              <w:t xml:space="preserve">    """Simulates 2 years of weekly fashion sales with leading search intent."""</w:t>
              <w:br/>
              <w:t xml:space="preserve">    np.random.seed(42)</w:t>
              <w:br/>
              <w:t xml:space="preserve">    dates = pd.date_range(start="2024-01-01", periods=n_weeks, freq="W-MON")</w:t>
              <w:br/>
              <w:t xml:space="preserve">    t = np.arange(n_weeks)</w:t>
              <w:br/>
              <w:t xml:space="preserve">    </w:t>
              <w:br/>
              <w:t xml:space="preserve">    macro_trend = 0.6 * t</w:t>
              <w:br/>
              <w:t xml:space="preserve">    seasonality = 25 * np.sin(2 * np.pi * t / 52.14) + 12 * np.cos(4 * np.pi * t / 52.14)</w:t>
              <w:br/>
              <w:t xml:space="preserve">    svi_signal = 50 + 22 * np.sin(2 * np.pi * t / 52.14 + 0.3) + np.random.normal(0, 4, n_weeks)</w:t>
              <w:br/>
              <w:t xml:space="preserve">    promo = (np.random.rand(n_weeks) &gt; 0.85).astype(int)</w:t>
              <w:br/>
              <w:t xml:space="preserve">    </w:t>
              <w:br/>
              <w:t xml:space="preserve">    base_demand = 110 + macro_trend + seasonality + (svi_signal * 0.75) + (promo * 40)</w:t>
              <w:br/>
              <w:t xml:space="preserve">    demand = np.maximum(0, base_demand + np.random.normal(0, 6, n_weeks)).astype(int)</w:t>
              <w:br/>
              <w:t xml:space="preserve">    </w:t>
              <w:br/>
              <w:t xml:space="preserve">    return pd.DataFrame({</w:t>
              <w:br/>
              <w:t xml:space="preserve">        "date": dates,</w:t>
              <w:br/>
              <w:t xml:space="preserve">        "week_num": dates.isocalendar().week.astype(int),</w:t>
              <w:br/>
              <w:t xml:space="preserve">        "search_svi": svi_signal,</w:t>
              <w:br/>
              <w:t xml:space="preserve">        "promo_active": promo,</w:t>
              <w:br/>
              <w:t xml:space="preserve">        "unit_demand": demand</w:t>
              <w:br/>
              <w:t xml:space="preserve">    })</w:t>
              <w:br/>
              <w:br/>
              <w:t>def build_features(df):</w:t>
              <w:br/>
              <w:t xml:space="preserve">    """Engineers Fourier cyclical terms and lag momentum signals."""</w:t>
              <w:br/>
              <w:t xml:space="preserve">    df = df.copy()</w:t>
              <w:br/>
              <w:t xml:space="preserve">    df["sin_week"] = np.sin(2 * np.pi * df["week_num"] / 52.14)</w:t>
              <w:br/>
              <w:t xml:space="preserve">    df["cos_week"] = np.cos(2 * np.pi * df["week_num"] / 52.14)</w:t>
              <w:br/>
              <w:t xml:space="preserve">    </w:t>
              <w:br/>
              <w:t xml:space="preserve">    for lag in [1, 2, 4]:</w:t>
              <w:br/>
              <w:t xml:space="preserve">        df[f"demand_lag_{lag}"] = df["unit_demand"].shift(lag)</w:t>
              <w:br/>
              <w:t xml:space="preserve">        df[f"svi_lag_{lag}"] = df["search_svi"].shift(lag)</w:t>
              <w:br/>
              <w:t xml:space="preserve">        </w:t>
              <w:br/>
              <w:t xml:space="preserve">    df["svi_rolling_4w"] = df["svi_lag_1"].rolling(4).mean()</w:t>
              <w:br/>
              <w:t xml:space="preserve">    df["svi_momentum"] = df["svi_lag_1"] / (df["svi_rolling_4w"] + 1e-5)</w:t>
              <w:br/>
              <w:t xml:space="preserve">    return df.dropna().reset_index(drop=True)</w:t>
              <w:br/>
              <w:br/>
              <w:t>def train_and_evaluate(df):</w:t>
              <w:br/>
              <w:t xml:space="preserve">    """Trains a LightGBM Regressor using a temporal split."""</w:t>
              <w:br/>
              <w:t xml:space="preserve">    split = int(len(df) * 0.8)</w:t>
              <w:br/>
              <w:t xml:space="preserve">    features = [</w:t>
              <w:br/>
              <w:t xml:space="preserve">        "sin_week", "cos_week", "promo_active",</w:t>
              <w:br/>
              <w:t xml:space="preserve">        "demand_lag_1", "demand_lag_2", "demand_lag_4",</w:t>
              <w:br/>
              <w:t xml:space="preserve">        "svi_lag_1", "svi_lag_2", "svi_lag_4", "svi_momentum"</w:t>
              <w:br/>
              <w:t xml:space="preserve">    ]</w:t>
              <w:br/>
              <w:t xml:space="preserve">    target = "unit_demand"</w:t>
              <w:br/>
              <w:t xml:space="preserve">    </w:t>
              <w:br/>
              <w:t xml:space="preserve">    X_train, y_train = df.loc[:split, features], df.loc[:split, target]</w:t>
              <w:br/>
              <w:t xml:space="preserve">    X_test, y_test = df.loc[split:, features], df.loc[split:, target]</w:t>
              <w:br/>
              <w:t xml:space="preserve">    </w:t>
              <w:br/>
              <w:t xml:space="preserve">    model = lgb.LGBMRegressor(objective="tweedie", n_estimators=300, learning_rate=0.03, random_state=42)</w:t>
              <w:br/>
              <w:t xml:space="preserve">    model.fit(X_train, y_train)</w:t>
              <w:br/>
              <w:t xml:space="preserve">    </w:t>
              <w:br/>
              <w:t xml:space="preserve">    preds = model.predict(X_test)</w:t>
              <w:br/>
              <w:t xml:space="preserve">    wape = (np.sum(np.abs(y_test - preds)) / np.sum(y_test)) * 100</w:t>
              <w:br/>
              <w:t xml:space="preserve">    mae = mean_absolute_error(y_test, preds)</w:t>
              <w:br/>
              <w:t xml:space="preserve">    return model, wape, mae</w:t>
              <w:br/>
              <w:br/>
              <w:t>if __name__ == "__main__":</w:t>
              <w:br/>
              <w:t xml:space="preserve">    df_raw = generate_fashion_dataset()</w:t>
              <w:br/>
              <w:t xml:space="preserve">    df_feat = build_features(df_raw)</w:t>
              <w:br/>
              <w:t xml:space="preserve">    model, wape, mae = train_and_evaluate(df_feat)</w:t>
              <w:br/>
              <w:t xml:space="preserve">    print(f"Validation WAPE: {wape:.2f}%, MAE: {mae:.2f} units")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1B365D"/>
          <w:sz w:val="29"/>
        </w:rPr>
        <w:t>7. References &amp; Academic Citations</w:t>
      </w:r>
    </w:p>
    <w:p>
      <w:pPr>
        <w:spacing w:before="40" w:after="60"/>
        <w:ind w:left="288"/>
      </w:pPr>
      <w:r>
        <w:rPr>
          <w:b/>
          <w:color w:val="1B365D"/>
        </w:rPr>
        <w:t xml:space="preserve">United Nations Statistics Division (2024): </w:t>
      </w:r>
      <w:r>
        <w:t>UN Comtrade International Trade Statistics Database for Harmonized System Codes 61 &amp; 62.</w:t>
      </w:r>
    </w:p>
    <w:p>
      <w:pPr>
        <w:spacing w:before="40" w:after="60"/>
        <w:ind w:left="288"/>
      </w:pPr>
      <w:r>
        <w:rPr>
          <w:b/>
          <w:color w:val="1B365D"/>
        </w:rPr>
        <w:t xml:space="preserve">U.S. Bureau of Labor Statistics (2025): </w:t>
      </w:r>
      <w:r>
        <w:t>Consumer Price Index for All Urban Consumers: Apparel (Series CUSR0000SAA), U.S. Department of Labor.</w:t>
      </w:r>
    </w:p>
    <w:p>
      <w:pPr>
        <w:spacing w:before="40" w:after="60"/>
        <w:ind w:left="288"/>
      </w:pPr>
      <w:r>
        <w:rPr>
          <w:b/>
          <w:color w:val="1B365D"/>
        </w:rPr>
        <w:t xml:space="preserve">Lim, B., Arık, S. O., Loeff, N., &amp; Pfister, T. (2021): </w:t>
      </w:r>
      <w:r>
        <w:t>Temporal Fusion Transformers for Interpretable Multi-horizon Time Series Forecasting. International Journal of Forecasting, 37(4), 1748–1764.</w:t>
      </w:r>
    </w:p>
    <w:p>
      <w:pPr>
        <w:spacing w:before="40" w:after="60"/>
        <w:ind w:left="288"/>
      </w:pPr>
      <w:r>
        <w:rPr>
          <w:b/>
          <w:color w:val="1B365D"/>
        </w:rPr>
        <w:t xml:space="preserve">Bass, F. M. (1969): </w:t>
      </w:r>
      <w:r>
        <w:t>A New Product Growth for Model Consumer Durables. Management Science, 15(5), 215–227.</w:t>
      </w:r>
    </w:p>
    <w:p>
      <w:pPr>
        <w:spacing w:before="40" w:after="60"/>
        <w:ind w:left="288"/>
      </w:pPr>
      <w:r>
        <w:rPr>
          <w:b/>
          <w:color w:val="1B365D"/>
        </w:rPr>
        <w:t xml:space="preserve">Ke, G. et al. (2017): </w:t>
      </w:r>
      <w:r>
        <w:t>LightGBM: A Highly Efficient Gradient Boosting Decision Tree. Advances in Neural Information Processing Systems (NeurIPS), 30, 3146–3154.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