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Kaivalya Dixit - 19XJ1A0218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Pulkit Aggarwal - 19XJ1A0554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Yuvraj Mishra - 19XJ1A0576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BNA dataset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Without bagging: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Accuracy = 97.8102189781022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Decision tree formed: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Every non-leaf node indicates the splitting value and the feature index in the dataset(starting from 0).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Every leaf node colored in blue indicates the classified class.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With bagging: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bagging, no. of decision trees split =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Accuracy = 97.08029197080292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SDD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Accuracy = 71.08029197080292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 is because hyperparameters were changed such that the program completes in a reasonable amount of time.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545773" cy="23171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773" cy="2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