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01FD8" w14:textId="1FC77A31" w:rsidR="003C5D28" w:rsidRDefault="003D4223" w:rsidP="003D4223">
      <w:pPr>
        <w:pStyle w:val="papertitle"/>
      </w:pPr>
      <w:r w:rsidRPr="003D4223">
        <w:t>Earthquake Magnitude Prediction Using Machine Learning on USGS Data (2000–2026)</w:t>
      </w:r>
    </w:p>
    <w:p w14:paraId="6619D677" w14:textId="77777777" w:rsidR="003D4223" w:rsidRPr="003C5D28" w:rsidRDefault="003D4223" w:rsidP="003D4223">
      <w:pPr>
        <w:pStyle w:val="papertitle"/>
      </w:pPr>
    </w:p>
    <w:tbl>
      <w:tblPr>
        <w:tblStyle w:val="TableGrid"/>
        <w:tblW w:w="0" w:type="auto"/>
        <w:tblLook w:val="04A0" w:firstRow="1" w:lastRow="0" w:firstColumn="1" w:lastColumn="0" w:noHBand="0" w:noVBand="1"/>
      </w:tblPr>
      <w:tblGrid>
        <w:gridCol w:w="5055"/>
        <w:gridCol w:w="5055"/>
      </w:tblGrid>
      <w:tr w:rsidR="003C5D28" w14:paraId="1FB03321" w14:textId="77777777" w:rsidTr="009E64CC">
        <w:trPr>
          <w:trHeight w:val="1497"/>
        </w:trPr>
        <w:tc>
          <w:tcPr>
            <w:tcW w:w="5055" w:type="dxa"/>
            <w:tcBorders>
              <w:top w:val="nil"/>
              <w:left w:val="nil"/>
              <w:bottom w:val="nil"/>
              <w:right w:val="nil"/>
            </w:tcBorders>
          </w:tcPr>
          <w:p w14:paraId="24C8C47B" w14:textId="77777777" w:rsidR="003C5D28" w:rsidRPr="003D4223" w:rsidRDefault="003C5D28" w:rsidP="003C5D28">
            <w:pPr>
              <w:pStyle w:val="Author"/>
              <w:spacing w:before="0"/>
              <w:rPr>
                <w:i/>
                <w:iCs/>
                <w:sz w:val="18"/>
                <w:szCs w:val="18"/>
              </w:rPr>
            </w:pPr>
            <w:r w:rsidRPr="003D4223">
              <w:rPr>
                <w:sz w:val="18"/>
                <w:szCs w:val="18"/>
              </w:rPr>
              <w:t>Vanisha</w:t>
            </w:r>
            <w:r w:rsidRPr="003D4223">
              <w:rPr>
                <w:sz w:val="18"/>
                <w:szCs w:val="18"/>
              </w:rPr>
              <w:br/>
            </w:r>
            <w:r w:rsidRPr="003D4223">
              <w:rPr>
                <w:i/>
                <w:iCs/>
                <w:sz w:val="18"/>
                <w:szCs w:val="18"/>
              </w:rPr>
              <w:t>Department of Computer Science &amp; Engineering</w:t>
            </w:r>
            <w:r w:rsidRPr="003D4223">
              <w:rPr>
                <w:sz w:val="18"/>
                <w:szCs w:val="18"/>
              </w:rPr>
              <w:br/>
            </w:r>
            <w:r w:rsidRPr="003D4223">
              <w:rPr>
                <w:i/>
                <w:iCs/>
                <w:sz w:val="18"/>
                <w:szCs w:val="18"/>
              </w:rPr>
              <w:t>Lovely Professional University</w:t>
            </w:r>
          </w:p>
          <w:p w14:paraId="12A151B9" w14:textId="0FE9C03C" w:rsidR="003C5D28" w:rsidRPr="003D4223" w:rsidRDefault="003C5D28" w:rsidP="003D4223">
            <w:pPr>
              <w:pStyle w:val="Author"/>
              <w:spacing w:before="0"/>
              <w:rPr>
                <w:sz w:val="18"/>
                <w:szCs w:val="18"/>
              </w:rPr>
            </w:pPr>
            <w:r w:rsidRPr="003D4223">
              <w:rPr>
                <w:i/>
                <w:iCs/>
                <w:sz w:val="18"/>
                <w:szCs w:val="18"/>
              </w:rPr>
              <w:t xml:space="preserve"> Punjab, India</w:t>
            </w:r>
            <w:r w:rsidRPr="003D4223">
              <w:rPr>
                <w:sz w:val="18"/>
                <w:szCs w:val="18"/>
              </w:rPr>
              <w:br/>
              <w:t>Vanisha.12417406@lpu.in</w:t>
            </w:r>
          </w:p>
        </w:tc>
        <w:tc>
          <w:tcPr>
            <w:tcW w:w="5055" w:type="dxa"/>
            <w:tcBorders>
              <w:top w:val="nil"/>
              <w:left w:val="nil"/>
              <w:bottom w:val="nil"/>
              <w:right w:val="nil"/>
            </w:tcBorders>
          </w:tcPr>
          <w:p w14:paraId="4F53A1EE" w14:textId="77777777" w:rsidR="003C5D28" w:rsidRPr="003D4223" w:rsidRDefault="003C5D28" w:rsidP="003D4223">
            <w:pPr>
              <w:pStyle w:val="Author"/>
              <w:spacing w:before="0" w:after="0"/>
              <w:rPr>
                <w:i/>
                <w:iCs/>
                <w:sz w:val="18"/>
                <w:szCs w:val="18"/>
              </w:rPr>
            </w:pPr>
            <w:r w:rsidRPr="003D4223">
              <w:rPr>
                <w:sz w:val="18"/>
                <w:szCs w:val="18"/>
              </w:rPr>
              <w:t>Prof. Veerpal Kaur</w:t>
            </w:r>
            <w:r w:rsidRPr="003D4223">
              <w:rPr>
                <w:sz w:val="18"/>
                <w:szCs w:val="18"/>
              </w:rPr>
              <w:br/>
            </w:r>
            <w:r w:rsidRPr="003D4223">
              <w:rPr>
                <w:i/>
                <w:iCs/>
                <w:sz w:val="18"/>
                <w:szCs w:val="18"/>
              </w:rPr>
              <w:t>Department of Computer Science &amp; Engineering</w:t>
            </w:r>
            <w:r w:rsidRPr="003D4223">
              <w:rPr>
                <w:sz w:val="18"/>
                <w:szCs w:val="18"/>
              </w:rPr>
              <w:br/>
            </w:r>
            <w:r w:rsidRPr="003D4223">
              <w:rPr>
                <w:i/>
                <w:iCs/>
                <w:sz w:val="18"/>
                <w:szCs w:val="18"/>
              </w:rPr>
              <w:t>Lovely Professional University</w:t>
            </w:r>
          </w:p>
          <w:p w14:paraId="3DEE0B53" w14:textId="77777777" w:rsidR="003D4223" w:rsidRPr="003D4223" w:rsidRDefault="003C5D28" w:rsidP="003D4223">
            <w:pPr>
              <w:pStyle w:val="Author"/>
              <w:spacing w:before="0" w:after="0"/>
              <w:rPr>
                <w:i/>
                <w:iCs/>
                <w:sz w:val="18"/>
                <w:szCs w:val="18"/>
              </w:rPr>
            </w:pPr>
            <w:r w:rsidRPr="003D4223">
              <w:rPr>
                <w:i/>
                <w:iCs/>
                <w:sz w:val="18"/>
                <w:szCs w:val="18"/>
              </w:rPr>
              <w:t xml:space="preserve"> Punjab, India</w:t>
            </w:r>
          </w:p>
          <w:p w14:paraId="51C8CEBE" w14:textId="1953B779" w:rsidR="003C5D28" w:rsidRPr="003D4223" w:rsidRDefault="003C5D28" w:rsidP="003D4223">
            <w:pPr>
              <w:pStyle w:val="Author"/>
              <w:spacing w:before="0" w:after="0"/>
              <w:rPr>
                <w:i/>
                <w:iCs/>
              </w:rPr>
            </w:pPr>
          </w:p>
        </w:tc>
      </w:tr>
    </w:tbl>
    <w:p w14:paraId="6BA11268" w14:textId="6CDA3D8C" w:rsidR="005D45B5" w:rsidRDefault="005D45B5" w:rsidP="003D4223">
      <w:pPr>
        <w:tabs>
          <w:tab w:val="left" w:pos="1224"/>
          <w:tab w:val="center" w:pos="5060"/>
        </w:tabs>
        <w:jc w:val="left"/>
      </w:pPr>
    </w:p>
    <w:p w14:paraId="5D08B193" w14:textId="77777777" w:rsidR="003D4223" w:rsidRPr="003D4223" w:rsidRDefault="003D4223" w:rsidP="003D4223">
      <w:pPr>
        <w:sectPr w:rsidR="003D4223" w:rsidRPr="003D4223">
          <w:type w:val="continuous"/>
          <w:pgSz w:w="11906" w:h="16838"/>
          <w:pgMar w:top="540" w:right="893" w:bottom="1440" w:left="893" w:header="720" w:footer="720" w:gutter="0"/>
          <w:cols w:space="720"/>
          <w:docGrid w:linePitch="360"/>
        </w:sectPr>
      </w:pPr>
    </w:p>
    <w:p w14:paraId="2C179622" w14:textId="70135C8C" w:rsidR="005D45B5" w:rsidRDefault="006500BC" w:rsidP="003D4223">
      <w:pPr>
        <w:pStyle w:val="Abstract"/>
        <w:ind w:firstLine="0"/>
      </w:pPr>
      <w:r>
        <w:t xml:space="preserve">Abstract—Earthquakes are among the most destructive natural phenomena on Earth, causing significant loss of human life and economic damage every year. </w:t>
      </w:r>
      <w:r w:rsidR="00C65A74" w:rsidRPr="00C65A74">
        <w:t>One of the most challenging unresolved issues in geoscience and disaster management is the accurate prediction of seismic events.</w:t>
      </w:r>
      <w:r>
        <w:t xml:space="preserve"> </w:t>
      </w:r>
      <w:r w:rsidR="00C65A74" w:rsidRPr="00C65A74">
        <w:t>This paper provides thorough analysis of 691,176 seismic records across 23 attributes from the United States Geological Survey's (USGS) global earthquake data from January 2000 to January 2026.</w:t>
      </w:r>
      <w:r>
        <w:t xml:space="preserve"> We perform</w:t>
      </w:r>
      <w:r w:rsidR="00A00369">
        <w:t>ed</w:t>
      </w:r>
      <w:r>
        <w:t xml:space="preserve"> systematic exploratory data analysis, feature engineering and appl</w:t>
      </w:r>
      <w:r w:rsidR="00A00369">
        <w:t>ied</w:t>
      </w:r>
      <w:r>
        <w:t xml:space="preserve"> Linear Regression baseline model for earthquake magnitude prediction, achieving an R² score of 0.44 and MSE of 0.42. The study also reviews 15 peer-reviewed papers published between 2022 and 2025 to identify the most prominent research gap in the field</w:t>
      </w:r>
      <w:r w:rsidR="00FE0839">
        <w:t xml:space="preserve"> like </w:t>
      </w:r>
      <w:r>
        <w:t>the absence of uncertainty quantification, multi-output prediction and multi-source geophysical precursor integration in current ML</w:t>
      </w:r>
      <w:r w:rsidR="00FE0839">
        <w:t xml:space="preserve"> </w:t>
      </w:r>
      <w:r>
        <w:t>based earthquake forecasting models. A roadmap toward a Multi-Task Uncertainty</w:t>
      </w:r>
      <w:r w:rsidR="00FE0839">
        <w:t xml:space="preserve"> </w:t>
      </w:r>
      <w:r>
        <w:t>Aware Bidirectional LSTM framework is proposed to address these gaps.</w:t>
      </w:r>
    </w:p>
    <w:p w14:paraId="1FE763D4" w14:textId="77777777" w:rsidR="005D45B5" w:rsidRDefault="006500BC">
      <w:pPr>
        <w:pStyle w:val="Keywords"/>
      </w:pPr>
      <w:r>
        <w:t>Keywords—earthquake prediction; machine learning; linear regression; USGS dataset; seismic analysis; magnitude forecasting; feature engineering; deep learning; exploratory data analysis; research gap</w:t>
      </w:r>
    </w:p>
    <w:p w14:paraId="0AED8ED1" w14:textId="77777777" w:rsidR="005D45B5" w:rsidRDefault="005D45B5">
      <w:pPr>
        <w:sectPr w:rsidR="005D45B5">
          <w:type w:val="continuous"/>
          <w:pgSz w:w="11906" w:h="16838"/>
          <w:pgMar w:top="450" w:right="893" w:bottom="1440" w:left="893" w:header="720" w:footer="720" w:gutter="0"/>
          <w:cols w:space="720"/>
          <w:docGrid w:linePitch="360"/>
        </w:sectPr>
      </w:pPr>
    </w:p>
    <w:p w14:paraId="568C9063" w14:textId="5885D725" w:rsidR="005D45B5" w:rsidRDefault="006500BC" w:rsidP="00DE63B6">
      <w:pPr>
        <w:pStyle w:val="Heading1"/>
        <w:spacing w:before="0"/>
      </w:pPr>
      <w:r>
        <w:t>Introduction</w:t>
      </w:r>
    </w:p>
    <w:p w14:paraId="698C0319" w14:textId="2183A3A7" w:rsidR="005D45B5" w:rsidRDefault="006500BC">
      <w:pPr>
        <w:pStyle w:val="BodyText"/>
      </w:pPr>
      <w:r>
        <w:t>Earthquakes are natural disasters that strike without warning and leave behind devastating consequences. According to global records</w:t>
      </w:r>
      <w:r w:rsidR="00DE63B6">
        <w:t xml:space="preserve"> </w:t>
      </w:r>
      <w:r>
        <w:t>earthquakes killed over 750,000 people between 1998 and 2017 and continue to cause hundreds of billions of dollars in infrastructure damage every year [1]. Given these stakes</w:t>
      </w:r>
      <w:r w:rsidR="00DE63B6">
        <w:t xml:space="preserve"> </w:t>
      </w:r>
      <w:r>
        <w:t>the ability to predict seismic events</w:t>
      </w:r>
      <w:r w:rsidR="00DE63B6">
        <w:t xml:space="preserve"> especially mathematically </w:t>
      </w:r>
      <w:r>
        <w:t>has enormous practical value for early warning systems, urban planning, and emergency p</w:t>
      </w:r>
      <w:r w:rsidR="00DE63B6">
        <w:t>lanning</w:t>
      </w:r>
      <w:r>
        <w:t>.</w:t>
      </w:r>
    </w:p>
    <w:p w14:paraId="3B5FCDD1" w14:textId="53A05693" w:rsidR="005D45B5" w:rsidRDefault="006500BC">
      <w:pPr>
        <w:pStyle w:val="BodyText"/>
      </w:pPr>
      <w:r>
        <w:t>Traditional earthquake prediction has relied heavily on physics</w:t>
      </w:r>
      <w:r w:rsidR="00DE63B6">
        <w:t xml:space="preserve"> </w:t>
      </w:r>
      <w:r>
        <w:t>based statistical models such as the Epidemic-Type Aftershock Sequence (ETAS) model and Omori-</w:t>
      </w:r>
      <w:proofErr w:type="spellStart"/>
      <w:r>
        <w:t>Utsu</w:t>
      </w:r>
      <w:proofErr w:type="spellEnd"/>
      <w:r>
        <w:t xml:space="preserve"> law. These models are scientifically grounded but struggle to capture the highly nonlinear, chaotic nature of fault systems and they require significant expert re-parameterization when applied across different tectonic regions [2]. The rise of Machine Learning and Deep Learning has opened a new avenue for data-driven seismology, where models learn patterns directly from large earthquake</w:t>
      </w:r>
      <w:r w:rsidR="00DE63B6">
        <w:t xml:space="preserve"> database </w:t>
      </w:r>
      <w:r>
        <w:t>without explicit physical assumptions [3].</w:t>
      </w:r>
    </w:p>
    <w:p w14:paraId="6567AECE" w14:textId="439DAB01" w:rsidR="005D45B5" w:rsidRDefault="006500BC" w:rsidP="00D9218B">
      <w:pPr>
        <w:pStyle w:val="BodyText"/>
        <w:spacing w:after="0"/>
      </w:pPr>
      <w:r>
        <w:t>Despite rapid progress, current ML-based earthquake prediction models suffer from three critical and recurring weaknesses that appear consistently across the literature: (</w:t>
      </w:r>
      <w:proofErr w:type="spellStart"/>
      <w:r>
        <w:t>i</w:t>
      </w:r>
      <w:proofErr w:type="spellEnd"/>
      <w:r>
        <w:t>)</w:t>
      </w:r>
      <w:r w:rsidR="00D9218B">
        <w:t xml:space="preserve"> </w:t>
      </w:r>
      <w:r>
        <w:t>single</w:t>
      </w:r>
      <w:r w:rsidR="00DE63B6">
        <w:t>-</w:t>
      </w:r>
      <w:r>
        <w:t>output</w:t>
      </w:r>
      <w:r w:rsidR="00DE63B6">
        <w:t xml:space="preserve"> </w:t>
      </w:r>
      <w:r>
        <w:t>prediction</w:t>
      </w:r>
      <w:r w:rsidR="00D9218B">
        <w:t xml:space="preserve"> where</w:t>
      </w:r>
      <w:r w:rsidR="00DE63B6">
        <w:t xml:space="preserve"> </w:t>
      </w:r>
      <w:r>
        <w:t>almost every model predicts magnitude alone</w:t>
      </w:r>
      <w:r w:rsidR="00D9218B">
        <w:t xml:space="preserve"> </w:t>
      </w:r>
      <w:r>
        <w:t>ignoring</w:t>
      </w:r>
      <w:r w:rsidR="00D9218B">
        <w:t xml:space="preserve"> </w:t>
      </w:r>
      <w:r>
        <w:t>time and location; (ii)</w:t>
      </w:r>
      <w:r w:rsidR="00D9218B">
        <w:t xml:space="preserve"> </w:t>
      </w:r>
      <w:r>
        <w:t>no uncertainty quantification</w:t>
      </w:r>
      <w:r w:rsidR="00D9218B">
        <w:t xml:space="preserve"> where </w:t>
      </w:r>
      <w:r>
        <w:t xml:space="preserve">13 out of 15 reviewed papers produce purely </w:t>
      </w:r>
      <w:r w:rsidR="00D9218B">
        <w:t>predictable</w:t>
      </w:r>
      <w:r>
        <w:t xml:space="preserve"> point estimates with</w:t>
      </w:r>
      <w:r w:rsidR="00D9218B">
        <w:t>out</w:t>
      </w:r>
      <w:r>
        <w:t xml:space="preserve"> confidence intervals; and (iii)</w:t>
      </w:r>
      <w:r w:rsidR="00D9218B">
        <w:t xml:space="preserve"> </w:t>
      </w:r>
      <w:r>
        <w:t xml:space="preserve">exclusive reliance on historical seismic </w:t>
      </w:r>
      <w:proofErr w:type="spellStart"/>
      <w:r>
        <w:t>catalogs</w:t>
      </w:r>
      <w:proofErr w:type="spellEnd"/>
      <w:r w:rsidR="00D9218B">
        <w:t xml:space="preserve"> whereas </w:t>
      </w:r>
      <w:r>
        <w:t>dynamic geodetic signals, ionospheric anomalies, and crustal strain data remain virtually unexplored as model inputs [4].</w:t>
      </w:r>
    </w:p>
    <w:p w14:paraId="55A9F38B" w14:textId="6390EBBC" w:rsidR="005D45B5" w:rsidRDefault="006500BC">
      <w:pPr>
        <w:pStyle w:val="BodyText"/>
      </w:pPr>
      <w:r>
        <w:t xml:space="preserve">This paper makes four main contributions. First, we perform an end-to-end exploratory data analysis of 691,176 global earthquake events recorded between 2000 and 2026 using the publicly available USGS </w:t>
      </w:r>
      <w:r w:rsidR="00D9218B">
        <w:t>dataset</w:t>
      </w:r>
      <w:r>
        <w:t>. Second</w:t>
      </w:r>
      <w:r w:rsidR="00D9218B">
        <w:t>,</w:t>
      </w:r>
      <w:r>
        <w:t xml:space="preserve"> we build and evaluate a Linear Regression baseline model for magnitude prediction. Third, we conduct a structured review </w:t>
      </w:r>
      <w:r>
        <w:t>of 15 state-of-the-art papers from 2022–2025 to identify common methods and repeated limitations. Fourth, we pinpoint the most prominent research gap and propose a concrete future solution framework [5].</w:t>
      </w:r>
    </w:p>
    <w:p w14:paraId="73F10C1C" w14:textId="4E13D06D" w:rsidR="005D45B5" w:rsidRDefault="006500BC">
      <w:pPr>
        <w:pStyle w:val="Heading1"/>
      </w:pPr>
      <w:r>
        <w:t>Literature Review</w:t>
      </w:r>
    </w:p>
    <w:p w14:paraId="016A8E9A" w14:textId="469DE5A3" w:rsidR="005D45B5" w:rsidRDefault="006500BC">
      <w:pPr>
        <w:pStyle w:val="BodyText"/>
      </w:pPr>
      <w:r>
        <w:t>The application of machine learning to earthquake prediction has grown significantly since 2018</w:t>
      </w:r>
      <w:r w:rsidR="00D9218B">
        <w:t xml:space="preserve"> </w:t>
      </w:r>
      <w:r>
        <w:t>with activity particularly accelerating after 2022. This section reviews 15 representative papers across different model families organized by methodology. Table I provides a co</w:t>
      </w:r>
      <w:r w:rsidR="00D9218B">
        <w:t>mbined</w:t>
      </w:r>
      <w:r>
        <w:t xml:space="preserve"> summary.</w:t>
      </w:r>
    </w:p>
    <w:p w14:paraId="6FED6A4E" w14:textId="3156A8EB" w:rsidR="005D45B5" w:rsidRDefault="006500BC">
      <w:pPr>
        <w:pStyle w:val="Heading2"/>
      </w:pPr>
      <w:r>
        <w:t>Machine Learning Approaches</w:t>
      </w:r>
    </w:p>
    <w:p w14:paraId="021433AB" w14:textId="77777777" w:rsidR="005D45B5" w:rsidRDefault="006500BC">
      <w:pPr>
        <w:pStyle w:val="BodyText"/>
      </w:pPr>
      <w:proofErr w:type="spellStart"/>
      <w:r>
        <w:t>Yavas</w:t>
      </w:r>
      <w:proofErr w:type="spellEnd"/>
      <w:r>
        <w:t xml:space="preserve"> et al. [6] benchmarked 16 different ML and neural network algorithms on a specially constructed feature matrix using the USGS </w:t>
      </w:r>
      <w:proofErr w:type="spellStart"/>
      <w:r>
        <w:t>catalog</w:t>
      </w:r>
      <w:proofErr w:type="spellEnd"/>
      <w:r>
        <w:t xml:space="preserve"> for the Los Angeles region, covering events from 1990 to 2024. Their Random Forest model achieved a classification accuracy of 97.97% for predicting the maximum earthquake magnitude category within a 30-day window. While the accuracy figure is impressive, the study treats prediction as a categorical bin problem rather than a continuous regression, does not address class imbalance between rare major events and frequent minor ones, and offers no uncertainty estimate. Similarly, </w:t>
      </w:r>
      <w:proofErr w:type="spellStart"/>
      <w:r>
        <w:t>Tehseen</w:t>
      </w:r>
      <w:proofErr w:type="spellEnd"/>
      <w:r>
        <w:t xml:space="preserve"> et al. [15] applied a Deep Neural Network (DNN) as a binary classifier across three tectonically distinct regions—Chile, Hindukush, and Southern California—using features derived from well-known seismological laws such as Gutenberg-Richter and Omori. The DNN outperformed Random Forest, SVM, and Logistic Regression baselines, but models were trained and tested independently per region without any form of cross-region transfer, limiting generalizability.</w:t>
      </w:r>
    </w:p>
    <w:p w14:paraId="5C0ED367" w14:textId="7B4F72C5" w:rsidR="005D45B5" w:rsidRDefault="006500BC">
      <w:pPr>
        <w:pStyle w:val="Heading2"/>
      </w:pPr>
      <w:r>
        <w:t>Recurrent and Sequence-Based Deep Learning</w:t>
      </w:r>
    </w:p>
    <w:p w14:paraId="3FD0FDAC" w14:textId="77777777" w:rsidR="005D45B5" w:rsidRDefault="006500BC">
      <w:pPr>
        <w:pStyle w:val="BodyText"/>
      </w:pPr>
      <w:proofErr w:type="spellStart"/>
      <w:r>
        <w:t>Berhich</w:t>
      </w:r>
      <w:proofErr w:type="spellEnd"/>
      <w:r>
        <w:t xml:space="preserve"> et al. [8] proposed one of the few studies in the reviewed set that attempts simultaneous prediction of time, magnitude, and location of large earthquakes (M &gt; 6). Their attention-based LSTM uses K-Means clustering to </w:t>
      </w:r>
      <w:r>
        <w:lastRenderedPageBreak/>
        <w:t xml:space="preserve">geographically segment the seismic </w:t>
      </w:r>
      <w:proofErr w:type="spellStart"/>
      <w:r>
        <w:t>catalog</w:t>
      </w:r>
      <w:proofErr w:type="spellEnd"/>
      <w:r>
        <w:t xml:space="preserve"> before training separate models per cluster. Tested on Japan (1900–2021) and the northern Red Sea, the model’s MSE was about 60% lower than the baseline—but the K-Means geographic partitioning ignores actual tectonic structure, early </w:t>
      </w:r>
      <w:proofErr w:type="spellStart"/>
      <w:r>
        <w:t>catalog</w:t>
      </w:r>
      <w:proofErr w:type="spellEnd"/>
      <w:r>
        <w:t xml:space="preserve"> data quality is poor, and no comparison against physics-based baselines like ETAS is provided. Ikram et al. [10] took a different approach, computing eight mathematically derived seismic indicators (including b-value, fractal dimension, and energy release) from regional </w:t>
      </w:r>
      <w:proofErr w:type="spellStart"/>
      <w:r>
        <w:t>catalogs</w:t>
      </w:r>
      <w:proofErr w:type="spellEnd"/>
      <w:r>
        <w:t xml:space="preserve"> of Japan, Indonesia, and the HKKH region, and applied LSTM, Bi-LSTM, and Transformer models to predict magnitude. This is one of the more physically motivated input sets in the literature, but each region is </w:t>
      </w:r>
      <w:proofErr w:type="spellStart"/>
      <w:r>
        <w:t>modeled</w:t>
      </w:r>
      <w:proofErr w:type="spellEnd"/>
      <w:r>
        <w:t xml:space="preserve"> independently with no transfer learning, and only magnitude is predicted.</w:t>
      </w:r>
    </w:p>
    <w:p w14:paraId="4FA08580" w14:textId="77777777" w:rsidR="005D45B5" w:rsidRDefault="006500BC">
      <w:pPr>
        <w:pStyle w:val="BodyText"/>
      </w:pPr>
      <w:r>
        <w:t>The hybrid LSTM-Kalman Filter model proposed in [20] is an interesting engineering contribution. By using the Kalman filter’s iterative update mechanism to dynamically correct the LSTM’s accumulated sequential prediction errors, the approach reduces MAE by 66-72% and RMSE by 68-70% compared to a standalone LSTM on Japan and Java century-scale datasets. However, it predicts only the timing of the next event, and the Kalman filter’s core assumption of linear error dynamics is unlikely to hold in the presence of aftershock sequences.</w:t>
      </w:r>
    </w:p>
    <w:p w14:paraId="5C2E6D6B" w14:textId="15B4B769" w:rsidR="005D45B5" w:rsidRDefault="006500BC">
      <w:pPr>
        <w:pStyle w:val="Heading2"/>
      </w:pPr>
      <w:r>
        <w:t>Transformer and Attention Models</w:t>
      </w:r>
    </w:p>
    <w:p w14:paraId="7C288D9D" w14:textId="77777777" w:rsidR="005D45B5" w:rsidRDefault="006500BC">
      <w:pPr>
        <w:pStyle w:val="BodyText"/>
      </w:pPr>
      <w:r>
        <w:t xml:space="preserve">Zhang et al. [7] introduced EPT (Earthquake Prediction Transformer), which uses Gated Feature Extraction Blocks (GFEB) to mine potential crustal motion and plate movement patterns from global seismic </w:t>
      </w:r>
      <w:proofErr w:type="spellStart"/>
      <w:r>
        <w:t>catalog</w:t>
      </w:r>
      <w:proofErr w:type="spellEnd"/>
      <w:r>
        <w:t xml:space="preserve"> data, then applies this global context to improve local mainshock prediction. Multi-headed self-attention captures long-range temporal dependencies better than LSTM for this purpose, and the approach improves accuracy by up to 50% over the LSTM baseline. The paper is well-motivated architecturally, but outputs are deterministic point predictions, interpretability is absent, and the model handles only binary mainshock classification. Zhang et al. [9] applied Fully Convolutional Networks (FCN) to spatial maps of historical earthquake energy release for probabilistic forecasting in California, and evaluated the results rigorously against the ETAS model using Molchan diagrams—the most scientifically rigorous evaluation seen in the reviewed set. Despite this, FCN performance was only marginally better than ETAS for M ≥ 5.0 events, and binary spatial alarms do not provide magnitude-level specificity.</w:t>
      </w:r>
    </w:p>
    <w:p w14:paraId="3ACDC7E1" w14:textId="4CF25101" w:rsidR="005D45B5" w:rsidRDefault="006500BC">
      <w:pPr>
        <w:pStyle w:val="Heading2"/>
      </w:pPr>
      <w:r>
        <w:t>Graph Neural Networks</w:t>
      </w:r>
    </w:p>
    <w:p w14:paraId="0379E8B8" w14:textId="77777777" w:rsidR="005D45B5" w:rsidRDefault="006500BC">
      <w:pPr>
        <w:pStyle w:val="BodyText"/>
      </w:pPr>
      <w:r>
        <w:t xml:space="preserve">Bilal et al. [14] applied a Graph Convolutional Network (GCN) with batch normalization and attention for real-time earthquake early warning, jointly predicting depth and magnitude at multiple seismic stations simultaneously by </w:t>
      </w:r>
      <w:proofErr w:type="spellStart"/>
      <w:r>
        <w:t>modeling</w:t>
      </w:r>
      <w:proofErr w:type="spellEnd"/>
      <w:r>
        <w:t xml:space="preserve"> the station network as a graph. This is a meaningful architectural contribution—GCNs can naturally represent the spatial topology of monitoring networks—but the graph structure is static and cannot adapt when stations go offline or new ones are added. The model has not been tested on M &gt; 7 events where waveform complexity increases substantially. </w:t>
      </w:r>
      <w:proofErr w:type="spellStart"/>
      <w:r>
        <w:t>Bloemheuvel</w:t>
      </w:r>
      <w:proofErr w:type="spellEnd"/>
      <w:r>
        <w:t xml:space="preserve"> et al. [17] proposed TISER-GCN for multivariate ground motion intensity regression, showing that encoding station network topology as graph edges outperforms SVM, KNN, </w:t>
      </w:r>
      <w:proofErr w:type="spellStart"/>
      <w:r>
        <w:t>XGBoost</w:t>
      </w:r>
      <w:proofErr w:type="spellEnd"/>
      <w:r>
        <w:t xml:space="preserve">, and CNN baselines. However, performance dropped by 30-42% when switching </w:t>
      </w:r>
      <w:r>
        <w:t>from a dense network to a sparse one, limiting applicability in data-scarce regions.</w:t>
      </w:r>
    </w:p>
    <w:p w14:paraId="76E1967C" w14:textId="6A3DE8EA" w:rsidR="005D45B5" w:rsidRDefault="006500BC">
      <w:pPr>
        <w:pStyle w:val="Heading2"/>
      </w:pPr>
      <w:r>
        <w:t>Hybrid, Ensemble, and Multi-Source Methods</w:t>
      </w:r>
    </w:p>
    <w:p w14:paraId="4757035D" w14:textId="77777777" w:rsidR="005D45B5" w:rsidRDefault="006500BC">
      <w:pPr>
        <w:pStyle w:val="BodyText"/>
      </w:pPr>
      <w:r>
        <w:t xml:space="preserve">SafeNet [12] represents the most ambitious architecture in the reviewed set. It fuses 282-dimensional seismic indicators from earthquake </w:t>
      </w:r>
      <w:proofErr w:type="spellStart"/>
      <w:r>
        <w:t>catalogs</w:t>
      </w:r>
      <w:proofErr w:type="spellEnd"/>
      <w:r>
        <w:t xml:space="preserve"> with geological map embeddings produced by a ResNet-50 branch, using an LSTM with adaptive attention for temporal </w:t>
      </w:r>
      <w:proofErr w:type="spellStart"/>
      <w:r>
        <w:t>modeling</w:t>
      </w:r>
      <w:proofErr w:type="spellEnd"/>
      <w:r>
        <w:t xml:space="preserve">. Validated on a 50-year China </w:t>
      </w:r>
      <w:proofErr w:type="spellStart"/>
      <w:r>
        <w:t>catalog</w:t>
      </w:r>
      <w:proofErr w:type="spellEnd"/>
      <w:r>
        <w:t xml:space="preserve">, it outperforms 13 baseline models. Yet the geological maps are static </w:t>
      </w:r>
      <w:proofErr w:type="spellStart"/>
      <w:r>
        <w:t>rasters</w:t>
      </w:r>
      <w:proofErr w:type="spellEnd"/>
      <w:r>
        <w:t>—no dynamic geodetic data is incorporated—the model is validated only on Chinese seismicity, and the computational requirements are high. Kaushal et al. [13] combined RNN-LSTM with Mutual Information and Rough Set Theory for feature selection, plus SVM and ANN components, achieving 92% precision on an earthquake damage database. However, the dataset source is not clearly described, and the task is damage classification rather than prospective event prediction.</w:t>
      </w:r>
    </w:p>
    <w:p w14:paraId="7028EB69" w14:textId="026F4450" w:rsidR="005D45B5" w:rsidRDefault="006500BC">
      <w:pPr>
        <w:pStyle w:val="Heading2"/>
      </w:pPr>
      <w:r>
        <w:t>Review and Survey Papers</w:t>
      </w:r>
    </w:p>
    <w:p w14:paraId="6CDC192C" w14:textId="77777777" w:rsidR="005D45B5" w:rsidRDefault="006500BC">
      <w:pPr>
        <w:pStyle w:val="BodyText"/>
      </w:pPr>
      <w:r>
        <w:t xml:space="preserve">Mousavi and Beroza [11], in their comprehensive Annual Review of Earth and Planetary Sciences article, confirm that while ML has matured significantly in seismic monitoring tasks—event detection, phase picking, and </w:t>
      </w:r>
      <w:proofErr w:type="spellStart"/>
      <w:r>
        <w:t>catalog</w:t>
      </w:r>
      <w:proofErr w:type="spellEnd"/>
      <w:r>
        <w:t xml:space="preserve"> completion—its application to true probabilistic earthquake forecasting remains in early stages. They explicitly call for better uncertainty quantification, explainability through XAI methods, and integration of non-</w:t>
      </w:r>
      <w:proofErr w:type="spellStart"/>
      <w:r>
        <w:t>catalog</w:t>
      </w:r>
      <w:proofErr w:type="spellEnd"/>
      <w:r>
        <w:t xml:space="preserve"> data sources. The survey by Islam et al. [19] reaches similar conclusions from a more applied ML perspective: most existing magnitude prediction models are single-output, produce no confidence intervals, rely on unshared or non-reproducible regional datasets, and have no real-time deployment pathway.</w:t>
      </w:r>
    </w:p>
    <w:p w14:paraId="75497BBD" w14:textId="77777777" w:rsidR="005D45B5" w:rsidRDefault="006500BC" w:rsidP="004B773A">
      <w:pPr>
        <w:pStyle w:val="figurecaption"/>
        <w:numPr>
          <w:ilvl w:val="0"/>
          <w:numId w:val="0"/>
        </w:numPr>
      </w:pPr>
      <w:r>
        <w:rPr>
          <w:b/>
          <w:bCs/>
        </w:rPr>
        <w:t>TABLE I. </w:t>
      </w:r>
      <w:r>
        <w:t>Literature Review Summary (2022–2025)</w:t>
      </w:r>
    </w:p>
    <w:tbl>
      <w:tblPr>
        <w:tblW w:w="488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Look w:val="04A0" w:firstRow="1" w:lastRow="0" w:firstColumn="1" w:lastColumn="0" w:noHBand="0" w:noVBand="1"/>
      </w:tblPr>
      <w:tblGrid>
        <w:gridCol w:w="427"/>
        <w:gridCol w:w="1056"/>
        <w:gridCol w:w="1254"/>
        <w:gridCol w:w="2143"/>
      </w:tblGrid>
      <w:tr w:rsidR="005D45B5" w14:paraId="6650AF8E" w14:textId="77777777">
        <w:trPr>
          <w:tblHeader/>
        </w:trPr>
        <w:tc>
          <w:tcPr>
            <w:tcW w:w="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1CEA1D" w14:textId="77777777" w:rsidR="005D45B5" w:rsidRDefault="006500BC">
            <w:pPr>
              <w:pStyle w:val="tablecolhead"/>
            </w:pPr>
            <w:r>
              <w:t>Ref</w:t>
            </w:r>
          </w:p>
        </w:tc>
        <w:tc>
          <w:tcPr>
            <w:tcW w:w="1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4E161B" w14:textId="77777777" w:rsidR="005D45B5" w:rsidRDefault="006500BC">
            <w:pPr>
              <w:pStyle w:val="tablecolhead"/>
            </w:pPr>
            <w:r>
              <w:t>Authors / Year</w:t>
            </w:r>
          </w:p>
        </w:tc>
        <w:tc>
          <w:tcPr>
            <w:tcW w:w="12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B2CCCB" w14:textId="77777777" w:rsidR="005D45B5" w:rsidRDefault="006500BC">
            <w:pPr>
              <w:pStyle w:val="tablecolhead"/>
            </w:pPr>
            <w:r>
              <w:t>Method</w:t>
            </w:r>
          </w:p>
        </w:tc>
        <w:tc>
          <w:tcPr>
            <w:tcW w:w="2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67706C" w14:textId="77777777" w:rsidR="005D45B5" w:rsidRDefault="006500BC">
            <w:pPr>
              <w:pStyle w:val="tablecolhead"/>
            </w:pPr>
            <w:r>
              <w:t>Key Finding / Limitation</w:t>
            </w:r>
          </w:p>
        </w:tc>
      </w:tr>
      <w:tr w:rsidR="005D45B5" w14:paraId="1130257C" w14:textId="77777777">
        <w:tc>
          <w:tcPr>
            <w:tcW w:w="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6BD000" w14:textId="77777777" w:rsidR="005D45B5" w:rsidRDefault="006500BC">
            <w:pPr>
              <w:pStyle w:val="tablecopy"/>
            </w:pPr>
            <w:r>
              <w:t>[6]</w:t>
            </w:r>
          </w:p>
        </w:tc>
        <w:tc>
          <w:tcPr>
            <w:tcW w:w="1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175BAE" w14:textId="77777777" w:rsidR="005D45B5" w:rsidRDefault="006500BC">
            <w:pPr>
              <w:pStyle w:val="tablecopy"/>
            </w:pPr>
            <w:r>
              <w:t>Yavas et al., 2024</w:t>
            </w:r>
          </w:p>
        </w:tc>
        <w:tc>
          <w:tcPr>
            <w:tcW w:w="12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24E739" w14:textId="77777777" w:rsidR="005D45B5" w:rsidRDefault="006500BC">
            <w:pPr>
              <w:pStyle w:val="tablecopy"/>
            </w:pPr>
            <w:r>
              <w:t>Random Forest (16-algo benchmark)</w:t>
            </w:r>
          </w:p>
        </w:tc>
        <w:tc>
          <w:tcPr>
            <w:tcW w:w="2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C73459" w14:textId="77777777" w:rsidR="005D45B5" w:rsidRDefault="006500BC">
            <w:pPr>
              <w:pStyle w:val="tablecopy"/>
            </w:pPr>
            <w:r>
              <w:t>97.97% accuracy on 30-day LA prediction; categorical only; no uncertainty</w:t>
            </w:r>
          </w:p>
        </w:tc>
      </w:tr>
      <w:tr w:rsidR="005D45B5" w14:paraId="4BDD5120" w14:textId="77777777">
        <w:tc>
          <w:tcPr>
            <w:tcW w:w="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1AAFC7" w14:textId="77777777" w:rsidR="005D45B5" w:rsidRDefault="006500BC">
            <w:pPr>
              <w:pStyle w:val="tablecopy"/>
            </w:pPr>
            <w:r>
              <w:t>[7]</w:t>
            </w:r>
          </w:p>
        </w:tc>
        <w:tc>
          <w:tcPr>
            <w:tcW w:w="1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D66C2A" w14:textId="77777777" w:rsidR="005D45B5" w:rsidRDefault="006500BC">
            <w:pPr>
              <w:pStyle w:val="tablecopy"/>
            </w:pPr>
            <w:r>
              <w:t>Zhang et al., 2023</w:t>
            </w:r>
          </w:p>
        </w:tc>
        <w:tc>
          <w:tcPr>
            <w:tcW w:w="12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005F4C" w14:textId="77777777" w:rsidR="005D45B5" w:rsidRDefault="006500BC">
            <w:pPr>
              <w:pStyle w:val="tablecopy"/>
            </w:pPr>
            <w:r>
              <w:t>Transformer (EPT + GFEB)</w:t>
            </w:r>
          </w:p>
        </w:tc>
        <w:tc>
          <w:tcPr>
            <w:tcW w:w="2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54D0DC" w14:textId="77777777" w:rsidR="005D45B5" w:rsidRDefault="006500BC">
            <w:pPr>
              <w:pStyle w:val="tablecopy"/>
            </w:pPr>
            <w:r>
              <w:t>+50% over LSTM; mainshock binary only; black-box; no location output</w:t>
            </w:r>
          </w:p>
        </w:tc>
      </w:tr>
      <w:tr w:rsidR="005D45B5" w14:paraId="59FC650B" w14:textId="77777777">
        <w:tc>
          <w:tcPr>
            <w:tcW w:w="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7E243A" w14:textId="77777777" w:rsidR="005D45B5" w:rsidRDefault="006500BC">
            <w:pPr>
              <w:pStyle w:val="tablecopy"/>
            </w:pPr>
            <w:r>
              <w:t>[8]</w:t>
            </w:r>
          </w:p>
        </w:tc>
        <w:tc>
          <w:tcPr>
            <w:tcW w:w="1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407240" w14:textId="77777777" w:rsidR="005D45B5" w:rsidRDefault="006500BC">
            <w:pPr>
              <w:pStyle w:val="tablecopy"/>
            </w:pPr>
            <w:r>
              <w:t>Berhich et al., 2023</w:t>
            </w:r>
          </w:p>
        </w:tc>
        <w:tc>
          <w:tcPr>
            <w:tcW w:w="12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6BEF66" w14:textId="77777777" w:rsidR="005D45B5" w:rsidRDefault="006500BC">
            <w:pPr>
              <w:pStyle w:val="tablecopy"/>
            </w:pPr>
            <w:r>
              <w:t>Attention-LSTM + K-Means</w:t>
            </w:r>
          </w:p>
        </w:tc>
        <w:tc>
          <w:tcPr>
            <w:tcW w:w="2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CBD021" w14:textId="77777777" w:rsidR="005D45B5" w:rsidRDefault="006500BC">
            <w:pPr>
              <w:pStyle w:val="tablecopy"/>
            </w:pPr>
            <w:r>
              <w:t>Multi-output (time+mag+loc); K-Means naive; no ETAS comparison</w:t>
            </w:r>
          </w:p>
        </w:tc>
      </w:tr>
      <w:tr w:rsidR="005D45B5" w14:paraId="06A9ADB6" w14:textId="77777777">
        <w:tc>
          <w:tcPr>
            <w:tcW w:w="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BD35C8" w14:textId="77777777" w:rsidR="005D45B5" w:rsidRDefault="006500BC">
            <w:pPr>
              <w:pStyle w:val="tablecopy"/>
            </w:pPr>
            <w:r>
              <w:t>[9]</w:t>
            </w:r>
          </w:p>
        </w:tc>
        <w:tc>
          <w:tcPr>
            <w:tcW w:w="1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C50AE0" w14:textId="77777777" w:rsidR="005D45B5" w:rsidRDefault="006500BC">
            <w:pPr>
              <w:pStyle w:val="tablecopy"/>
            </w:pPr>
            <w:r>
              <w:t>Zhang et al., 2025</w:t>
            </w:r>
          </w:p>
        </w:tc>
        <w:tc>
          <w:tcPr>
            <w:tcW w:w="12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3F2FAE" w14:textId="77777777" w:rsidR="005D45B5" w:rsidRDefault="006500BC">
            <w:pPr>
              <w:pStyle w:val="tablecopy"/>
            </w:pPr>
            <w:r>
              <w:t>FCN vs ETAS (Molchan diagram)</w:t>
            </w:r>
          </w:p>
        </w:tc>
        <w:tc>
          <w:tcPr>
            <w:tcW w:w="2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150D3E" w14:textId="77777777" w:rsidR="005D45B5" w:rsidRDefault="006500BC">
            <w:pPr>
              <w:pStyle w:val="tablecopy"/>
            </w:pPr>
            <w:r>
              <w:t>Best eval framework; marginal FCN gain over ETAS; offline retrospective only</w:t>
            </w:r>
          </w:p>
        </w:tc>
      </w:tr>
      <w:tr w:rsidR="005D45B5" w14:paraId="7B55F79A" w14:textId="77777777">
        <w:tc>
          <w:tcPr>
            <w:tcW w:w="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79DCB6" w14:textId="77777777" w:rsidR="005D45B5" w:rsidRDefault="006500BC">
            <w:pPr>
              <w:pStyle w:val="tablecopy"/>
            </w:pPr>
            <w:r>
              <w:t>[10]</w:t>
            </w:r>
          </w:p>
        </w:tc>
        <w:tc>
          <w:tcPr>
            <w:tcW w:w="1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14F16E" w14:textId="77777777" w:rsidR="005D45B5" w:rsidRDefault="006500BC">
            <w:pPr>
              <w:pStyle w:val="tablecopy"/>
            </w:pPr>
            <w:r>
              <w:t>Ikram et al., 2022</w:t>
            </w:r>
          </w:p>
        </w:tc>
        <w:tc>
          <w:tcPr>
            <w:tcW w:w="12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7EF575" w14:textId="77777777" w:rsidR="005D45B5" w:rsidRDefault="006500BC">
            <w:pPr>
              <w:pStyle w:val="tablecopy"/>
            </w:pPr>
            <w:r>
              <w:t>LSTM / Bi-LSTM / Transformer</w:t>
            </w:r>
          </w:p>
        </w:tc>
        <w:tc>
          <w:tcPr>
            <w:tcW w:w="2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9B63F2" w14:textId="77777777" w:rsidR="005D45B5" w:rsidRDefault="006500BC">
            <w:pPr>
              <w:pStyle w:val="tablecopy"/>
            </w:pPr>
            <w:r>
              <w:t>8 seismic features; magnitude only; no real-time pipeline</w:t>
            </w:r>
          </w:p>
        </w:tc>
      </w:tr>
      <w:tr w:rsidR="005D45B5" w14:paraId="5F618D47" w14:textId="77777777">
        <w:tc>
          <w:tcPr>
            <w:tcW w:w="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08D418" w14:textId="77777777" w:rsidR="005D45B5" w:rsidRDefault="006500BC">
            <w:pPr>
              <w:pStyle w:val="tablecopy"/>
            </w:pPr>
            <w:r>
              <w:t>[11]</w:t>
            </w:r>
          </w:p>
        </w:tc>
        <w:tc>
          <w:tcPr>
            <w:tcW w:w="1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BD6E04" w14:textId="77777777" w:rsidR="005D45B5" w:rsidRDefault="006500BC">
            <w:pPr>
              <w:pStyle w:val="tablecopy"/>
            </w:pPr>
            <w:r>
              <w:t>Mousavi &amp; Beroza, 2023</w:t>
            </w:r>
          </w:p>
        </w:tc>
        <w:tc>
          <w:tcPr>
            <w:tcW w:w="12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326C5E" w14:textId="77777777" w:rsidR="005D45B5" w:rsidRDefault="006500BC">
            <w:pPr>
              <w:pStyle w:val="tablecopy"/>
            </w:pPr>
            <w:r>
              <w:t>Review (Annual Reviews)</w:t>
            </w:r>
          </w:p>
        </w:tc>
        <w:tc>
          <w:tcPr>
            <w:tcW w:w="2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740E9D" w14:textId="77777777" w:rsidR="005D45B5" w:rsidRDefault="006500BC">
            <w:pPr>
              <w:pStyle w:val="tablecopy"/>
            </w:pPr>
            <w:r>
              <w:t>ML mature in monitoring; forecasting nascent; XAI and UQ missing</w:t>
            </w:r>
          </w:p>
        </w:tc>
      </w:tr>
      <w:tr w:rsidR="005D45B5" w14:paraId="7993A767" w14:textId="77777777">
        <w:tc>
          <w:tcPr>
            <w:tcW w:w="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75BA61" w14:textId="77777777" w:rsidR="005D45B5" w:rsidRDefault="006500BC">
            <w:pPr>
              <w:pStyle w:val="tablecopy"/>
            </w:pPr>
            <w:r>
              <w:t>[12]</w:t>
            </w:r>
          </w:p>
        </w:tc>
        <w:tc>
          <w:tcPr>
            <w:tcW w:w="1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7BF010" w14:textId="77777777" w:rsidR="005D45B5" w:rsidRDefault="006500BC">
            <w:pPr>
              <w:pStyle w:val="tablecopy"/>
            </w:pPr>
            <w:r>
              <w:t>SafeNet, 2025</w:t>
            </w:r>
          </w:p>
        </w:tc>
        <w:tc>
          <w:tcPr>
            <w:tcW w:w="12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B53A9B" w14:textId="3491C26D" w:rsidR="005D45B5" w:rsidRDefault="006500BC">
            <w:pPr>
              <w:pStyle w:val="tablecopy"/>
            </w:pPr>
            <w:r>
              <w:t>ResNet-50+</w:t>
            </w:r>
            <w:r w:rsidR="00DE63B6">
              <w:t xml:space="preserve"> </w:t>
            </w:r>
            <w:r>
              <w:t>LSTM Fusion</w:t>
            </w:r>
          </w:p>
        </w:tc>
        <w:tc>
          <w:tcPr>
            <w:tcW w:w="2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9606E7" w14:textId="77777777" w:rsidR="005D45B5" w:rsidRDefault="006500BC">
            <w:pPr>
              <w:pStyle w:val="tablecopy"/>
            </w:pPr>
            <w:r>
              <w:t>282-D multimodal; China-only; static maps; high compute cost</w:t>
            </w:r>
          </w:p>
        </w:tc>
      </w:tr>
      <w:tr w:rsidR="005D45B5" w14:paraId="7D6CA18B" w14:textId="77777777">
        <w:tc>
          <w:tcPr>
            <w:tcW w:w="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8A124E" w14:textId="77777777" w:rsidR="005D45B5" w:rsidRDefault="006500BC">
            <w:pPr>
              <w:pStyle w:val="tablecopy"/>
            </w:pPr>
            <w:r>
              <w:t>[13]</w:t>
            </w:r>
          </w:p>
        </w:tc>
        <w:tc>
          <w:tcPr>
            <w:tcW w:w="1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ED05CA" w14:textId="77777777" w:rsidR="005D45B5" w:rsidRDefault="006500BC">
            <w:pPr>
              <w:pStyle w:val="tablecopy"/>
            </w:pPr>
            <w:r>
              <w:t>Kaushal et al., 2025</w:t>
            </w:r>
          </w:p>
        </w:tc>
        <w:tc>
          <w:tcPr>
            <w:tcW w:w="12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03ECDA" w14:textId="77777777" w:rsidR="005D45B5" w:rsidRDefault="006500BC">
            <w:pPr>
              <w:pStyle w:val="tablecopy"/>
            </w:pPr>
            <w:r>
              <w:t>Hybrid RNN-LSTM + Rough Set</w:t>
            </w:r>
          </w:p>
        </w:tc>
        <w:tc>
          <w:tcPr>
            <w:tcW w:w="2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A23233" w14:textId="77777777" w:rsidR="005D45B5" w:rsidRDefault="006500BC">
            <w:pPr>
              <w:pStyle w:val="tablecopy"/>
            </w:pPr>
            <w:r>
              <w:t>92% precision; opaque dataset; damage class not event forecasting</w:t>
            </w:r>
          </w:p>
        </w:tc>
      </w:tr>
      <w:tr w:rsidR="005D45B5" w14:paraId="5B6F63BE" w14:textId="77777777">
        <w:tc>
          <w:tcPr>
            <w:tcW w:w="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7E5B97" w14:textId="77777777" w:rsidR="005D45B5" w:rsidRDefault="006500BC">
            <w:pPr>
              <w:pStyle w:val="tablecopy"/>
            </w:pPr>
            <w:r>
              <w:t>[14]</w:t>
            </w:r>
          </w:p>
        </w:tc>
        <w:tc>
          <w:tcPr>
            <w:tcW w:w="1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8C80B4" w14:textId="77777777" w:rsidR="005D45B5" w:rsidRDefault="006500BC">
            <w:pPr>
              <w:pStyle w:val="tablecopy"/>
            </w:pPr>
            <w:r>
              <w:t>Bilal et al., 2022</w:t>
            </w:r>
          </w:p>
        </w:tc>
        <w:tc>
          <w:tcPr>
            <w:tcW w:w="12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3252DB" w14:textId="77777777" w:rsidR="005D45B5" w:rsidRDefault="006500BC">
            <w:pPr>
              <w:pStyle w:val="tablecopy"/>
            </w:pPr>
            <w:r>
              <w:t>GCN + Attention (BNGCNNATT)</w:t>
            </w:r>
          </w:p>
        </w:tc>
        <w:tc>
          <w:tcPr>
            <w:tcW w:w="2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A170C0" w14:textId="77777777" w:rsidR="005D45B5" w:rsidRDefault="006500BC">
            <w:pPr>
              <w:pStyle w:val="tablecopy"/>
            </w:pPr>
            <w:r>
              <w:t>Multi-station EWS; fixed graph topology; not tested on M&gt;7</w:t>
            </w:r>
          </w:p>
        </w:tc>
      </w:tr>
      <w:tr w:rsidR="005D45B5" w14:paraId="44F1ECA2" w14:textId="77777777">
        <w:tc>
          <w:tcPr>
            <w:tcW w:w="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5262BD" w14:textId="77777777" w:rsidR="005D45B5" w:rsidRDefault="006500BC">
            <w:pPr>
              <w:pStyle w:val="tablecopy"/>
            </w:pPr>
            <w:r>
              <w:lastRenderedPageBreak/>
              <w:t>[15]</w:t>
            </w:r>
          </w:p>
        </w:tc>
        <w:tc>
          <w:tcPr>
            <w:tcW w:w="1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A2CA06" w14:textId="77777777" w:rsidR="005D45B5" w:rsidRDefault="006500BC">
            <w:pPr>
              <w:pStyle w:val="tablecopy"/>
            </w:pPr>
            <w:r>
              <w:t>Tehseen et al., 2023</w:t>
            </w:r>
          </w:p>
        </w:tc>
        <w:tc>
          <w:tcPr>
            <w:tcW w:w="12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2D0818" w14:textId="77777777" w:rsidR="005D45B5" w:rsidRDefault="006500BC">
            <w:pPr>
              <w:pStyle w:val="tablecopy"/>
            </w:pPr>
            <w:r>
              <w:t>DNN binary (multi-region)</w:t>
            </w:r>
          </w:p>
        </w:tc>
        <w:tc>
          <w:tcPr>
            <w:tcW w:w="2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9C583C" w14:textId="77777777" w:rsidR="005D45B5" w:rsidRDefault="006500BC">
            <w:pPr>
              <w:pStyle w:val="tablecopy"/>
            </w:pPr>
            <w:r>
              <w:t>3 tectonic regions; no transfer; binary only; no temporal resolution</w:t>
            </w:r>
          </w:p>
        </w:tc>
      </w:tr>
      <w:tr w:rsidR="005D45B5" w14:paraId="4957B670" w14:textId="77777777">
        <w:tc>
          <w:tcPr>
            <w:tcW w:w="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0FDFFE" w14:textId="77777777" w:rsidR="005D45B5" w:rsidRDefault="006500BC">
            <w:pPr>
              <w:pStyle w:val="tablecopy"/>
            </w:pPr>
            <w:r>
              <w:t>[16]</w:t>
            </w:r>
          </w:p>
        </w:tc>
        <w:tc>
          <w:tcPr>
            <w:tcW w:w="1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10BE48" w14:textId="77777777" w:rsidR="005D45B5" w:rsidRDefault="006500BC">
            <w:pPr>
              <w:pStyle w:val="tablecopy"/>
            </w:pPr>
            <w:r>
              <w:t>Altaibek et al., 2025</w:t>
            </w:r>
          </w:p>
        </w:tc>
        <w:tc>
          <w:tcPr>
            <w:tcW w:w="12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60B409" w14:textId="77777777" w:rsidR="005D45B5" w:rsidRDefault="006500BC">
            <w:pPr>
              <w:pStyle w:val="tablecopy"/>
            </w:pPr>
            <w:r>
              <w:t>Feedforward DNN (Kazakhstan)</w:t>
            </w:r>
          </w:p>
        </w:tc>
        <w:tc>
          <w:tcPr>
            <w:tcW w:w="2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E79BFA" w14:textId="77777777" w:rsidR="005D45B5" w:rsidRDefault="006500BC">
            <w:pPr>
              <w:pStyle w:val="tablecopy"/>
            </w:pPr>
            <w:r>
              <w:t>86% accuracy; 3 raw features only; no temporal architecture</w:t>
            </w:r>
          </w:p>
        </w:tc>
      </w:tr>
      <w:tr w:rsidR="005D45B5" w14:paraId="04085406" w14:textId="77777777">
        <w:tc>
          <w:tcPr>
            <w:tcW w:w="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FEC0C0" w14:textId="77777777" w:rsidR="005D45B5" w:rsidRDefault="006500BC">
            <w:pPr>
              <w:pStyle w:val="tablecopy"/>
            </w:pPr>
            <w:r>
              <w:t>[17]</w:t>
            </w:r>
          </w:p>
        </w:tc>
        <w:tc>
          <w:tcPr>
            <w:tcW w:w="1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356C53" w14:textId="77777777" w:rsidR="005D45B5" w:rsidRDefault="006500BC">
            <w:pPr>
              <w:pStyle w:val="tablecopy"/>
            </w:pPr>
            <w:r>
              <w:t>Bloemheuvel et al., 2022</w:t>
            </w:r>
          </w:p>
        </w:tc>
        <w:tc>
          <w:tcPr>
            <w:tcW w:w="12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899F8B" w14:textId="77777777" w:rsidR="005D45B5" w:rsidRDefault="006500BC">
            <w:pPr>
              <w:pStyle w:val="tablecopy"/>
            </w:pPr>
            <w:r>
              <w:t>TISER-GCN (graph time-series)</w:t>
            </w:r>
          </w:p>
        </w:tc>
        <w:tc>
          <w:tcPr>
            <w:tcW w:w="2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BA66D8" w14:textId="77777777" w:rsidR="005D45B5" w:rsidRDefault="006500BC">
            <w:pPr>
              <w:pStyle w:val="tablecopy"/>
            </w:pPr>
            <w:r>
              <w:t>Station topology improves GMI; degrades 30-42% with sparse networks</w:t>
            </w:r>
          </w:p>
        </w:tc>
      </w:tr>
      <w:tr w:rsidR="005D45B5" w14:paraId="4675C3E4" w14:textId="77777777">
        <w:tc>
          <w:tcPr>
            <w:tcW w:w="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8C1EB4" w14:textId="77777777" w:rsidR="005D45B5" w:rsidRDefault="006500BC">
            <w:pPr>
              <w:pStyle w:val="tablecopy"/>
            </w:pPr>
            <w:r>
              <w:t>[18]</w:t>
            </w:r>
          </w:p>
        </w:tc>
        <w:tc>
          <w:tcPr>
            <w:tcW w:w="1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82C5E4" w14:textId="77777777" w:rsidR="005D45B5" w:rsidRDefault="006500BC">
            <w:pPr>
              <w:pStyle w:val="tablecopy"/>
            </w:pPr>
            <w:r>
              <w:t>Turkey ML Study, 2025</w:t>
            </w:r>
          </w:p>
        </w:tc>
        <w:tc>
          <w:tcPr>
            <w:tcW w:w="12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EEA83F" w14:textId="77777777" w:rsidR="005D45B5" w:rsidRDefault="006500BC">
            <w:pPr>
              <w:pStyle w:val="tablecopy"/>
            </w:pPr>
            <w:r>
              <w:t>LSTM / ANFIS / DT / RF / 1D-CNN</w:t>
            </w:r>
          </w:p>
        </w:tc>
        <w:tc>
          <w:tcPr>
            <w:tcW w:w="2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B972CB" w14:textId="77777777" w:rsidR="005D45B5" w:rsidRDefault="006500BC">
            <w:pPr>
              <w:pStyle w:val="tablecopy"/>
            </w:pPr>
            <w:r>
              <w:t>50-yr benchmark; weekly avg magnitude; aftershock bias; no location</w:t>
            </w:r>
          </w:p>
        </w:tc>
      </w:tr>
      <w:tr w:rsidR="005D45B5" w14:paraId="17767E85" w14:textId="77777777">
        <w:tc>
          <w:tcPr>
            <w:tcW w:w="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E8DC1E" w14:textId="77777777" w:rsidR="005D45B5" w:rsidRDefault="006500BC">
            <w:pPr>
              <w:pStyle w:val="tablecopy"/>
            </w:pPr>
            <w:r>
              <w:t>[19]</w:t>
            </w:r>
          </w:p>
        </w:tc>
        <w:tc>
          <w:tcPr>
            <w:tcW w:w="1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514005" w14:textId="77777777" w:rsidR="005D45B5" w:rsidRDefault="006500BC">
            <w:pPr>
              <w:pStyle w:val="tablecopy"/>
            </w:pPr>
            <w:r>
              <w:t>Islam et al., 2025</w:t>
            </w:r>
          </w:p>
        </w:tc>
        <w:tc>
          <w:tcPr>
            <w:tcW w:w="12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11C07A" w14:textId="77777777" w:rsidR="005D45B5" w:rsidRDefault="006500BC">
            <w:pPr>
              <w:pStyle w:val="tablecopy"/>
            </w:pPr>
            <w:r>
              <w:t>Survey (Springer LNNS)</w:t>
            </w:r>
          </w:p>
        </w:tc>
        <w:tc>
          <w:tcPr>
            <w:tcW w:w="2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11FF28" w14:textId="77777777" w:rsidR="005D45B5" w:rsidRDefault="006500BC">
            <w:pPr>
              <w:pStyle w:val="tablecopy"/>
            </w:pPr>
            <w:r>
              <w:t>No UQ, no multi-output, no real-time deployment across all reviewed work</w:t>
            </w:r>
          </w:p>
        </w:tc>
      </w:tr>
      <w:tr w:rsidR="005D45B5" w14:paraId="72FEEA06" w14:textId="77777777">
        <w:tc>
          <w:tcPr>
            <w:tcW w:w="3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E077C1" w14:textId="77777777" w:rsidR="005D45B5" w:rsidRDefault="006500BC">
            <w:pPr>
              <w:pStyle w:val="tablecopy"/>
            </w:pPr>
            <w:r>
              <w:t>[20]</w:t>
            </w:r>
          </w:p>
        </w:tc>
        <w:tc>
          <w:tcPr>
            <w:tcW w:w="1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5EECDF" w14:textId="77777777" w:rsidR="005D45B5" w:rsidRDefault="006500BC">
            <w:pPr>
              <w:pStyle w:val="tablecopy"/>
            </w:pPr>
            <w:r>
              <w:t>LSTM-Kalman, 2025</w:t>
            </w:r>
          </w:p>
        </w:tc>
        <w:tc>
          <w:tcPr>
            <w:tcW w:w="12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B204FA" w14:textId="77777777" w:rsidR="005D45B5" w:rsidRDefault="006500BC">
            <w:pPr>
              <w:pStyle w:val="tablecopy"/>
            </w:pPr>
            <w:r>
              <w:t>LSTM + Kalman Filter</w:t>
            </w:r>
          </w:p>
        </w:tc>
        <w:tc>
          <w:tcPr>
            <w:tcW w:w="2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7595C2" w14:textId="77777777" w:rsidR="005D45B5" w:rsidRDefault="006500BC">
            <w:pPr>
              <w:pStyle w:val="tablecopy"/>
            </w:pPr>
            <w:r>
              <w:t>MAE reduced by 66-72%; timing only; linear error assumption violated</w:t>
            </w:r>
          </w:p>
        </w:tc>
      </w:tr>
    </w:tbl>
    <w:p w14:paraId="3864CB03" w14:textId="77777777" w:rsidR="005D45B5" w:rsidRDefault="005D45B5">
      <w:pPr>
        <w:pStyle w:val="BodyText"/>
      </w:pPr>
    </w:p>
    <w:p w14:paraId="0DCCFC0C" w14:textId="6C0B6B8D" w:rsidR="005D45B5" w:rsidRDefault="006500BC">
      <w:pPr>
        <w:pStyle w:val="Heading1"/>
      </w:pPr>
      <w:r>
        <w:t>Research Gap Identification</w:t>
      </w:r>
    </w:p>
    <w:p w14:paraId="0BEE168E" w14:textId="77777777" w:rsidR="005D45B5" w:rsidRDefault="006500BC">
      <w:pPr>
        <w:pStyle w:val="BodyText"/>
      </w:pPr>
      <w:r>
        <w:t>A close reading of the 15 reviewed papers reveals a consistent pattern of limitations that cluster into three interconnected gaps.</w:t>
      </w:r>
    </w:p>
    <w:p w14:paraId="47E3EFEC" w14:textId="77777777" w:rsidR="005D45B5" w:rsidRDefault="006500BC">
      <w:pPr>
        <w:pStyle w:val="BodyText"/>
      </w:pPr>
      <w:r>
        <w:rPr>
          <w:b/>
          <w:bCs/>
        </w:rPr>
        <w:t>Gap 1—Single-output prediction dominance.</w:t>
      </w:r>
      <w:r>
        <w:t xml:space="preserve"> Papers [6], [10], [13], [15], [16], [18], and [20] each predict only one seismic parameter—either magnitude, timing, or spatial intensity—never all three in a single jointly-trained model. Paper [8] is the notable exception, but it uses naive geographic clustering rather than a learned spatial representation. Both review papers [11] and [19] independently identify multi-output prediction as a critical unmet need.</w:t>
      </w:r>
    </w:p>
    <w:p w14:paraId="0E77FC44" w14:textId="77777777" w:rsidR="005D45B5" w:rsidRDefault="006500BC">
      <w:pPr>
        <w:pStyle w:val="BodyText"/>
      </w:pPr>
      <w:r>
        <w:rPr>
          <w:b/>
          <w:bCs/>
        </w:rPr>
        <w:t>Gap 2—Absence of uncertainty quantification.</w:t>
      </w:r>
      <w:r>
        <w:t xml:space="preserve"> Thirteen of the fifteen papers produce purely deterministic point predictions with no confidence intervals, prediction bands, or probabilistic outputs. Paper [9] is the only predictive study that engages with probabilistic evaluation, using Molchan diagrams—and even then only at the spatial intensity level, not at the magnitude or timing level. Both review papers explicitly name uncertainty quantification as a priority for the field [11][19].</w:t>
      </w:r>
    </w:p>
    <w:p w14:paraId="2C1573C7" w14:textId="77777777" w:rsidR="005D45B5" w:rsidRDefault="006500BC">
      <w:pPr>
        <w:pStyle w:val="BodyText"/>
      </w:pPr>
      <w:r>
        <w:rPr>
          <w:b/>
          <w:bCs/>
        </w:rPr>
        <w:t>Gap 3—No multi-source precursor integration with cross-regional transfer (Most Prominent).</w:t>
      </w:r>
      <w:r>
        <w:t xml:space="preserve"> Every predictive model in the reviewed set—papers [6], [7], [8], [10], [12], [13], [15], [16], [18], [20]—relies exclusively on historical seismic </w:t>
      </w:r>
      <w:proofErr w:type="spellStart"/>
      <w:r>
        <w:t>catalog</w:t>
      </w:r>
      <w:proofErr w:type="spellEnd"/>
      <w:r>
        <w:t xml:space="preserve"> data. SafeNet [12] comes closest to multi-source input by incorporating static geological maps, but it uses no dynamic geodetic, ionospheric, or GPS strain signals. Nine out of fifteen predictive papers train and test on a single geographic region with no attempt at cross-regional validation or transfer learning. This gap is simultaneously confirmed by all 15 reviewed papers and is identified as the most prominent because it addresses input poverty (</w:t>
      </w:r>
      <w:proofErr w:type="spellStart"/>
      <w:r>
        <w:t>catalog</w:t>
      </w:r>
      <w:proofErr w:type="spellEnd"/>
      <w:r>
        <w:t>-only data), evaluation fragility (single region), and architectural limitation (no precursor fusion) in one research direction.</w:t>
      </w:r>
    </w:p>
    <w:p w14:paraId="4E07602D" w14:textId="47E9E782" w:rsidR="005D45B5" w:rsidRDefault="006500BC">
      <w:pPr>
        <w:pStyle w:val="Heading1"/>
      </w:pPr>
      <w:r>
        <w:t>Proposed Work</w:t>
      </w:r>
    </w:p>
    <w:p w14:paraId="0C0171BF" w14:textId="77777777" w:rsidR="005D45B5" w:rsidRDefault="006500BC">
      <w:pPr>
        <w:pStyle w:val="BodyText"/>
      </w:pPr>
      <w:r>
        <w:t>To address the three identified gaps, particularly Gap 3, we propose a Multi-Task Uncertainty-Aware Bidirectional LSTM (MT-UA-</w:t>
      </w:r>
      <w:proofErr w:type="spellStart"/>
      <w:r>
        <w:t>BiLSTM</w:t>
      </w:r>
      <w:proofErr w:type="spellEnd"/>
      <w:r>
        <w:t>) framework. The architecture is described below.</w:t>
      </w:r>
    </w:p>
    <w:p w14:paraId="2E75663C" w14:textId="77777777" w:rsidR="005D45B5" w:rsidRDefault="006500BC">
      <w:pPr>
        <w:pStyle w:val="BodyText"/>
      </w:pPr>
      <w:r>
        <w:rPr>
          <w:b/>
          <w:bCs/>
        </w:rPr>
        <w:t>Input layer.</w:t>
      </w:r>
      <w:r>
        <w:t xml:space="preserve"> The model ingests seismic </w:t>
      </w:r>
      <w:proofErr w:type="spellStart"/>
      <w:r>
        <w:t>catalog</w:t>
      </w:r>
      <w:proofErr w:type="spellEnd"/>
      <w:r>
        <w:t xml:space="preserve"> features—magnitude, depth, latitude, longitude, and temporal indicators—augmented by engineered seismic indicators including inter-event time, b-value trend windows, and cumulative energy release computed over sliding windows of 30, 90, and 365 days.</w:t>
      </w:r>
    </w:p>
    <w:p w14:paraId="68DFC7F6" w14:textId="77777777" w:rsidR="005D45B5" w:rsidRDefault="006500BC">
      <w:pPr>
        <w:pStyle w:val="BodyText"/>
      </w:pPr>
      <w:r>
        <w:rPr>
          <w:b/>
          <w:bCs/>
        </w:rPr>
        <w:t>Backbone.</w:t>
      </w:r>
      <w:r>
        <w:t xml:space="preserve"> A Bidirectional LSTM processes sequential earthquake time-series in both forward and backward temporal directions. Monte Carlo Dropout layers (dropout rate p = 0.2) are applied during both training and inference, enabling uncertainty estimation through repeated stochastic forward passes at prediction time.</w:t>
      </w:r>
    </w:p>
    <w:p w14:paraId="6C072319" w14:textId="77777777" w:rsidR="005D45B5" w:rsidRDefault="006500BC">
      <w:pPr>
        <w:pStyle w:val="BodyText"/>
      </w:pPr>
      <w:r>
        <w:rPr>
          <w:b/>
          <w:bCs/>
        </w:rPr>
        <w:t>Multi-task output heads.</w:t>
      </w:r>
      <w:r>
        <w:t xml:space="preserve"> Three output heads are attached to the shared LSTM backbone: (</w:t>
      </w:r>
      <w:proofErr w:type="spellStart"/>
      <w:r>
        <w:t>i</w:t>
      </w:r>
      <w:proofErr w:type="spellEnd"/>
      <w:r>
        <w:t>) a continuous magnitude regression head that outputs predicted magnitude with a confidence interval; (ii) a magnitude category classification head (Low / Moderate / Strong / Major); and (iii) a time-to-next-event regression head.</w:t>
      </w:r>
    </w:p>
    <w:p w14:paraId="68DA6426" w14:textId="77777777" w:rsidR="005D45B5" w:rsidRDefault="006500BC">
      <w:pPr>
        <w:pStyle w:val="BodyText"/>
      </w:pPr>
      <w:r>
        <w:rPr>
          <w:b/>
          <w:bCs/>
        </w:rPr>
        <w:t>Transfer learning.</w:t>
      </w:r>
      <w:r>
        <w:t xml:space="preserve"> The model will be pre-trained on the USGS global </w:t>
      </w:r>
      <w:proofErr w:type="spellStart"/>
      <w:r>
        <w:t>catalog</w:t>
      </w:r>
      <w:proofErr w:type="spellEnd"/>
      <w:r>
        <w:t xml:space="preserve"> and then fine-tuned on individual regional </w:t>
      </w:r>
      <w:proofErr w:type="spellStart"/>
      <w:r>
        <w:t>catalogs</w:t>
      </w:r>
      <w:proofErr w:type="spellEnd"/>
      <w:r>
        <w:t>—Japan (subduction), Turkey (collision), and Western Himalayas (continental thrust)—using domain-adversarial adaptation to test generalizability across tectonic regimes.</w:t>
      </w:r>
    </w:p>
    <w:p w14:paraId="1D40FF91" w14:textId="77777777" w:rsidR="005D45B5" w:rsidRDefault="006500BC">
      <w:pPr>
        <w:pStyle w:val="BodyText"/>
      </w:pPr>
      <w:r>
        <w:rPr>
          <w:b/>
          <w:bCs/>
        </w:rPr>
        <w:t>Explainability.</w:t>
      </w:r>
      <w:r>
        <w:t xml:space="preserve"> SHAP (</w:t>
      </w:r>
      <w:proofErr w:type="spellStart"/>
      <w:r>
        <w:t>SHapley</w:t>
      </w:r>
      <w:proofErr w:type="spellEnd"/>
      <w:r>
        <w:t xml:space="preserve"> Additive </w:t>
      </w:r>
      <w:proofErr w:type="spellStart"/>
      <w:r>
        <w:t>exPlanations</w:t>
      </w:r>
      <w:proofErr w:type="spellEnd"/>
      <w:r>
        <w:t>) values will be computed for the shared LSTM trunk to identify which time-window features drive each output head, directly addressing the XAI gap identified in [11].</w:t>
      </w:r>
    </w:p>
    <w:p w14:paraId="61991785" w14:textId="77777777" w:rsidR="005D45B5" w:rsidRDefault="006500BC">
      <w:pPr>
        <w:pStyle w:val="BodyText"/>
      </w:pPr>
      <w:r>
        <w:t>The current paper establishes the Linear Regression baseline (R² = 0.44) against which the proposed MT-UA-</w:t>
      </w:r>
      <w:proofErr w:type="spellStart"/>
      <w:r>
        <w:t>BiLSTM</w:t>
      </w:r>
      <w:proofErr w:type="spellEnd"/>
      <w:r>
        <w:t xml:space="preserve"> will be benchmarked in follow-up work.</w:t>
      </w:r>
    </w:p>
    <w:p w14:paraId="49282BD9" w14:textId="389B4C66" w:rsidR="005D45B5" w:rsidRDefault="006500BC">
      <w:pPr>
        <w:pStyle w:val="Heading1"/>
      </w:pPr>
      <w:r>
        <w:t>Dataset Description</w:t>
      </w:r>
    </w:p>
    <w:p w14:paraId="2526F834" w14:textId="53986F64" w:rsidR="005D45B5" w:rsidRDefault="006500BC">
      <w:pPr>
        <w:pStyle w:val="Heading2"/>
      </w:pPr>
      <w:r>
        <w:t>Data Source</w:t>
      </w:r>
    </w:p>
    <w:p w14:paraId="630CAA98" w14:textId="73760324" w:rsidR="005D45B5" w:rsidRDefault="006500BC">
      <w:pPr>
        <w:pStyle w:val="BodyText"/>
      </w:pPr>
      <w:r>
        <w:t>The dataset used in this study was obtained from the USGS (earthquake.usgs.gov)</w:t>
      </w:r>
      <w:r w:rsidR="004C4828">
        <w:t xml:space="preserve">-Earthquake Hazards program public dataset which is </w:t>
      </w:r>
      <w:r>
        <w:t>one of the most authoritative and continuously maintained global seismic event repositories</w:t>
      </w:r>
      <w:r w:rsidR="004C4828">
        <w:t xml:space="preserve"> </w:t>
      </w:r>
      <w:r>
        <w:t>We</w:t>
      </w:r>
      <w:r w:rsidR="004C4828">
        <w:t xml:space="preserve"> </w:t>
      </w:r>
      <w:r>
        <w:t xml:space="preserve">filtered records to the period January 2000 through </w:t>
      </w:r>
      <w:r w:rsidR="004C4828">
        <w:t>January</w:t>
      </w:r>
      <w:r>
        <w:t xml:space="preserve"> 2026, which corresponds to the era of dense modern digital seismograph networks. This yielded 691,176 earthquake events across 23 raw features [5].</w:t>
      </w:r>
    </w:p>
    <w:p w14:paraId="69761B7A" w14:textId="77777777" w:rsidR="004C4828" w:rsidRDefault="006500BC">
      <w:pPr>
        <w:pStyle w:val="BodyText"/>
      </w:pPr>
      <w:r>
        <w:t xml:space="preserve">The lower bound of year 2000 was chosen deliberately: pre-2000 data contains systematic gaps due to limited sensor coverage in many parts of the world, making ML training on such data unreliable. Including data up to </w:t>
      </w:r>
      <w:r w:rsidR="004C4828">
        <w:t>January</w:t>
      </w:r>
      <w:r>
        <w:t xml:space="preserve"> 2026 ensures that recent seismicity patterns, including any post-COVID changes in anthropogenic seismic noise, are captured.</w:t>
      </w:r>
    </w:p>
    <w:p w14:paraId="77F982E6" w14:textId="77D25698" w:rsidR="005D45B5" w:rsidRDefault="0089045D" w:rsidP="004B773A">
      <w:pPr>
        <w:pStyle w:val="BodyText"/>
        <w:jc w:val="center"/>
      </w:pPr>
      <w:r w:rsidRPr="0089045D">
        <w:rPr>
          <w:noProof/>
          <w:sz w:val="16"/>
          <w:szCs w:val="16"/>
        </w:rPr>
        <w:drawing>
          <wp:inline distT="0" distB="0" distL="0" distR="0" wp14:anchorId="3F04C67F" wp14:editId="1C26FA68">
            <wp:extent cx="2903220" cy="1615116"/>
            <wp:effectExtent l="0" t="0" r="0" b="4445"/>
            <wp:docPr id="561348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3549" cy="1626425"/>
                    </a:xfrm>
                    <a:prstGeom prst="rect">
                      <a:avLst/>
                    </a:prstGeom>
                    <a:noFill/>
                    <a:ln>
                      <a:noFill/>
                    </a:ln>
                  </pic:spPr>
                </pic:pic>
              </a:graphicData>
            </a:graphic>
          </wp:inline>
        </w:drawing>
      </w:r>
      <w:r w:rsidR="004B773A" w:rsidRPr="004B773A">
        <w:rPr>
          <w:sz w:val="16"/>
          <w:szCs w:val="16"/>
        </w:rPr>
        <w:t xml:space="preserve">Fig. 1.  Global distribution of 691,176 earthquake events (2000–2026). </w:t>
      </w:r>
    </w:p>
    <w:p w14:paraId="6CDC3241" w14:textId="355E6447" w:rsidR="005D45B5" w:rsidRDefault="006500BC" w:rsidP="00206E63">
      <w:pPr>
        <w:pStyle w:val="Heading2"/>
      </w:pPr>
      <w:r>
        <w:lastRenderedPageBreak/>
        <w:t>Dataset Statistics</w:t>
      </w:r>
    </w:p>
    <w:p w14:paraId="5680E8F0" w14:textId="77777777" w:rsidR="005D45B5" w:rsidRDefault="006500BC" w:rsidP="004B773A">
      <w:pPr>
        <w:pStyle w:val="figurecaption"/>
        <w:numPr>
          <w:ilvl w:val="0"/>
          <w:numId w:val="0"/>
        </w:numPr>
        <w:spacing w:before="0"/>
      </w:pPr>
      <w:r>
        <w:rPr>
          <w:b/>
          <w:bCs/>
        </w:rPr>
        <w:t>TABLE II. </w:t>
      </w:r>
      <w:r>
        <w:t>Dataset Summary Statistics</w:t>
      </w:r>
    </w:p>
    <w:tbl>
      <w:tblPr>
        <w:tblW w:w="488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Look w:val="04A0" w:firstRow="1" w:lastRow="0" w:firstColumn="1" w:lastColumn="0" w:noHBand="0" w:noVBand="1"/>
      </w:tblPr>
      <w:tblGrid>
        <w:gridCol w:w="3200"/>
        <w:gridCol w:w="1680"/>
      </w:tblGrid>
      <w:tr w:rsidR="005D45B5" w14:paraId="27159182" w14:textId="77777777">
        <w:trPr>
          <w:tblHeader/>
        </w:trPr>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752CCF" w14:textId="77777777" w:rsidR="005D45B5" w:rsidRDefault="006500BC">
            <w:pPr>
              <w:pStyle w:val="tablecolhead"/>
            </w:pPr>
            <w:r>
              <w:t>Statistic</w:t>
            </w:r>
          </w:p>
        </w:tc>
        <w:tc>
          <w:tcPr>
            <w:tcW w:w="1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44D112" w14:textId="77777777" w:rsidR="005D45B5" w:rsidRDefault="006500BC">
            <w:pPr>
              <w:pStyle w:val="tablecolhead"/>
            </w:pPr>
            <w:r>
              <w:t>Value</w:t>
            </w:r>
          </w:p>
        </w:tc>
      </w:tr>
      <w:tr w:rsidR="005D45B5" w14:paraId="0BA2ADAE"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7BE659" w14:textId="77777777" w:rsidR="005D45B5" w:rsidRDefault="006500BC">
            <w:pPr>
              <w:pStyle w:val="tablecopy"/>
            </w:pPr>
            <w:r>
              <w:t>Total records</w:t>
            </w:r>
          </w:p>
        </w:tc>
        <w:tc>
          <w:tcPr>
            <w:tcW w:w="1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4087B4" w14:textId="77777777" w:rsidR="005D45B5" w:rsidRDefault="006500BC">
            <w:pPr>
              <w:pStyle w:val="tablecopy"/>
            </w:pPr>
            <w:r>
              <w:t>691,176</w:t>
            </w:r>
          </w:p>
        </w:tc>
      </w:tr>
      <w:tr w:rsidR="005D45B5" w14:paraId="02A825B1"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EDAE68" w14:textId="77777777" w:rsidR="005D45B5" w:rsidRDefault="006500BC">
            <w:pPr>
              <w:pStyle w:val="tablecopy"/>
            </w:pPr>
            <w:r>
              <w:t>Time period</w:t>
            </w:r>
          </w:p>
        </w:tc>
        <w:tc>
          <w:tcPr>
            <w:tcW w:w="1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48CB33" w14:textId="77777777" w:rsidR="005D45B5" w:rsidRDefault="006500BC">
            <w:pPr>
              <w:pStyle w:val="tablecopy"/>
            </w:pPr>
            <w:r>
              <w:t>January 2000 – April 2026</w:t>
            </w:r>
          </w:p>
        </w:tc>
      </w:tr>
      <w:tr w:rsidR="005D45B5" w14:paraId="3DAEF55B"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BAB9B1" w14:textId="77777777" w:rsidR="005D45B5" w:rsidRDefault="006500BC">
            <w:pPr>
              <w:pStyle w:val="tablecopy"/>
            </w:pPr>
            <w:r>
              <w:t>Raw features</w:t>
            </w:r>
          </w:p>
        </w:tc>
        <w:tc>
          <w:tcPr>
            <w:tcW w:w="1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726C3C" w14:textId="77777777" w:rsidR="005D45B5" w:rsidRDefault="006500BC">
            <w:pPr>
              <w:pStyle w:val="tablecopy"/>
            </w:pPr>
            <w:r>
              <w:t>23 columns</w:t>
            </w:r>
          </w:p>
        </w:tc>
      </w:tr>
      <w:tr w:rsidR="005D45B5" w14:paraId="2E3B1704"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077E28" w14:textId="77777777" w:rsidR="005D45B5" w:rsidRDefault="006500BC">
            <w:pPr>
              <w:pStyle w:val="tablecopy"/>
            </w:pPr>
            <w:r>
              <w:t>Mean magnitude (Mw)</w:t>
            </w:r>
          </w:p>
        </w:tc>
        <w:tc>
          <w:tcPr>
            <w:tcW w:w="1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7FC1D0" w14:textId="77777777" w:rsidR="005D45B5" w:rsidRDefault="006500BC">
            <w:pPr>
              <w:pStyle w:val="tablecopy"/>
            </w:pPr>
            <w:r>
              <w:t>3.80</w:t>
            </w:r>
          </w:p>
        </w:tc>
      </w:tr>
      <w:tr w:rsidR="005D45B5" w14:paraId="29CAC0CB"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EEAEC0" w14:textId="77777777" w:rsidR="005D45B5" w:rsidRDefault="006500BC">
            <w:pPr>
              <w:pStyle w:val="tablecopy"/>
            </w:pPr>
            <w:r>
              <w:t>Maximum magnitude</w:t>
            </w:r>
          </w:p>
        </w:tc>
        <w:tc>
          <w:tcPr>
            <w:tcW w:w="1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B2BB5C" w14:textId="77777777" w:rsidR="005D45B5" w:rsidRDefault="006500BC">
            <w:pPr>
              <w:pStyle w:val="tablecopy"/>
            </w:pPr>
            <w:r>
              <w:t>9.1 (Tohoku, Japan, 2011)</w:t>
            </w:r>
          </w:p>
        </w:tc>
      </w:tr>
      <w:tr w:rsidR="005D45B5" w14:paraId="1ABDFCD4"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52F5B3" w14:textId="77777777" w:rsidR="005D45B5" w:rsidRDefault="006500BC">
            <w:pPr>
              <w:pStyle w:val="tablecopy"/>
            </w:pPr>
            <w:r>
              <w:t>Mean depth</w:t>
            </w:r>
          </w:p>
        </w:tc>
        <w:tc>
          <w:tcPr>
            <w:tcW w:w="1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A8B895" w14:textId="77777777" w:rsidR="005D45B5" w:rsidRDefault="006500BC">
            <w:pPr>
              <w:pStyle w:val="tablecopy"/>
            </w:pPr>
            <w:r>
              <w:t>56.1 km</w:t>
            </w:r>
          </w:p>
        </w:tc>
      </w:tr>
      <w:tr w:rsidR="005D45B5" w14:paraId="4996E0B5"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991C8C" w14:textId="77777777" w:rsidR="005D45B5" w:rsidRDefault="006500BC">
            <w:pPr>
              <w:pStyle w:val="tablecopy"/>
            </w:pPr>
            <w:r>
              <w:t>Shallow events (&lt; 70 km)</w:t>
            </w:r>
          </w:p>
        </w:tc>
        <w:tc>
          <w:tcPr>
            <w:tcW w:w="1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E8DDEE" w14:textId="77777777" w:rsidR="005D45B5" w:rsidRDefault="006500BC">
            <w:pPr>
              <w:pStyle w:val="tablecopy"/>
            </w:pPr>
            <w:r>
              <w:t>~78% of all records</w:t>
            </w:r>
          </w:p>
        </w:tc>
      </w:tr>
      <w:tr w:rsidR="005D45B5" w14:paraId="3F2F8A9F"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375326" w14:textId="77777777" w:rsidR="005D45B5" w:rsidRDefault="006500BC">
            <w:pPr>
              <w:pStyle w:val="tablecopy"/>
            </w:pPr>
            <w:r>
              <w:t>Low magnitude (&lt; 4.0)</w:t>
            </w:r>
          </w:p>
        </w:tc>
        <w:tc>
          <w:tcPr>
            <w:tcW w:w="1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7DB904" w14:textId="77777777" w:rsidR="005D45B5" w:rsidRDefault="006500BC">
            <w:pPr>
              <w:pStyle w:val="tablecopy"/>
            </w:pPr>
            <w:r>
              <w:t>354,104 events (51.2%)</w:t>
            </w:r>
          </w:p>
        </w:tc>
      </w:tr>
      <w:tr w:rsidR="005D45B5" w14:paraId="6D5B0CC4"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E5CA22" w14:textId="77777777" w:rsidR="005D45B5" w:rsidRDefault="006500BC">
            <w:pPr>
              <w:pStyle w:val="tablecopy"/>
            </w:pPr>
            <w:r>
              <w:t>Moderate (4.0–6.0)</w:t>
            </w:r>
          </w:p>
        </w:tc>
        <w:tc>
          <w:tcPr>
            <w:tcW w:w="1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884210" w14:textId="77777777" w:rsidR="005D45B5" w:rsidRDefault="006500BC">
            <w:pPr>
              <w:pStyle w:val="tablecopy"/>
            </w:pPr>
            <w:r>
              <w:t>334,040 events (48.3%)</w:t>
            </w:r>
          </w:p>
        </w:tc>
      </w:tr>
      <w:tr w:rsidR="005D45B5" w14:paraId="5F180A46"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05BACE" w14:textId="77777777" w:rsidR="005D45B5" w:rsidRDefault="006500BC">
            <w:pPr>
              <w:pStyle w:val="tablecopy"/>
            </w:pPr>
            <w:r>
              <w:t>Strong (6.0–7.0)</w:t>
            </w:r>
          </w:p>
        </w:tc>
        <w:tc>
          <w:tcPr>
            <w:tcW w:w="1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DC5790" w14:textId="77777777" w:rsidR="005D45B5" w:rsidRDefault="006500BC">
            <w:pPr>
              <w:pStyle w:val="tablecopy"/>
            </w:pPr>
            <w:r>
              <w:t>2,717 events (0.4%)</w:t>
            </w:r>
          </w:p>
        </w:tc>
      </w:tr>
      <w:tr w:rsidR="005D45B5" w14:paraId="09699468"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4F0CE7" w14:textId="77777777" w:rsidR="005D45B5" w:rsidRDefault="006500BC">
            <w:pPr>
              <w:pStyle w:val="tablecopy"/>
            </w:pPr>
            <w:r>
              <w:t>Major (&gt; 7.0)</w:t>
            </w:r>
          </w:p>
        </w:tc>
        <w:tc>
          <w:tcPr>
            <w:tcW w:w="1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AEBBDB" w14:textId="77777777" w:rsidR="005D45B5" w:rsidRDefault="006500BC">
            <w:pPr>
              <w:pStyle w:val="tablecopy"/>
            </w:pPr>
            <w:r>
              <w:t>315 events (0.05%)</w:t>
            </w:r>
          </w:p>
        </w:tc>
      </w:tr>
    </w:tbl>
    <w:p w14:paraId="326F1713" w14:textId="77777777" w:rsidR="005D45B5" w:rsidRDefault="005D45B5">
      <w:pPr>
        <w:pStyle w:val="BodyText"/>
      </w:pPr>
    </w:p>
    <w:p w14:paraId="6AD4FDB4" w14:textId="27F38507" w:rsidR="005D45B5" w:rsidRDefault="006500BC">
      <w:pPr>
        <w:pStyle w:val="Heading2"/>
      </w:pPr>
      <w:r>
        <w:t>Key Features</w:t>
      </w:r>
    </w:p>
    <w:p w14:paraId="0815DF60" w14:textId="3FB32DA1" w:rsidR="005D45B5" w:rsidRDefault="006500BC">
      <w:pPr>
        <w:pStyle w:val="BodyText"/>
      </w:pPr>
      <w:r>
        <w:t xml:space="preserve">The dataset contains raw and derived features across three categories. Spatial and temporal identifiers include time (UTC timestamp), latitude, longitude, depth (km), year, month, day, and hour. Seismic quality metrics include </w:t>
      </w:r>
      <w:proofErr w:type="spellStart"/>
      <w:r>
        <w:t>nst</w:t>
      </w:r>
      <w:proofErr w:type="spellEnd"/>
      <w:r>
        <w:t xml:space="preserve"> (number of stations used), gap (azimuthal gap in degrees), </w:t>
      </w:r>
      <w:proofErr w:type="spellStart"/>
      <w:r>
        <w:t>dmin</w:t>
      </w:r>
      <w:proofErr w:type="spellEnd"/>
      <w:r>
        <w:t xml:space="preserve"> (distance to nearest station in km), and rms (root mean square of travel-time residuals). Derived categorical labels include mag</w:t>
      </w:r>
      <w:r w:rsidR="004B773A">
        <w:t xml:space="preserve">nitude </w:t>
      </w:r>
      <w:r>
        <w:t xml:space="preserve">category (Richter scale bins) and </w:t>
      </w:r>
      <w:proofErr w:type="spellStart"/>
      <w:r>
        <w:t>depth_category</w:t>
      </w:r>
      <w:proofErr w:type="spellEnd"/>
      <w:r>
        <w:t xml:space="preserve"> (shallow/intermediate/deep).</w:t>
      </w:r>
    </w:p>
    <w:p w14:paraId="4A271874" w14:textId="5CF18A76" w:rsidR="005D45B5" w:rsidRDefault="006500BC">
      <w:pPr>
        <w:pStyle w:val="Heading2"/>
      </w:pPr>
      <w:r>
        <w:t>Missing Values and Cleaning</w:t>
      </w:r>
    </w:p>
    <w:p w14:paraId="58E1E4EB" w14:textId="77777777" w:rsidR="005D45B5" w:rsidRDefault="006500BC">
      <w:pPr>
        <w:pStyle w:val="BodyText"/>
      </w:pPr>
      <w:r>
        <w:t xml:space="preserve">Missing values were found primarily in station-quality features: </w:t>
      </w:r>
      <w:proofErr w:type="spellStart"/>
      <w:r>
        <w:t>nst</w:t>
      </w:r>
      <w:proofErr w:type="spellEnd"/>
      <w:r>
        <w:t xml:space="preserve"> (33.7% missing), </w:t>
      </w:r>
      <w:proofErr w:type="spellStart"/>
      <w:r>
        <w:t>dmin</w:t>
      </w:r>
      <w:proofErr w:type="spellEnd"/>
      <w:r>
        <w:t xml:space="preserve"> (52.7% missing), gap (17.0% missing), and rms (15.5% missing). These were imputed using column medians, which are more robust than means for right-skewed distributions. The mag and depth columns were also median-imputed for the small fraction of missing entries. The tsunami column contained only the value 0 across all 691,176 records and was dropped as uninformative. No duplicate rows were detected. Final clean dataset: 691,176 rows across 22 features.</w:t>
      </w:r>
    </w:p>
    <w:p w14:paraId="6D17EFD9" w14:textId="7EA22C9D" w:rsidR="005D45B5" w:rsidRDefault="006500BC">
      <w:pPr>
        <w:pStyle w:val="Heading1"/>
      </w:pPr>
      <w:r>
        <w:t>Methodology</w:t>
      </w:r>
    </w:p>
    <w:p w14:paraId="4A5947ED" w14:textId="70E4884A" w:rsidR="005D45B5" w:rsidRDefault="006500BC">
      <w:pPr>
        <w:pStyle w:val="Heading2"/>
      </w:pPr>
      <w:r>
        <w:t>System Pipeline</w:t>
      </w:r>
    </w:p>
    <w:p w14:paraId="5E291EBF" w14:textId="77777777" w:rsidR="005D45B5" w:rsidRDefault="006500BC">
      <w:pPr>
        <w:pStyle w:val="BodyText"/>
      </w:pPr>
      <w:r>
        <w:t>The end-to-end methodology follows seven sequential stages: (1) data collection from the USGS API; (2) data preprocessing—type conversion, missing value imputation, and duplicate removal; (3) feature engineering—temporal feature extraction and magnitude category creation; (4) exploratory data analysis including univariate distributions, bivariate scatter plots, time series analysis, and correlation heatmap; (5) model building using Linear Regression as a baseline supervised learning approach; (6) model evaluation using MSE, RMSE, and R²; and (7) result interpretation and research gap analysis.</w:t>
      </w:r>
    </w:p>
    <w:p w14:paraId="6A8D6272" w14:textId="7E4A6214" w:rsidR="005D45B5" w:rsidRDefault="006500BC">
      <w:pPr>
        <w:pStyle w:val="Heading2"/>
      </w:pPr>
      <w:r>
        <w:t>Feature Engineering</w:t>
      </w:r>
    </w:p>
    <w:p w14:paraId="4D06A02E" w14:textId="0888A74F" w:rsidR="005D45B5" w:rsidRDefault="006500BC">
      <w:pPr>
        <w:pStyle w:val="BodyText"/>
      </w:pPr>
      <w:r>
        <w:t>From the raw time column, four temporal features were extracted: year, month, day, and hour. These were used alongside depth, latitude, and longitude as input features for the regression model. Earthquake magnitude was discretized into four categories using Richter scale thresholds:</w:t>
      </w:r>
      <w:r w:rsidR="008D3E83">
        <w:t xml:space="preserve"> </w:t>
      </w:r>
      <w:r>
        <w:t>Low(&lt;</w:t>
      </w:r>
      <w:r w:rsidR="008D3E83">
        <w:t>4.0),</w:t>
      </w:r>
      <w:r>
        <w:t xml:space="preserve"> </w:t>
      </w:r>
      <w:r>
        <w:t>Moderate (4.0–6.0), Strong (6.0–7.0), and Major (&gt; 7.0). This categorical target was used for descriptive analysis and is the target for classification in future work.</w:t>
      </w:r>
    </w:p>
    <w:p w14:paraId="123BECB7" w14:textId="3DCEC839" w:rsidR="005D45B5" w:rsidRDefault="006500BC">
      <w:pPr>
        <w:pStyle w:val="Heading2"/>
      </w:pPr>
      <w:r>
        <w:t>Exploratory Data Analysis</w:t>
      </w:r>
    </w:p>
    <w:p w14:paraId="319F1870" w14:textId="77777777" w:rsidR="0089045D" w:rsidRDefault="006500BC" w:rsidP="0089045D">
      <w:pPr>
        <w:pStyle w:val="BodyText"/>
      </w:pPr>
      <w:r>
        <w:t xml:space="preserve">EDA revealed several patterns consistent with established seismological theory. The magnitude distribution shows a bimodal shape peaking near M 2.5 and M 4.0, reflecting the Gutenberg-Richter power law that governs the frequency-magnitude relationship in natural seismicity. Depth follows a heavily right-skewed distribution, with approximately 78% of events classified as shallow (&lt; 70 km), consistent with the dominance of </w:t>
      </w:r>
      <w:proofErr w:type="spellStart"/>
      <w:r>
        <w:t>interplate</w:t>
      </w:r>
      <w:proofErr w:type="spellEnd"/>
      <w:r>
        <w:t xml:space="preserve"> boundary seismicity. No seasonal pattern was found in monthly event counts, which confirms that earthquake occurrence is not correlated with calendar time. The latitude-longitude scatter map clearly traces the Pacific Ring of Fire, the Mid-Atlantic Ridge, and the Alpine-Himalayan belt. The correlation matrix showed that </w:t>
      </w:r>
      <w:proofErr w:type="spellStart"/>
      <w:r>
        <w:t>nst</w:t>
      </w:r>
      <w:proofErr w:type="spellEnd"/>
      <w:r>
        <w:t xml:space="preserve"> and gap have the strongest inter-feature correlation (r = -0.33), which makes physical sense because a denser station network reduces the azimuthal gap. Depth and magnitude showed no strong linear correlation (r = 0.20), indicating that deeper</w:t>
      </w:r>
      <w:r w:rsidR="0089045D">
        <w:t xml:space="preserve"> Earthquakes are not necessarily stronger.</w:t>
      </w:r>
    </w:p>
    <w:p w14:paraId="327D2541" w14:textId="15C49544" w:rsidR="0089045D" w:rsidRDefault="0089045D" w:rsidP="0089045D">
      <w:pPr>
        <w:pStyle w:val="BodyText"/>
      </w:pPr>
      <w:r w:rsidRPr="0089045D">
        <w:rPr>
          <w:noProof/>
        </w:rPr>
        <w:drawing>
          <wp:inline distT="0" distB="0" distL="0" distR="0" wp14:anchorId="588ED3F4" wp14:editId="779052AD">
            <wp:extent cx="3093720" cy="1645920"/>
            <wp:effectExtent l="0" t="0" r="0" b="0"/>
            <wp:docPr id="199814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04891" cy="1651863"/>
                    </a:xfrm>
                    <a:prstGeom prst="rect">
                      <a:avLst/>
                    </a:prstGeom>
                    <a:noFill/>
                    <a:ln>
                      <a:noFill/>
                    </a:ln>
                  </pic:spPr>
                </pic:pic>
              </a:graphicData>
            </a:graphic>
          </wp:inline>
        </w:drawing>
      </w:r>
    </w:p>
    <w:p w14:paraId="3584558D" w14:textId="4D44D8DF" w:rsidR="0089045D" w:rsidRDefault="0089045D" w:rsidP="00265D20">
      <w:pPr>
        <w:pStyle w:val="figurecaption"/>
        <w:numPr>
          <w:ilvl w:val="0"/>
          <w:numId w:val="0"/>
        </w:numPr>
        <w:jc w:val="center"/>
      </w:pPr>
      <w:r>
        <w:t xml:space="preserve">Fig. </w:t>
      </w:r>
      <w:r w:rsidR="00265D20">
        <w:t>2</w:t>
      </w:r>
      <w:r>
        <w:t>.  Pearson correlation matrix of key seismic features. Notable: nst and gap show r = −0.33 . Depth and magnitude are weakly correlated (r = 0.20)</w:t>
      </w:r>
    </w:p>
    <w:p w14:paraId="10538FEB" w14:textId="40A4FF3B" w:rsidR="005D45B5" w:rsidRDefault="006500BC">
      <w:pPr>
        <w:pStyle w:val="Heading2"/>
      </w:pPr>
      <w:r>
        <w:t>Baseline Model: Linear Regression</w:t>
      </w:r>
    </w:p>
    <w:p w14:paraId="672D9E7F" w14:textId="77777777" w:rsidR="00265D20" w:rsidRDefault="006500BC">
      <w:pPr>
        <w:pStyle w:val="BodyText"/>
      </w:pPr>
      <w:r>
        <w:t xml:space="preserve">A Linear Regression model was fitted using five input features: depth, latitude, longitude, year, and month. These were selected as the most directly available numerical predictors in the </w:t>
      </w:r>
      <w:proofErr w:type="spellStart"/>
      <w:r>
        <w:t>catalog</w:t>
      </w:r>
      <w:proofErr w:type="spellEnd"/>
      <w:r>
        <w:t xml:space="preserve">. The data was split 80/20 into training (552,940 samples) and testing (138,236 samples) sets with </w:t>
      </w:r>
      <w:proofErr w:type="spellStart"/>
      <w:r>
        <w:t>random_state</w:t>
      </w:r>
      <w:proofErr w:type="spellEnd"/>
      <w:r>
        <w:t xml:space="preserve"> = 42 for reproducibility. The model learned the following coefficients: depth (+0.000738), latitude (-0.011215), longitude (+0.003006), year (+0.006697), and month (+0.001360), with an intercept of -9.4496. The positive year coefficient is notable: it suggests recorded earthquake magnitudes have increased slightly over the study period, which more likely reflects improved instrumentation density and detection sensitivity over time than any genuine change in seismicity.</w:t>
      </w:r>
      <w:r w:rsidR="00265D20" w:rsidRPr="00265D20">
        <w:t xml:space="preserve"> </w:t>
      </w:r>
    </w:p>
    <w:p w14:paraId="0862BCC1" w14:textId="21DAFAF9" w:rsidR="00265D20" w:rsidRDefault="008D3E83" w:rsidP="008D3E83">
      <w:pPr>
        <w:pStyle w:val="BodyText"/>
      </w:pPr>
      <w:r>
        <w:rPr>
          <w:noProof/>
        </w:rPr>
        <w:drawing>
          <wp:inline distT="0" distB="0" distL="0" distR="0" wp14:anchorId="55F0E9A8" wp14:editId="17E64275">
            <wp:extent cx="2941320" cy="1119505"/>
            <wp:effectExtent l="0" t="0" r="0" b="4445"/>
            <wp:docPr id="13002235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72720" cy="1131456"/>
                    </a:xfrm>
                    <a:prstGeom prst="rect">
                      <a:avLst/>
                    </a:prstGeom>
                    <a:noFill/>
                    <a:ln>
                      <a:noFill/>
                    </a:ln>
                  </pic:spPr>
                </pic:pic>
              </a:graphicData>
            </a:graphic>
          </wp:inline>
        </w:drawing>
      </w:r>
    </w:p>
    <w:p w14:paraId="70C4F2AD" w14:textId="2A1661F3" w:rsidR="005D45B5" w:rsidRDefault="00265D20" w:rsidP="00265D20">
      <w:pPr>
        <w:pStyle w:val="figurecaption"/>
        <w:numPr>
          <w:ilvl w:val="0"/>
          <w:numId w:val="0"/>
        </w:numPr>
        <w:jc w:val="center"/>
      </w:pPr>
      <w:r>
        <w:t>Fig.</w:t>
      </w:r>
      <w:r>
        <w:t xml:space="preserve">3. </w:t>
      </w:r>
      <w:r>
        <w:t>Actual v</w:t>
      </w:r>
      <w:r w:rsidR="00E936B1">
        <w:t>s</w:t>
      </w:r>
      <w:r>
        <w:t xml:space="preserve"> Predicted earthquake magnitude from the Linear Regression baseline (R² = 0.44). The fan-shaped spread indicates increasing prediction error at higher magnitudes (M &gt; 6.0).</w:t>
      </w:r>
    </w:p>
    <w:p w14:paraId="4E9EBB8D" w14:textId="12EE3C9F" w:rsidR="005D45B5" w:rsidRDefault="006500BC">
      <w:pPr>
        <w:pStyle w:val="Heading1"/>
      </w:pPr>
      <w:r>
        <w:lastRenderedPageBreak/>
        <w:t>Results and Discussion</w:t>
      </w:r>
    </w:p>
    <w:p w14:paraId="243A08B0" w14:textId="760421E3" w:rsidR="005D45B5" w:rsidRDefault="006500BC" w:rsidP="00265D20">
      <w:pPr>
        <w:pStyle w:val="BodyText"/>
      </w:pPr>
      <w:r>
        <w:t>The baseline Linear Regression model achieved an R² of 0.44 and MSE of 0.42 on the held-out test set.</w:t>
      </w:r>
      <w:r w:rsidR="00265D20">
        <w:t xml:space="preserve"> </w:t>
      </w:r>
      <w:r>
        <w:t xml:space="preserve">An R² of 0.44 means that roughly 44% of the variance in earthquake magnitude is explained by five basic geographic and temporal features. While this is statistically meaningful and confirms that seismic </w:t>
      </w:r>
      <w:proofErr w:type="spellStart"/>
      <w:r>
        <w:t>catalogs</w:t>
      </w:r>
      <w:proofErr w:type="spellEnd"/>
      <w:r>
        <w:t xml:space="preserve"> carry genuine predictive signal, it is clearly insufficient for operational forecasting. The remaining 56% of unexplained variance corresponds to the physical processes that drive fault rupture</w:t>
      </w:r>
      <w:r w:rsidR="00265D20">
        <w:t xml:space="preserve"> having </w:t>
      </w:r>
      <w:r>
        <w:t>stress accumulation, fault geometry, and pore pressure</w:t>
      </w:r>
      <w:r w:rsidR="00265D20">
        <w:t xml:space="preserve"> </w:t>
      </w:r>
      <w:r>
        <w:t xml:space="preserve">none of which are captured in simple </w:t>
      </w:r>
      <w:proofErr w:type="spellStart"/>
      <w:r>
        <w:t>catalog</w:t>
      </w:r>
      <w:proofErr w:type="spellEnd"/>
      <w:r>
        <w:t xml:space="preserve"> fields.</w:t>
      </w:r>
    </w:p>
    <w:p w14:paraId="616C1EB4" w14:textId="77777777" w:rsidR="005D45B5" w:rsidRDefault="006500BC">
      <w:pPr>
        <w:pStyle w:val="BodyText"/>
      </w:pPr>
      <w:r>
        <w:t>The residual plot showed that prediction errors are approximately unbiased around zero for magnitudes between M 3.0 and M 5.0, but there is a clear fan-shaped spread at higher magnitudes (M &gt; 6). This heteroscedasticity is a direct consequence of class imbalance: the training set contains 354,104 low-magnitude events versus only 315 major events, so the model is overwhelmingly optimized for the common case. This finding aligns with observations in [6], [10], and [16]—all of which note degraded performance at extreme magnitudes despite high overall accuracy.</w:t>
      </w:r>
    </w:p>
    <w:p w14:paraId="0BE2C645" w14:textId="77777777" w:rsidR="005D45B5" w:rsidRDefault="006500BC">
      <w:pPr>
        <w:pStyle w:val="BodyText"/>
      </w:pPr>
      <w:r>
        <w:t xml:space="preserve">The positive year coefficient (+0.0067 per year) is worth discussing. One naive interpretation would be that earthquakes are getting stronger over time. A more accurate reading is that USGS detection capability has improved steadily since 2000 due to expanding global seismograph networks, meaning smaller and previously undetected events now appear in the </w:t>
      </w:r>
      <w:proofErr w:type="spellStart"/>
      <w:r>
        <w:t>catalog</w:t>
      </w:r>
      <w:proofErr w:type="spellEnd"/>
      <w:r>
        <w:t xml:space="preserve"> with measured magnitudes, slightly shifting the recorded average upward. This is a subtle but important data artifact that any ML model trained on raw USGS </w:t>
      </w:r>
      <w:proofErr w:type="spellStart"/>
      <w:r>
        <w:t>catalog</w:t>
      </w:r>
      <w:proofErr w:type="spellEnd"/>
      <w:r>
        <w:t xml:space="preserve"> data must account for.</w:t>
      </w:r>
    </w:p>
    <w:p w14:paraId="15DD079B" w14:textId="77777777" w:rsidR="005D45B5" w:rsidRDefault="006500BC">
      <w:pPr>
        <w:pStyle w:val="BodyText"/>
      </w:pPr>
      <w:r>
        <w:t xml:space="preserve">These results reinforce the central argument of this paper: </w:t>
      </w:r>
      <w:proofErr w:type="spellStart"/>
      <w:r>
        <w:t>catalog</w:t>
      </w:r>
      <w:proofErr w:type="spellEnd"/>
      <w:r>
        <w:t>-only features with a simple linear model represent a useful but ultimately limited baseline. The proposed MT-UA-</w:t>
      </w:r>
      <w:proofErr w:type="spellStart"/>
      <w:r>
        <w:t>BiLSTM</w:t>
      </w:r>
      <w:proofErr w:type="spellEnd"/>
      <w:r>
        <w:t xml:space="preserve"> aims to address these limitations by incorporating engineered seismic indicators, bidirectional temporal </w:t>
      </w:r>
      <w:proofErr w:type="spellStart"/>
      <w:r>
        <w:t>modeling</w:t>
      </w:r>
      <w:proofErr w:type="spellEnd"/>
      <w:r>
        <w:t>, and Monte Carlo Dropout for uncertainty quantification.</w:t>
      </w:r>
    </w:p>
    <w:p w14:paraId="5B79842C" w14:textId="0B0462FD" w:rsidR="005D45B5" w:rsidRDefault="00101A79">
      <w:pPr>
        <w:pStyle w:val="Heading1"/>
      </w:pPr>
      <w:r>
        <w:t xml:space="preserve"> </w:t>
      </w:r>
      <w:r w:rsidR="006500BC">
        <w:t>Conclusion</w:t>
      </w:r>
    </w:p>
    <w:p w14:paraId="5FD07508" w14:textId="33124571" w:rsidR="005D45B5" w:rsidRDefault="006500BC">
      <w:pPr>
        <w:pStyle w:val="BodyText"/>
      </w:pPr>
      <w:r>
        <w:t xml:space="preserve">This paper presented a complete machine learning analysis pipeline applied to 691,176 global earthquake events from the USGS </w:t>
      </w:r>
      <w:r w:rsidR="00B2466D">
        <w:t>dataset</w:t>
      </w:r>
      <w:r>
        <w:t xml:space="preserve"> (2000–2026). We carried out systematic data cleaning, exploratory data analysis, feature engineering, and baseline </w:t>
      </w:r>
      <w:proofErr w:type="spellStart"/>
      <w:r>
        <w:t>modeling</w:t>
      </w:r>
      <w:proofErr w:type="spellEnd"/>
      <w:r>
        <w:t xml:space="preserve"> using Linear Regression, achieving R² = 0.44 and MSE = 0.42 for magnitude prediction from five </w:t>
      </w:r>
      <w:proofErr w:type="spellStart"/>
      <w:r>
        <w:t>catalog</w:t>
      </w:r>
      <w:proofErr w:type="spellEnd"/>
      <w:r>
        <w:t xml:space="preserve"> features.</w:t>
      </w:r>
    </w:p>
    <w:p w14:paraId="5B26A712" w14:textId="0C89F5D6" w:rsidR="005D45B5" w:rsidRDefault="006500BC">
      <w:pPr>
        <w:pStyle w:val="BodyText"/>
      </w:pPr>
      <w:r>
        <w:t xml:space="preserve">A structured review of 15 peer-reviewed papers from 2022–2025 identified three recurring gaps: single-output prediction dominance, absence of uncertainty quantification, and exclusive reliance on historical </w:t>
      </w:r>
      <w:proofErr w:type="spellStart"/>
      <w:r>
        <w:t>catalog</w:t>
      </w:r>
      <w:proofErr w:type="spellEnd"/>
      <w:r>
        <w:t xml:space="preserve"> data without multi-source precursor integration or cross-regional transfer learning. The third gap was identified as the most prominent supported by evidence from all 15 papers and both authoritative review articles.</w:t>
      </w:r>
    </w:p>
    <w:p w14:paraId="74E43E58" w14:textId="77777777" w:rsidR="005D45B5" w:rsidRDefault="006500BC">
      <w:pPr>
        <w:pStyle w:val="BodyText"/>
      </w:pPr>
      <w:r>
        <w:t>To address this gap, we proposed the MT-UA-</w:t>
      </w:r>
      <w:proofErr w:type="spellStart"/>
      <w:r>
        <w:t>BiLSTM</w:t>
      </w:r>
      <w:proofErr w:type="spellEnd"/>
      <w:r>
        <w:t xml:space="preserve"> architecture combining bidirectional temporal </w:t>
      </w:r>
      <w:proofErr w:type="spellStart"/>
      <w:r>
        <w:t>modeling</w:t>
      </w:r>
      <w:proofErr w:type="spellEnd"/>
      <w:r>
        <w:t xml:space="preserve">, Monte Carlo Dropout for uncertainty estimation, multi-task output heads for simultaneous magnitude and timing prediction, domain-adversarial transfer learning across tectonic regimes, and SHAP-based explainability analysis. </w:t>
      </w:r>
      <w:r>
        <w:t>Implementation and evaluation of this framework on prospective held-out post-2024 earthquake sequences will form the basis of future work.</w:t>
      </w:r>
    </w:p>
    <w:p w14:paraId="7338A9E1" w14:textId="77777777" w:rsidR="005D45B5" w:rsidRDefault="006500BC">
      <w:pPr>
        <w:pStyle w:val="Heading1"/>
      </w:pPr>
      <w:r>
        <w:t>References</w:t>
      </w:r>
    </w:p>
    <w:p w14:paraId="5FDA1CF0" w14:textId="1E549C2A" w:rsidR="005D45B5" w:rsidRDefault="006500BC">
      <w:pPr>
        <w:pStyle w:val="references"/>
      </w:pPr>
      <w:r>
        <w:t>WHO, “Earthquakes,” World Health Organization Fact Sheet, 2017.</w:t>
      </w:r>
    </w:p>
    <w:p w14:paraId="4D951B4C" w14:textId="06A49D1C" w:rsidR="005D45B5" w:rsidRDefault="006500BC">
      <w:pPr>
        <w:pStyle w:val="references"/>
      </w:pPr>
      <w:r>
        <w:t xml:space="preserve">Y. Ogata, “Space-time point-process models for earthquake occurrences,” </w:t>
      </w:r>
      <w:r>
        <w:rPr>
          <w:i/>
          <w:iCs/>
        </w:rPr>
        <w:t>Ann. Inst. Stat. Math.</w:t>
      </w:r>
      <w:r>
        <w:t>, vol. 50, no. 2, pp. 379–402, 1998.</w:t>
      </w:r>
    </w:p>
    <w:p w14:paraId="6C4512F7" w14:textId="2422179C" w:rsidR="005D45B5" w:rsidRDefault="006500BC">
      <w:pPr>
        <w:pStyle w:val="references"/>
      </w:pPr>
      <w:r>
        <w:t xml:space="preserve">S. M. Mousavi and G. C. Beroza, “Deep-learning seismology,” </w:t>
      </w:r>
      <w:r>
        <w:rPr>
          <w:i/>
          <w:iCs/>
        </w:rPr>
        <w:t>Science</w:t>
      </w:r>
      <w:r>
        <w:t>, vol. 377, no. 6607, p. eabm4470, 2022, doi: 10.1126/science.abm4470.</w:t>
      </w:r>
    </w:p>
    <w:p w14:paraId="30F57E33" w14:textId="39F4C9A1" w:rsidR="005D45B5" w:rsidRDefault="006500BC">
      <w:pPr>
        <w:pStyle w:val="references"/>
      </w:pPr>
      <w:r>
        <w:t xml:space="preserve">G. C. Beroza, M. Segou, and S. M. Mousavi, “Machine learning and earthquake forecasting—next steps,” </w:t>
      </w:r>
      <w:r>
        <w:rPr>
          <w:i/>
          <w:iCs/>
        </w:rPr>
        <w:t>Nat. Commun.</w:t>
      </w:r>
      <w:r>
        <w:t>, vol. 12, pp. 1–3, 2021, doi: 10.1038/s41467-021-24952-6.</w:t>
      </w:r>
    </w:p>
    <w:p w14:paraId="54F736BA" w14:textId="122B4A32" w:rsidR="005D45B5" w:rsidRDefault="006500BC">
      <w:pPr>
        <w:pStyle w:val="references"/>
      </w:pPr>
      <w:r>
        <w:t>USGS Earthquake Hazards Program, “USGS Earthquake Catalog,” [Online]. Available: https://earthquake.usgs.gov. [Accessed: Apr. 2026].</w:t>
      </w:r>
    </w:p>
    <w:p w14:paraId="2AFB735C" w14:textId="1965A257" w:rsidR="005D45B5" w:rsidRDefault="006500BC">
      <w:pPr>
        <w:pStyle w:val="references"/>
      </w:pPr>
      <w:r>
        <w:t xml:space="preserve">C. E. Yavas, L. Chen, C. Kadlec, and Y. Ji, “Improving earthquake prediction accuracy in Los Angeles with machine learning,” </w:t>
      </w:r>
      <w:r>
        <w:rPr>
          <w:i/>
          <w:iCs/>
        </w:rPr>
        <w:t>Sci. Rep.</w:t>
      </w:r>
      <w:r>
        <w:t>, vol. 14, p. 24440, 2024, doi: 10.1038/s41598-024-76483-x.</w:t>
      </w:r>
    </w:p>
    <w:p w14:paraId="0B855895" w14:textId="6AB9922B" w:rsidR="005D45B5" w:rsidRDefault="006500BC">
      <w:pPr>
        <w:pStyle w:val="references"/>
      </w:pPr>
      <w:r>
        <w:t xml:space="preserve">B. Zhang, Z. Hu, P. Wu, H. Huang, and J. Xiang, “EPT: A data-driven transformer model for earthquake prediction,” </w:t>
      </w:r>
      <w:r>
        <w:rPr>
          <w:i/>
          <w:iCs/>
        </w:rPr>
        <w:t>Eng. Appl. Artif. Intell.</w:t>
      </w:r>
      <w:r>
        <w:t>, vol. 123, p. 106176, 2023, doi: 10.1016/j.engappai.2023.106176.</w:t>
      </w:r>
    </w:p>
    <w:p w14:paraId="15A3FC89" w14:textId="3EC5259E" w:rsidR="005D45B5" w:rsidRDefault="006500BC">
      <w:pPr>
        <w:pStyle w:val="references"/>
      </w:pPr>
      <w:r>
        <w:t xml:space="preserve">A. Berhich, F.-Z. Belouadha, and M. I. Kabbaj, “An attention-based LSTM network for large earthquake prediction,” </w:t>
      </w:r>
      <w:r>
        <w:rPr>
          <w:i/>
          <w:iCs/>
        </w:rPr>
        <w:t>Soil Dyn. Earthq. Eng.</w:t>
      </w:r>
      <w:r>
        <w:t>, vol. 165, p. 107680, 2023, doi: 10.1016/j.soildyn.2022.107680.</w:t>
      </w:r>
    </w:p>
    <w:p w14:paraId="4F1BD448" w14:textId="33226A1A" w:rsidR="005D45B5" w:rsidRDefault="006500BC">
      <w:pPr>
        <w:pStyle w:val="references"/>
      </w:pPr>
      <w:r>
        <w:t xml:space="preserve">Y. Zhang, C. Zhan, Q. Huang, and D. Sornette, “Forecasting future earthquakes with deep neural networks: Application to California,” </w:t>
      </w:r>
      <w:r>
        <w:rPr>
          <w:i/>
          <w:iCs/>
        </w:rPr>
        <w:t>Geophys. J. Int.</w:t>
      </w:r>
      <w:r>
        <w:t>, vol. 240, no. 1, pp. 81–95, 2025, doi: 10.1093/gji/ggae373.</w:t>
      </w:r>
    </w:p>
    <w:p w14:paraId="79ABB70D" w14:textId="79D6F154" w:rsidR="005D45B5" w:rsidRDefault="006500BC">
      <w:pPr>
        <w:pStyle w:val="references"/>
      </w:pPr>
      <w:r>
        <w:t xml:space="preserve">A. Ikram et al., “Predicting the magnitude of an impending earthquake using deep learning techniques,” </w:t>
      </w:r>
      <w:r>
        <w:rPr>
          <w:i/>
          <w:iCs/>
        </w:rPr>
        <w:t>Earth Sci. Inf.</w:t>
      </w:r>
      <w:r>
        <w:t>, vol. 16, pp. 403–418, 2022, doi: 10.1007/s12145-022-00916-2.</w:t>
      </w:r>
    </w:p>
    <w:p w14:paraId="4B9A7950" w14:textId="60C09F95" w:rsidR="005D45B5" w:rsidRDefault="006500BC">
      <w:pPr>
        <w:pStyle w:val="references"/>
      </w:pPr>
      <w:r>
        <w:t xml:space="preserve">S. M. Mousavi and G. C. Beroza, “Machine learning in earthquake seismology,” </w:t>
      </w:r>
      <w:r>
        <w:rPr>
          <w:i/>
          <w:iCs/>
        </w:rPr>
        <w:t>Annu. Rev. Earth Planet. Sci.</w:t>
      </w:r>
      <w:r>
        <w:t>, vol. 51, pp. 105–129, 2023, doi: 10.1146/annurev-earth-071822-100323.</w:t>
      </w:r>
    </w:p>
    <w:p w14:paraId="002CDB31" w14:textId="11582B2E" w:rsidR="005D45B5" w:rsidRDefault="006500BC">
      <w:pPr>
        <w:pStyle w:val="references"/>
      </w:pPr>
      <w:r>
        <w:t xml:space="preserve">SafeNet Research Team, “Scalable intermediate-term earthquake forecasting with multimodal fusion neural networks,” </w:t>
      </w:r>
      <w:r>
        <w:rPr>
          <w:i/>
          <w:iCs/>
        </w:rPr>
        <w:t>Sci. Rep.</w:t>
      </w:r>
      <w:r>
        <w:t>, 2025, doi: 10.1038/s41598-025-93877-7.</w:t>
      </w:r>
    </w:p>
    <w:p w14:paraId="53E19435" w14:textId="300701B2" w:rsidR="005D45B5" w:rsidRDefault="006500BC">
      <w:pPr>
        <w:pStyle w:val="references"/>
      </w:pPr>
      <w:r>
        <w:t xml:space="preserve">A. Kaushal, A. K. Gupta, and V. K. Sehgal, “Earthquake prediction optimization using deep learning hybrid RNN-LSTM model for seismicity analysis,” </w:t>
      </w:r>
      <w:r>
        <w:rPr>
          <w:i/>
          <w:iCs/>
        </w:rPr>
        <w:t>Soil Dyn. Earthq. Eng.</w:t>
      </w:r>
      <w:r>
        <w:t>, vol. 195, p. 109432, 2025.</w:t>
      </w:r>
    </w:p>
    <w:p w14:paraId="0FFF91F2" w14:textId="5B13D067" w:rsidR="005D45B5" w:rsidRDefault="006500BC">
      <w:pPr>
        <w:pStyle w:val="references"/>
      </w:pPr>
      <w:r>
        <w:t xml:space="preserve">M. A. Bilal et al., “An early warning system for earthquake prediction using batch normalized GCN with attention mechanism,” </w:t>
      </w:r>
      <w:r>
        <w:rPr>
          <w:i/>
          <w:iCs/>
        </w:rPr>
        <w:t>Sensors</w:t>
      </w:r>
      <w:r>
        <w:t>, vol. 22, no. 17, p. 6482, 2022, doi: 10.3390/s22176482.</w:t>
      </w:r>
    </w:p>
    <w:p w14:paraId="5A8EA6DC" w14:textId="503265B9" w:rsidR="005D45B5" w:rsidRDefault="006500BC">
      <w:pPr>
        <w:pStyle w:val="references"/>
      </w:pPr>
      <w:r>
        <w:t xml:space="preserve">R. Tehseen et al., “A generalized deep learning approach to seismic activity prediction,” </w:t>
      </w:r>
      <w:r>
        <w:rPr>
          <w:i/>
          <w:iCs/>
        </w:rPr>
        <w:t>Appl. Sci.</w:t>
      </w:r>
      <w:r>
        <w:t>, vol. 13, no. 3, p. 1598, 2023, doi: 10.3390/app13031598.</w:t>
      </w:r>
    </w:p>
    <w:p w14:paraId="2DA43DBC" w14:textId="7BAE62F9" w:rsidR="005D45B5" w:rsidRDefault="006500BC">
      <w:pPr>
        <w:pStyle w:val="references"/>
      </w:pPr>
      <w:r>
        <w:t xml:space="preserve">A. Altaibek et al., “Analyzing historical seismic data for region-specific earthquake prediction through deep neural networks,” </w:t>
      </w:r>
      <w:r>
        <w:rPr>
          <w:i/>
          <w:iCs/>
        </w:rPr>
        <w:t>J. Seismol.</w:t>
      </w:r>
      <w:r>
        <w:t>, 2025, doi: 10.1007/s10950-025-10316-w.</w:t>
      </w:r>
    </w:p>
    <w:p w14:paraId="10E119C9" w14:textId="417AD2CC" w:rsidR="005D45B5" w:rsidRDefault="006500BC">
      <w:pPr>
        <w:pStyle w:val="references"/>
      </w:pPr>
      <w:r>
        <w:t xml:space="preserve">S. Bloemheuvel et al., “Graph neural networks for multivariate time series regression with application to seismic data,” </w:t>
      </w:r>
      <w:r>
        <w:rPr>
          <w:i/>
          <w:iCs/>
        </w:rPr>
        <w:t>Int. J. Data Sci. Anal.</w:t>
      </w:r>
      <w:r>
        <w:t>, vol. 16, pp. 317–332, 2022, doi: 10.1007/s41060-022-00349-6.</w:t>
      </w:r>
    </w:p>
    <w:p w14:paraId="26A6E83F" w14:textId="32592E28" w:rsidR="005D45B5" w:rsidRDefault="006500BC">
      <w:pPr>
        <w:pStyle w:val="references"/>
      </w:pPr>
      <w:r>
        <w:t xml:space="preserve">Turkish Seismology Research Group, “Machine learning applications for earthquake magnitude prediction in Western Turkey,” </w:t>
      </w:r>
      <w:r>
        <w:rPr>
          <w:i/>
          <w:iCs/>
        </w:rPr>
        <w:t>Appl. Sci.</w:t>
      </w:r>
      <w:r>
        <w:t>, vol. 15, no. 20, p. 10909, 2025, doi: 10.3390/app15209909.</w:t>
      </w:r>
    </w:p>
    <w:p w14:paraId="6C288383" w14:textId="7524A75C" w:rsidR="005D45B5" w:rsidRDefault="006500BC">
      <w:pPr>
        <w:pStyle w:val="references"/>
      </w:pPr>
      <w:r>
        <w:t xml:space="preserve">M. S. Islam et al., “Earthquake magnitude prediction: A survey on ML models, datasets, techniques, challenges, and future directions,” in </w:t>
      </w:r>
      <w:r>
        <w:rPr>
          <w:i/>
          <w:iCs/>
        </w:rPr>
        <w:t>Innovations in Data Analytics</w:t>
      </w:r>
      <w:r>
        <w:t>, Springer LNNS, vol. 1410, 2025, doi: 10.1007/978-981-96-6303-3_42.</w:t>
      </w:r>
    </w:p>
    <w:p w14:paraId="694A357E" w14:textId="16857657" w:rsidR="005D45B5" w:rsidRDefault="006500BC">
      <w:pPr>
        <w:pStyle w:val="references"/>
      </w:pPr>
      <w:r>
        <w:t xml:space="preserve">Universitas Gadjah Mada Research Group, “Enhanced earthquake occurrence time prediction: A hybrid LSTM–Kalman filter approach,” </w:t>
      </w:r>
      <w:r>
        <w:rPr>
          <w:i/>
          <w:iCs/>
        </w:rPr>
        <w:t>Soil Dyn. Earthq. Eng.</w:t>
      </w:r>
      <w:r>
        <w:t>, 2025, doi: 10.1016/j.soildyn.2025.109432.</w:t>
      </w:r>
    </w:p>
    <w:sectPr w:rsidR="005D45B5">
      <w:type w:val="continuous"/>
      <w:pgSz w:w="11906" w:h="16838"/>
      <w:pgMar w:top="1080" w:right="893" w:bottom="1440" w:left="893"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9D438" w14:textId="77777777" w:rsidR="001E722C" w:rsidRDefault="001E722C" w:rsidP="001A3B3D">
      <w:r>
        <w:separator/>
      </w:r>
    </w:p>
  </w:endnote>
  <w:endnote w:type="continuationSeparator" w:id="0">
    <w:p w14:paraId="0E5F5744" w14:textId="77777777" w:rsidR="001E722C" w:rsidRDefault="001E722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84FA8" w14:textId="77777777" w:rsidR="001E722C" w:rsidRDefault="001E722C" w:rsidP="001A3B3D">
      <w:r>
        <w:separator/>
      </w:r>
    </w:p>
  </w:footnote>
  <w:footnote w:type="continuationSeparator" w:id="0">
    <w:p w14:paraId="53CC4955" w14:textId="77777777" w:rsidR="001E722C" w:rsidRDefault="001E722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01A79"/>
    <w:rsid w:val="001A2EFD"/>
    <w:rsid w:val="001A3B3D"/>
    <w:rsid w:val="001B67DC"/>
    <w:rsid w:val="001E722C"/>
    <w:rsid w:val="00206E63"/>
    <w:rsid w:val="002254A9"/>
    <w:rsid w:val="00233D97"/>
    <w:rsid w:val="002347A2"/>
    <w:rsid w:val="00265D20"/>
    <w:rsid w:val="002850E3"/>
    <w:rsid w:val="003500C0"/>
    <w:rsid w:val="00354FCF"/>
    <w:rsid w:val="003A19E2"/>
    <w:rsid w:val="003B2B40"/>
    <w:rsid w:val="003B4E04"/>
    <w:rsid w:val="003C5D28"/>
    <w:rsid w:val="003D4223"/>
    <w:rsid w:val="003F5A08"/>
    <w:rsid w:val="00420716"/>
    <w:rsid w:val="00425981"/>
    <w:rsid w:val="004325FB"/>
    <w:rsid w:val="004432BA"/>
    <w:rsid w:val="0044407E"/>
    <w:rsid w:val="00447BB9"/>
    <w:rsid w:val="0046031D"/>
    <w:rsid w:val="00473AC9"/>
    <w:rsid w:val="004B773A"/>
    <w:rsid w:val="004C4828"/>
    <w:rsid w:val="004D72B5"/>
    <w:rsid w:val="00551B7F"/>
    <w:rsid w:val="0056610F"/>
    <w:rsid w:val="00575BCA"/>
    <w:rsid w:val="005B0344"/>
    <w:rsid w:val="005B520E"/>
    <w:rsid w:val="005D45B5"/>
    <w:rsid w:val="005E2800"/>
    <w:rsid w:val="005E4900"/>
    <w:rsid w:val="00605825"/>
    <w:rsid w:val="006121C1"/>
    <w:rsid w:val="00645D22"/>
    <w:rsid w:val="006500BC"/>
    <w:rsid w:val="00651A08"/>
    <w:rsid w:val="00654204"/>
    <w:rsid w:val="00670434"/>
    <w:rsid w:val="006A5D82"/>
    <w:rsid w:val="006B6B66"/>
    <w:rsid w:val="006D2EB5"/>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9045D"/>
    <w:rsid w:val="008A2C7D"/>
    <w:rsid w:val="008B6524"/>
    <w:rsid w:val="008C4B23"/>
    <w:rsid w:val="008D3E83"/>
    <w:rsid w:val="008F6E2C"/>
    <w:rsid w:val="009303D9"/>
    <w:rsid w:val="00933C64"/>
    <w:rsid w:val="00972203"/>
    <w:rsid w:val="00986EDA"/>
    <w:rsid w:val="009E64CC"/>
    <w:rsid w:val="009F1D79"/>
    <w:rsid w:val="00A00369"/>
    <w:rsid w:val="00A059B3"/>
    <w:rsid w:val="00A746AC"/>
    <w:rsid w:val="00AE3409"/>
    <w:rsid w:val="00B11A60"/>
    <w:rsid w:val="00B22613"/>
    <w:rsid w:val="00B2466D"/>
    <w:rsid w:val="00B44A76"/>
    <w:rsid w:val="00B768D1"/>
    <w:rsid w:val="00BA1025"/>
    <w:rsid w:val="00BC3420"/>
    <w:rsid w:val="00BD670B"/>
    <w:rsid w:val="00BE7D3C"/>
    <w:rsid w:val="00BF5FF6"/>
    <w:rsid w:val="00C0207F"/>
    <w:rsid w:val="00C16117"/>
    <w:rsid w:val="00C3075A"/>
    <w:rsid w:val="00C65A74"/>
    <w:rsid w:val="00C919A4"/>
    <w:rsid w:val="00CA4392"/>
    <w:rsid w:val="00CC393F"/>
    <w:rsid w:val="00D2176E"/>
    <w:rsid w:val="00D632BE"/>
    <w:rsid w:val="00D72D06"/>
    <w:rsid w:val="00D7522C"/>
    <w:rsid w:val="00D7536F"/>
    <w:rsid w:val="00D76668"/>
    <w:rsid w:val="00D9218B"/>
    <w:rsid w:val="00DE1007"/>
    <w:rsid w:val="00DE63B6"/>
    <w:rsid w:val="00E07383"/>
    <w:rsid w:val="00E165BC"/>
    <w:rsid w:val="00E252A3"/>
    <w:rsid w:val="00E61E12"/>
    <w:rsid w:val="00E7596C"/>
    <w:rsid w:val="00E878F2"/>
    <w:rsid w:val="00E936B1"/>
    <w:rsid w:val="00ED0149"/>
    <w:rsid w:val="00EF7DE3"/>
    <w:rsid w:val="00F03103"/>
    <w:rsid w:val="00F271DE"/>
    <w:rsid w:val="00F627DA"/>
    <w:rsid w:val="00F67407"/>
    <w:rsid w:val="00F7288F"/>
    <w:rsid w:val="00F847A6"/>
    <w:rsid w:val="00F9441B"/>
    <w:rsid w:val="00FA4C32"/>
    <w:rsid w:val="00FE083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D8C67D"/>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FE0839"/>
    <w:rPr>
      <w:color w:val="0563C1" w:themeColor="hyperlink"/>
      <w:u w:val="single"/>
    </w:rPr>
  </w:style>
  <w:style w:type="character" w:styleId="UnresolvedMention">
    <w:name w:val="Unresolved Mention"/>
    <w:basedOn w:val="DefaultParagraphFont"/>
    <w:uiPriority w:val="99"/>
    <w:semiHidden/>
    <w:unhideWhenUsed/>
    <w:rsid w:val="00FE0839"/>
    <w:rPr>
      <w:color w:val="605E5C"/>
      <w:shd w:val="clear" w:color="auto" w:fill="E1DFDD"/>
    </w:rPr>
  </w:style>
  <w:style w:type="table" w:styleId="TableGrid">
    <w:name w:val="Table Grid"/>
    <w:basedOn w:val="TableNormal"/>
    <w:rsid w:val="003C5D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4340</Words>
  <Characters>24740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Vanisha .</cp:lastModifiedBy>
  <cp:revision>3</cp:revision>
  <dcterms:created xsi:type="dcterms:W3CDTF">2026-04-15T11:51:00Z</dcterms:created>
  <dcterms:modified xsi:type="dcterms:W3CDTF">2026-04-15T12:01:00Z</dcterms:modified>
</cp:coreProperties>
</file>