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0695C"/>
          <w:sz w:val="56"/>
          <w:szCs w:val="56"/>
        </w:rPr>
        <w:t xml:space="preserve">VISATRACK PRO</w:t>
      </w:r>
    </w:p>
    <w:p>
      <w:pPr>
        <w:spacing w:before="0" w:after="120"/>
        <w:jc w:val="center"/>
      </w:pPr>
      <w:r>
        <w:rPr>
          <w:rFonts w:ascii="Arial" w:cs="Arial" w:eastAsia="Arial" w:hAnsi="Arial"/>
          <w:b/>
          <w:bCs/>
          <w:color w:val="00897B"/>
          <w:sz w:val="36"/>
          <w:szCs w:val="36"/>
        </w:rPr>
        <w:t xml:space="preserve">High-Level Use Case Analysis</w:t>
      </w:r>
    </w:p>
    <w:p>
      <w:pPr>
        <w:spacing w:before="0" w:after="720"/>
        <w:jc w:val="center"/>
      </w:pPr>
      <w:r>
        <w:rPr>
          <w:rFonts w:ascii="Arial" w:cs="Arial" w:eastAsia="Arial" w:hAnsi="Arial"/>
          <w:color w:val="777777"/>
          <w:sz w:val="22"/>
          <w:szCs w:val="22"/>
        </w:rPr>
        <w:t xml:space="preserve">Derived from VisaTrack Pro Business Plan v1.0 | February 2026</w:t>
      </w:r>
    </w:p>
    <w:p>
      <w:pPr>
        <w:jc w:val="center"/>
      </w:pPr>
      <w:r>
        <w:rPr>
          <w:rFonts w:ascii="Arial" w:cs="Arial" w:eastAsia="Arial" w:hAnsi="Arial"/>
          <w:color w:val="00897B"/>
          <w:sz w:val="22"/>
          <w:szCs w:val="22"/>
        </w:rPr>
        <w:t xml:space="preserve">─────────────────────────────────────────</w:t>
      </w:r>
    </w:p>
    <w:p>
      <w:pPr>
        <w:spacing w:before="80" w:after="80"/>
      </w:pPr>
    </w:p>
    <w:p>
      <w:pPr>
        <w:spacing w:before="80" w:after="80"/>
      </w:pPr>
    </w:p>
    <w:p>
      <w:r>
        <w:br w:type="page"/>
      </w:r>
    </w:p>
    <w:p>
      <w:pPr>
        <w:pStyle w:val="Heading1"/>
        <w:spacing w:before="320" w:after="160"/>
      </w:pPr>
      <w:r>
        <w:rPr>
          <w:rFonts w:ascii="Arial" w:cs="Arial" w:eastAsia="Arial" w:hAnsi="Arial"/>
          <w:b/>
          <w:bCs/>
          <w:color w:val="00695C"/>
          <w:sz w:val="32"/>
          <w:szCs w:val="32"/>
        </w:rPr>
        <w:t xml:space="preserve">1. Actor Identification</w:t>
      </w:r>
    </w:p>
    <w:p>
      <w:pPr>
        <w:spacing w:before="80" w:after="80"/>
      </w:pPr>
      <w:r>
        <w:rPr>
          <w:rFonts w:ascii="Arial" w:cs="Arial" w:eastAsia="Arial" w:hAnsi="Arial"/>
          <w:sz w:val="22"/>
          <w:szCs w:val="22"/>
        </w:rPr>
        <w:t xml:space="preserve">Actors represent the roles that interact with the VisaTrack Pro system. They are categorized as Primary Actors (who directly initiate and benefit from use cases) and Secondary Actors (who support or are triggered by the system).</w:t>
      </w:r>
    </w:p>
    <w:p>
      <w:pPr>
        <w:spacing w:before="80" w:after="80"/>
      </w:pPr>
    </w:p>
    <w:p>
      <w:pPr>
        <w:pStyle w:val="Heading2"/>
        <w:spacing w:before="240" w:after="120"/>
      </w:pPr>
      <w:r>
        <w:rPr>
          <w:rFonts w:ascii="Arial" w:cs="Arial" w:eastAsia="Arial" w:hAnsi="Arial"/>
          <w:b/>
          <w:bCs/>
          <w:color w:val="00897B"/>
          <w:sz w:val="26"/>
          <w:szCs w:val="26"/>
        </w:rPr>
        <w:t xml:space="preserve">1.1 Primary Actors</w:t>
      </w:r>
    </w:p>
    <w:p>
      <w:pPr>
        <w:spacing w:before="80" w:after="80"/>
      </w:pPr>
      <w:r>
        <w:rPr>
          <w:rFonts w:ascii="Arial" w:cs="Arial" w:eastAsia="Arial" w:hAnsi="Arial"/>
          <w:sz w:val="22"/>
          <w:szCs w:val="22"/>
        </w:rPr>
        <w:t xml:space="preserve">Primary actors are those who directly use the system to accomplish their goals: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24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User Type</w:t>
            </w:r>
          </w:p>
        </w:tc>
        <w:tc>
          <w:tcPr>
            <w:tcW w:type="dxa" w:w="47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End User (B2C)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 visa applicant who monitors their own visa/immigration case status, receives alerts, and stores documents.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Professional (B2B)</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 licensed attorney who manages multiple client cases, generates reports, and communicates with clients via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Professional (B2B)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 HR professional who tracks work visa statuses for sponsored employees, manages compliance, and forecasts hiring timelines.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University DSO / Admin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Professional (B2B)</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 Designated School Official who tracks international student visa statuses and ensures SEVP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Administrator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Internal Staff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 internal VisaTrack Pro staff member responsible for user account management, system health, and platform configuration.</w:t>
            </w:r>
          </w:p>
        </w:tc>
      </w:tr>
    </w:tbl>
    <w:p>
      <w:pPr>
        <w:spacing w:before="80" w:after="80"/>
      </w:pPr>
    </w:p>
    <w:p>
      <w:pPr>
        <w:pStyle w:val="Heading2"/>
        <w:spacing w:before="240" w:after="120"/>
      </w:pPr>
      <w:r>
        <w:rPr>
          <w:rFonts w:ascii="Arial" w:cs="Arial" w:eastAsia="Arial" w:hAnsi="Arial"/>
          <w:b/>
          <w:bCs/>
          <w:color w:val="00897B"/>
          <w:sz w:val="26"/>
          <w:szCs w:val="26"/>
        </w:rPr>
        <w:t xml:space="preserve">1.2 Secondary Actors</w:t>
      </w:r>
    </w:p>
    <w:p>
      <w:pPr>
        <w:spacing w:before="80" w:after="80"/>
      </w:pPr>
      <w:r>
        <w:rPr>
          <w:rFonts w:ascii="Arial" w:cs="Arial" w:eastAsia="Arial" w:hAnsi="Arial"/>
          <w:sz w:val="22"/>
          <w:szCs w:val="22"/>
        </w:rPr>
        <w:t xml:space="preserve">Secondary actors do not initiate use cases but are essential for fulfilling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25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Role in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Government API Services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External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USCIS, IRCC, UK Home Office — provide real-time visa status data consumed by the platform.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External System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Email/SMS/push gateway (e.g., SendGrid, Twilio) that delivers alerts and reminders to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Blockchain Ledger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External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Hyperledger Fabric node used for document verification and immutable credential storage.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AI / ML Engine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Internal System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NLP chatbot, OCR processor, and ML prediction models that power AI-driven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Payment Gateway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External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Processes subscription payments and billing for attorney/enterprise plans.</w:t>
            </w:r>
          </w:p>
        </w:tc>
      </w:tr>
    </w:tbl>
    <w:p>
      <w:r>
        <w:br w:type="page"/>
      </w:r>
    </w:p>
    <w:p>
      <w:pPr>
        <w:pStyle w:val="Heading1"/>
        <w:spacing w:before="320" w:after="160"/>
      </w:pPr>
      <w:r>
        <w:rPr>
          <w:rFonts w:ascii="Arial" w:cs="Arial" w:eastAsia="Arial" w:hAnsi="Arial"/>
          <w:b/>
          <w:bCs/>
          <w:color w:val="00695C"/>
          <w:sz w:val="32"/>
          <w:szCs w:val="32"/>
        </w:rPr>
        <w:t xml:space="preserve">2. Use Cases by Actor</w:t>
      </w:r>
    </w:p>
    <w:p>
      <w:pPr>
        <w:spacing w:before="80" w:after="80"/>
      </w:pPr>
      <w:r>
        <w:rPr>
          <w:rFonts w:ascii="Arial" w:cs="Arial" w:eastAsia="Arial" w:hAnsi="Arial"/>
          <w:sz w:val="22"/>
          <w:szCs w:val="22"/>
        </w:rPr>
        <w:t xml:space="preserve">The following tables detail the use cases associated with each primary actor. Use cases are labeled with a unique ID for traceability.</w:t>
      </w:r>
    </w:p>
    <w:p>
      <w:pPr>
        <w:spacing w:before="80" w:after="80"/>
      </w:pPr>
    </w:p>
    <w:p>
      <w:pPr>
        <w:pStyle w:val="Heading2"/>
        <w:spacing w:before="240" w:after="120"/>
      </w:pPr>
      <w:r>
        <w:rPr>
          <w:rFonts w:ascii="Arial" w:cs="Arial" w:eastAsia="Arial" w:hAnsi="Arial"/>
          <w:b/>
          <w:bCs/>
          <w:color w:val="00897B"/>
          <w:sz w:val="26"/>
          <w:szCs w:val="26"/>
        </w:rPr>
        <w:t xml:space="preserve">2.1 Individual Applicant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UC ID</w:t>
            </w:r>
          </w:p>
        </w:tc>
        <w:tc>
          <w:tcPr>
            <w:tcW w:type="dxa" w:w="28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 Case Name</w:t>
            </w:r>
          </w:p>
        </w:tc>
        <w:tc>
          <w:tcPr>
            <w:tcW w:type="dxa" w:w="54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Register &amp; Create Account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New user signs up, sets profile, selects subscription tier (Free/Basic/Premium).</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Add Visa Case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User inputs case number and jurisdiction; system connects to the relevant government API.</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Real-Time Case Status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 views current application status, last updated timestamp, and pending actions.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Receive Notifications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 pushes email/SMS/app alerts when case status changes or deadlines approach.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&amp; Manage Documents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 uploads passport, forms, and supporting documents; system stores with OCR indexing.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View Processing Timeline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User sees AI-predicted processing duration based on historical data for their visa type.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Interact with AI Chatbot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User asks immigration-related questions; NLP chatbot responds in the user's language.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Manage Notification Preferences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User customizes alert types, frequency, and channels (email/SMS/push).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Link Family Cases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Premium user links spouse/dependent cases for a unified family dashboard view.</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Verify Document Authenticity</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 uses blockchain to confirm document has not been altered since upload.</w:t>
            </w:r>
          </w:p>
        </w:tc>
      </w:tr>
    </w:tbl>
    <w:p>
      <w:pPr>
        <w:spacing w:before="80" w:after="80"/>
      </w:pPr>
    </w:p>
    <w:p>
      <w:pPr>
        <w:pStyle w:val="Heading2"/>
        <w:spacing w:before="240" w:after="120"/>
      </w:pPr>
      <w:r>
        <w:rPr>
          <w:rFonts w:ascii="Arial" w:cs="Arial" w:eastAsia="Arial" w:hAnsi="Arial"/>
          <w:b/>
          <w:bCs/>
          <w:color w:val="00897B"/>
          <w:sz w:val="26"/>
          <w:szCs w:val="26"/>
        </w:rPr>
        <w:t xml:space="preserve">2.2 Immigration Attorney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UC ID</w:t>
            </w:r>
          </w:p>
        </w:tc>
        <w:tc>
          <w:tcPr>
            <w:tcW w:type="dxa" w:w="28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 Case Name</w:t>
            </w:r>
          </w:p>
        </w:tc>
        <w:tc>
          <w:tcPr>
            <w:tcW w:type="dxa" w:w="54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 Client Portfolio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Attorney views all active cases on a unified dashboard, filtered by status, deadline, or jurisdiction.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Bulk Import Cases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Attorney imports multiple cases via CSV or API for onboarding large client volumes.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Invite Client to Portal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Attorney sends a portal invitation link to a client for shared case visibility.</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Generate Compliance Reports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Attorney generates PDF/Excel reports on case statuses, deadlines, and outcomes.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Set Case Deadlines &amp; Reminders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Attorney sets custom deadline alerts for RFE responses, renewals, or hearings.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Integrate Billing</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Attorney links time-tracked case activities to invoicing for client billing.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Assess Case Risk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 classification model flags high-risk cases (e.g., RFE likelihood) for attorney review.</w:t>
            </w:r>
          </w:p>
        </w:tc>
      </w:tr>
    </w:tbl>
    <w:p>
      <w:pPr>
        <w:spacing w:before="80" w:after="80"/>
      </w:pPr>
    </w:p>
    <w:p>
      <w:pPr>
        <w:pStyle w:val="Heading2"/>
        <w:spacing w:before="240" w:after="120"/>
      </w:pPr>
      <w:r>
        <w:rPr>
          <w:rFonts w:ascii="Arial" w:cs="Arial" w:eastAsia="Arial" w:hAnsi="Arial"/>
          <w:b/>
          <w:bCs/>
          <w:color w:val="00897B"/>
          <w:sz w:val="26"/>
          <w:szCs w:val="26"/>
        </w:rPr>
        <w:t xml:space="preserve">2.3 Corporate HR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UC ID</w:t>
            </w:r>
          </w:p>
        </w:tc>
        <w:tc>
          <w:tcPr>
            <w:tcW w:type="dxa" w:w="28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 Case Name</w:t>
            </w:r>
          </w:p>
        </w:tc>
        <w:tc>
          <w:tcPr>
            <w:tcW w:type="dxa" w:w="54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Track Employee Visa Portfolio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HR tracks visa statuses for all sponsored employees in one dashboard.</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UC-19</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Generate Compliance Reports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HR generates workforce immigration compliance reports for legal/audit purposes.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Forecast Hiring Timelines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 model estimates visa processing times to inform recruitment and onboarding planning.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Manage Team Collaboration</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HR team members are assigned roles and can collaboratively manage employee cases.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API Integration with HRIS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HR integrates VisaTrack Pro data with internal HR Information Systems via REST API.</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Receive Expiry Alerts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 proactively alerts HR when an employee visa/work authorization is nearing expiry.</w:t>
            </w:r>
          </w:p>
        </w:tc>
      </w:tr>
    </w:tbl>
    <w:p>
      <w:pPr>
        <w:spacing w:before="80" w:after="80"/>
      </w:pPr>
    </w:p>
    <w:p>
      <w:pPr>
        <w:pStyle w:val="Heading2"/>
        <w:spacing w:before="240" w:after="120"/>
      </w:pPr>
      <w:r>
        <w:rPr>
          <w:rFonts w:ascii="Arial" w:cs="Arial" w:eastAsia="Arial" w:hAnsi="Arial"/>
          <w:b/>
          <w:bCs/>
          <w:color w:val="00897B"/>
          <w:sz w:val="26"/>
          <w:szCs w:val="26"/>
        </w:rPr>
        <w:t xml:space="preserve">2.4 University DSO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UC ID</w:t>
            </w:r>
          </w:p>
        </w:tc>
        <w:tc>
          <w:tcPr>
            <w:tcW w:type="dxa" w:w="28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 Case Name</w:t>
            </w:r>
          </w:p>
        </w:tc>
        <w:tc>
          <w:tcPr>
            <w:tcW w:type="dxa" w:w="54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Track International Student Visas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DSO monitors F-1/J-1 visa statuses for all enrolled international students.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Ensure SEVP Compliance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 checks compliance with SEVP regulations and flags non-compliant records.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Perform Batch Operations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DSO applies bulk updates (e.g., OPT extensions) to multiple student records simultaneously.</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UC-27</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Generate Custom Reports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DSO creates tailored reports by program, nationality, or visa type for institutional use.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Alert Students of Status Changes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notifies students automatically when their visa status is updated.</w:t>
            </w:r>
          </w:p>
        </w:tc>
      </w:tr>
    </w:tbl>
    <w:p>
      <w:pPr>
        <w:spacing w:before="80" w:after="80"/>
      </w:pPr>
    </w:p>
    <w:p>
      <w:pPr>
        <w:pStyle w:val="Heading2"/>
        <w:spacing w:before="240" w:after="120"/>
      </w:pPr>
      <w:r>
        <w:rPr>
          <w:rFonts w:ascii="Arial" w:cs="Arial" w:eastAsia="Arial" w:hAnsi="Arial"/>
          <w:b/>
          <w:bCs/>
          <w:color w:val="00897B"/>
          <w:sz w:val="26"/>
          <w:szCs w:val="26"/>
        </w:rPr>
        <w:t xml:space="preserve">2.5 System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5460"/>
      </w:tblGrid>
      <w:tr>
        <w:trPr>
          <w:tblHeader/>
        </w:trPr>
        <w:tc>
          <w:tcPr>
            <w:tcW w:type="dxa" w:w="11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UC ID</w:t>
            </w:r>
          </w:p>
        </w:tc>
        <w:tc>
          <w:tcPr>
            <w:tcW w:type="dxa" w:w="28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 Case Name</w:t>
            </w:r>
          </w:p>
        </w:tc>
        <w:tc>
          <w:tcPr>
            <w:tcW w:type="dxa" w:w="54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 User Accounts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creates, modifies, suspends, or deletes user accounts and manages roles.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UC-30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Configure Government API Connections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Admin sets up and monitors integrations with USCIS, IRCC, UK Home Office, etc.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Monitor System Health &amp; Performance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views dashboards for uptime, API response times, and error rates.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UC-32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Manage Subscription Plans</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Admin configures pricing tiers, feature flags, and promotional offers.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Security &amp; Compliance Logs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Admin reviews access logs and blockchain audit trails for SOC 2 compliance.</w:t>
            </w:r>
          </w:p>
        </w:tc>
      </w:tr>
    </w:tbl>
    <w:p>
      <w:r>
        <w:br w:type="page"/>
      </w:r>
    </w:p>
    <w:p>
      <w:pPr>
        <w:pStyle w:val="Heading1"/>
        <w:spacing w:before="320" w:after="160"/>
      </w:pPr>
      <w:r>
        <w:rPr>
          <w:rFonts w:ascii="Arial" w:cs="Arial" w:eastAsia="Arial" w:hAnsi="Arial"/>
          <w:b/>
          <w:bCs/>
          <w:color w:val="00695C"/>
          <w:sz w:val="32"/>
          <w:szCs w:val="32"/>
        </w:rPr>
        <w:t xml:space="preserve">3. Use Case Diagram</w:t>
      </w:r>
    </w:p>
    <w:p>
      <w:pPr>
        <w:spacing w:before="80" w:after="80"/>
      </w:pPr>
      <w:r>
        <w:rPr>
          <w:rFonts w:ascii="Arial" w:cs="Arial" w:eastAsia="Arial" w:hAnsi="Arial"/>
          <w:sz w:val="22"/>
          <w:szCs w:val="22"/>
        </w:rPr>
        <w:t xml:space="preserve">The Use Case Diagram below illustrates the main interactions between primary actors and the core system use cases of VisaTrack Pro. It focuses on the most critical cross-cutting use cases that define the system boundary.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AFB" w:val="clear"/>
            <w:tcMar>
              <w:top w:type="dxa" w:w="240"/>
              <w:left w:type="dxa" w:w="360"/>
              <w:bottom w:type="dxa" w:w="240"/>
              <w:right w:type="dxa" w:w="360"/>
            </w:tcMar>
          </w:tcPr>
          <w:p>
            <w:pPr>
              <w:spacing w:after="120"/>
              <w:jc w:val="center"/>
            </w:pPr>
            <w:r>
              <w:rPr>
                <w:rFonts w:ascii="Arial" w:cs="Arial" w:eastAsia="Arial" w:hAnsi="Arial"/>
                <w:b/>
                <w:bCs/>
                <w:color w:val="00695C"/>
                <w:sz w:val="24"/>
                <w:szCs w:val="24"/>
              </w:rPr>
              <w:t xml:space="preserve">VisaTrack Pro — Use Case Diagram (Main Use Cases)</w:t>
            </w:r>
          </w:p>
          <w:p>
            <w:pPr>
              <w:spacing w:after="240"/>
              <w:jc w:val="center"/>
            </w:pPr>
            <w:r>
              <w:rPr>
                <w:rFonts w:ascii="Arial" w:cs="Arial" w:eastAsia="Arial" w:hAnsi="Arial"/>
                <w:i/>
                <w:iCs/>
                <w:color w:val="777777"/>
                <w:sz w:val="20"/>
                <w:szCs w:val="20"/>
              </w:rPr>
              <w:t xml:space="preserve">System Boundary: VisaTrack Pro Platform</w:t>
            </w:r>
          </w:p>
          <w:p>
            <w:pPr>
              <w:spacing w:before="80" w:after="40"/>
            </w:pPr>
            <w:r>
              <w:rPr>
                <w:rFonts w:ascii="Arial" w:cs="Arial" w:eastAsia="Arial" w:hAnsi="Arial"/>
                <w:b/>
                <w:bCs/>
                <w:color w:val="00897B"/>
                <w:sz w:val="22"/>
                <w:szCs w:val="22"/>
              </w:rPr>
              <w:t xml:space="preserve">👤 Individual Applicant</w:t>
            </w:r>
          </w:p>
          <w:p>
            <w:pPr>
              <w:spacing w:before="0" w:after="80"/>
            </w:pPr>
            <w:r>
              <w:rPr>
                <w:rFonts w:ascii="Arial" w:cs="Arial" w:eastAsia="Arial" w:hAnsi="Arial"/>
                <w:sz w:val="20"/>
                <w:szCs w:val="20"/>
              </w:rPr>
              <w:t xml:space="preserve">    ──► Register &amp; Create Account  |  Add Visa Case  |  View Real-Time Case Status</w:t>
            </w:r>
          </w:p>
          <w:p>
            <w:pPr>
              <w:spacing w:before="0" w:after="160"/>
            </w:pPr>
            <w:r>
              <w:rPr>
                <w:rFonts w:ascii="Arial" w:cs="Arial" w:eastAsia="Arial" w:hAnsi="Arial"/>
                <w:sz w:val="20"/>
                <w:szCs w:val="20"/>
              </w:rPr>
              <w:t xml:space="preserve">    ──► Receive Notifications  |  Upload &amp; Manage Documents  |  View Processing Timeline</w:t>
            </w:r>
          </w:p>
          <w:p>
            <w:pPr>
              <w:spacing w:before="80" w:after="40"/>
            </w:pPr>
            <w:r>
              <w:rPr>
                <w:rFonts w:ascii="Arial" w:cs="Arial" w:eastAsia="Arial" w:hAnsi="Arial"/>
                <w:b/>
                <w:bCs/>
                <w:color w:val="00897B"/>
                <w:sz w:val="22"/>
                <w:szCs w:val="22"/>
              </w:rPr>
              <w:t xml:space="preserve">👔 Immigration Attorney</w:t>
            </w:r>
          </w:p>
          <w:p>
            <w:pPr>
              <w:spacing w:before="0" w:after="160"/>
            </w:pPr>
            <w:r>
              <w:rPr>
                <w:rFonts w:ascii="Arial" w:cs="Arial" w:eastAsia="Arial" w:hAnsi="Arial"/>
                <w:sz w:val="20"/>
                <w:szCs w:val="20"/>
              </w:rPr>
              <w:t xml:space="preserve">    ──► Manage Client Portfolio  |  Bulk Import Cases  |  Invite Client to Portal</w:t>
            </w:r>
          </w:p>
          <w:p>
            <w:pPr>
              <w:spacing w:before="80" w:after="40"/>
            </w:pPr>
            <w:r>
              <w:rPr>
                <w:rFonts w:ascii="Arial" w:cs="Arial" w:eastAsia="Arial" w:hAnsi="Arial"/>
                <w:b/>
                <w:bCs/>
                <w:color w:val="00897B"/>
                <w:sz w:val="22"/>
                <w:szCs w:val="22"/>
              </w:rPr>
              <w:t xml:space="preserve">🏢 Corporate HR Manager</w:t>
            </w:r>
          </w:p>
          <w:p>
            <w:pPr>
              <w:spacing w:before="0" w:after="160"/>
            </w:pPr>
            <w:r>
              <w:rPr>
                <w:rFonts w:ascii="Arial" w:cs="Arial" w:eastAsia="Arial" w:hAnsi="Arial"/>
                <w:sz w:val="20"/>
                <w:szCs w:val="20"/>
              </w:rPr>
              <w:t xml:space="preserve">    ──► Track Employee Visa Portfolio  |  Generate Compliance Reports  |  Receive Expiry Alerts</w:t>
            </w:r>
          </w:p>
          <w:p>
            <w:pPr>
              <w:spacing w:before="80" w:after="40"/>
            </w:pPr>
            <w:r>
              <w:rPr>
                <w:rFonts w:ascii="Arial" w:cs="Arial" w:eastAsia="Arial" w:hAnsi="Arial"/>
                <w:b/>
                <w:bCs/>
                <w:color w:val="00897B"/>
                <w:sz w:val="22"/>
                <w:szCs w:val="22"/>
              </w:rPr>
              <w:t xml:space="preserve">🎓 University DSO / Admin</w:t>
            </w:r>
          </w:p>
          <w:p>
            <w:pPr>
              <w:spacing w:before="0" w:after="160"/>
            </w:pPr>
            <w:r>
              <w:rPr>
                <w:rFonts w:ascii="Arial" w:cs="Arial" w:eastAsia="Arial" w:hAnsi="Arial"/>
                <w:sz w:val="20"/>
                <w:szCs w:val="20"/>
              </w:rPr>
              <w:t xml:space="preserve">    ──► Track International Student Visas  |  Ensure SEVP Compliance  |  Generate Custom Reports</w:t>
            </w:r>
          </w:p>
          <w:p>
            <w:pPr>
              <w:spacing w:before="80" w:after="40"/>
            </w:pPr>
            <w:r>
              <w:rPr>
                <w:rFonts w:ascii="Arial" w:cs="Arial" w:eastAsia="Arial" w:hAnsi="Arial"/>
                <w:b/>
                <w:bCs/>
                <w:color w:val="00897B"/>
                <w:sz w:val="22"/>
                <w:szCs w:val="22"/>
              </w:rPr>
              <w:t xml:space="preserve">⚙️ System Administrator</w:t>
            </w:r>
          </w:p>
          <w:p>
            <w:pPr>
              <w:spacing w:before="0" w:after="160"/>
            </w:pPr>
            <w:r>
              <w:rPr>
                <w:rFonts w:ascii="Arial" w:cs="Arial" w:eastAsia="Arial" w:hAnsi="Arial"/>
                <w:sz w:val="20"/>
                <w:szCs w:val="20"/>
              </w:rPr>
              <w:t xml:space="preserve">    ──► Manage User Accounts  |  Configure API Connections  |  Audit Security Logs</w:t>
            </w:r>
          </w:p>
          <w:p>
            <w:pPr>
              <w:spacing w:before="120" w:after="40"/>
            </w:pPr>
            <w:r>
              <w:rPr>
                <w:rFonts w:ascii="Arial" w:cs="Arial" w:eastAsia="Arial" w:hAnsi="Arial"/>
                <w:color w:val="999999"/>
                <w:sz w:val="18"/>
                <w:szCs w:val="18"/>
              </w:rPr>
              <w:t xml:space="preserve">─── Secondary Actors (System-Level) ───────────────────────────────────</w:t>
            </w:r>
          </w:p>
          <w:p>
            <w:pPr>
              <w:spacing w:before="0" w:after="80"/>
            </w:pPr>
            <w:r>
              <w:rPr>
                <w:rFonts w:ascii="Arial" w:cs="Arial" w:eastAsia="Arial" w:hAnsi="Arial"/>
                <w:color w:val="666666"/>
                <w:sz w:val="20"/>
                <w:szCs w:val="20"/>
              </w:rPr>
              <w:t xml:space="preserve">🌐 Government APIs  ──►  Sync Visa Status Data</w:t>
            </w:r>
          </w:p>
          <w:p>
            <w:pPr>
              <w:spacing w:before="0" w:after="80"/>
            </w:pPr>
            <w:r>
              <w:rPr>
                <w:rFonts w:ascii="Arial" w:cs="Arial" w:eastAsia="Arial" w:hAnsi="Arial"/>
                <w:color w:val="666666"/>
                <w:sz w:val="20"/>
                <w:szCs w:val="20"/>
              </w:rPr>
              <w:t xml:space="preserve">🤖 AI/ML Engine  ──►  Predict Processing Times  |  Assess Case Risk  |  Run NLP Chatbot</w:t>
            </w:r>
          </w:p>
          <w:p>
            <w:pPr>
              <w:spacing w:before="0" w:after="80"/>
            </w:pPr>
            <w:r>
              <w:rPr>
                <w:rFonts w:ascii="Arial" w:cs="Arial" w:eastAsia="Arial" w:hAnsi="Arial"/>
                <w:color w:val="666666"/>
                <w:sz w:val="20"/>
                <w:szCs w:val="20"/>
              </w:rPr>
              <w:t xml:space="preserve">🔗 Blockchain Ledger  ──►  Verify Document Authenticity  |  Issue Verifiable Credentials</w:t>
            </w:r>
          </w:p>
          <w:p>
            <w:pPr>
              <w:spacing w:before="0" w:after="0"/>
            </w:pPr>
            <w:r>
              <w:rPr>
                <w:rFonts w:ascii="Arial" w:cs="Arial" w:eastAsia="Arial" w:hAnsi="Arial"/>
                <w:color w:val="666666"/>
                <w:sz w:val="20"/>
                <w:szCs w:val="20"/>
              </w:rPr>
              <w:t xml:space="preserve">📬 Notification Service  ──►  Send Push / Email / SMS Alerts</w:t>
            </w:r>
          </w:p>
        </w:tc>
      </w:tr>
    </w:tbl>
    <w:p>
      <w:pPr>
        <w:spacing w:before="80" w:after="80"/>
      </w:pPr>
    </w:p>
    <w:p>
      <w:pPr>
        <w:spacing w:before="80" w:after="80"/>
      </w:pPr>
      <w:r>
        <w:rPr>
          <w:rFonts w:ascii="Arial" w:cs="Arial" w:eastAsia="Arial" w:hAnsi="Arial"/>
          <w:i/>
          <w:iCs/>
          <w:color w:val="777777"/>
          <w:sz w:val="22"/>
          <w:szCs w:val="22"/>
        </w:rPr>
        <w:t xml:space="preserve">Note: A formal UML Use Case Diagram (.svg / .png) can be generated from this document using tools such as PlantUML, Lucidchart, or draw.io using the actor and use case IDs defined in Section 2.</w:t>
      </w:r>
    </w:p>
    <w:p>
      <w:r>
        <w:br w:type="page"/>
      </w:r>
    </w:p>
    <w:p>
      <w:pPr>
        <w:pStyle w:val="Heading1"/>
        <w:spacing w:before="320" w:after="160"/>
      </w:pPr>
      <w:r>
        <w:rPr>
          <w:rFonts w:ascii="Arial" w:cs="Arial" w:eastAsia="Arial" w:hAnsi="Arial"/>
          <w:b/>
          <w:bCs/>
          <w:color w:val="00695C"/>
          <w:sz w:val="32"/>
          <w:szCs w:val="32"/>
        </w:rPr>
        <w:t xml:space="preserve">4. Use Case Summary</w:t>
      </w:r>
    </w:p>
    <w:p>
      <w:pPr>
        <w:spacing w:before="80" w:after="80"/>
      </w:pPr>
      <w:r>
        <w:rPr>
          <w:rFonts w:ascii="Arial" w:cs="Arial" w:eastAsia="Arial" w:hAnsi="Arial"/>
          <w:sz w:val="22"/>
          <w:szCs w:val="22"/>
        </w:rPr>
        <w:t xml:space="preserve">The table below provides a consolidated summary of all 33 identified use cases across actors: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800"/>
        <w:gridCol w:w="3160"/>
      </w:tblGrid>
      <w:tr>
        <w:trPr>
          <w:tblHeader/>
        </w:trPr>
        <w:tc>
          <w:tcPr>
            <w:tcW w:type="dxa" w:w="9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UC ID</w:t>
            </w:r>
          </w:p>
        </w:tc>
        <w:tc>
          <w:tcPr>
            <w:tcW w:type="dxa" w:w="25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280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Primary Actor</w:t>
            </w:r>
          </w:p>
        </w:tc>
        <w:tc>
          <w:tcPr>
            <w:tcW w:type="dxa" w:w="3160"/>
            <w:tcBorders>
              <w:top w:val="single" w:color="CCCCCC" w:sz="1"/>
              <w:left w:val="single" w:color="CCCCCC" w:sz="1"/>
              <w:bottom w:val="single" w:color="CCCCCC" w:sz="1"/>
              <w:right w:val="single" w:color="CCCCCC" w:sz="1"/>
            </w:tcBorders>
            <w:shd w:fill="00897B" w:val="clear"/>
            <w:tcMar>
              <w:top w:type="dxa" w:w="100"/>
              <w:left w:type="dxa" w:w="120"/>
              <w:bottom w:type="dxa" w:w="100"/>
              <w:right w:type="dxa" w:w="120"/>
            </w:tcMar>
          </w:tcPr>
          <w:p>
            <w:r>
              <w:rPr>
                <w:rFonts w:ascii="Arial" w:cs="Arial" w:eastAsia="Arial" w:hAnsi="Arial"/>
                <w:b/>
                <w:bCs/>
                <w:color w:val="FFFFFF"/>
                <w:sz w:val="20"/>
                <w:szCs w:val="20"/>
              </w:rPr>
              <w:t xml:space="preserve">Secondary Actor(s)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Register &amp; Create Account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Payment Gateway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Add Visa Case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View Real-Time Case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Receive Notifications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Upload &amp; Manage Documents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AI/ML Engine (OCR), Blockchain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View Processing Timeline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Interact with AI Chatbot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UC-08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Manage Notification Preferences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Link Family Cases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Verify Document Authenticity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Individual Applicant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Blockchain Ledger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 Client Portfolio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Bulk Import Cases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Invite Client to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Generate Compliance Reports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Set Case Deadlines &amp; Reminders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Integrate Billing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Payment Gateway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Assess Case Risk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Immigration Attorney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UC-18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Track Employee Visa Portfolio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Generate Compliance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Forecast Hiring Timelines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 Team Collaboration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API Integration with HRIS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Receive Expiry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Corporate HR Manager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Track International Student Visas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University DSO / Admin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Ensure SEVP Compliance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University DSO / 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Perform Batch Operations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University DSO / Admin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Generate Custom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University DSO / Admin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AI/ML Engine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UC-28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Alert Students of Status Changes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University DSO / Admin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Notification Service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UC-29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Manage User Accounts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Administrator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UC-30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Configure Government API Connections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 Administrator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Government APIs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UC-31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Monitor System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Administrator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UC-32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Manage Subscription Plans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System Administrator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20"/>
                <w:szCs w:val="20"/>
              </w:rPr>
              <w:t xml:space="preserve">Payment Gateway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UC-33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Audit Security &amp; Compliance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Administrator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Blockchain Ledger</w:t>
            </w:r>
          </w:p>
        </w:tc>
      </w:tr>
    </w:tbl>
    <w:p>
      <w:pPr>
        <w:spacing w:before="80" w:after="80"/>
      </w:pPr>
    </w:p>
    <w:p>
      <w:pPr>
        <w:spacing w:before="80" w:after="80"/>
      </w:pPr>
    </w:p>
    <w:p>
      <w:pPr>
        <w:spacing w:before="240"/>
        <w:jc w:val="center"/>
      </w:pPr>
      <w:r>
        <w:rPr>
          <w:rFonts w:ascii="Arial" w:cs="Arial" w:eastAsia="Arial" w:hAnsi="Arial"/>
          <w:i/>
          <w:iCs/>
          <w:color w:val="999999"/>
          <w:sz w:val="20"/>
          <w:szCs w:val="20"/>
        </w:rPr>
        <w:t xml:space="preserve">— End of Document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69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89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2026-03-10T02:38:23.321Z</dcterms:created>
  <dcterms:modified xsi:type="dcterms:W3CDTF">2026-03-10T02:38:23.322Z</dcterms:modified>
</cp:coreProperties>
</file>

<file path=docProps/custom.xml><?xml version="1.0" encoding="utf-8"?>
<Properties xmlns="http://schemas.openxmlformats.org/officeDocument/2006/custom-properties" xmlns:vt="http://schemas.openxmlformats.org/officeDocument/2006/docPropsVTypes"/>
</file>