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Arial" w:hAnsi="Arial"/>
          <w:b/>
          <w:color w:val="2E7D6B"/>
          <w:sz w:val="22"/>
        </w:rPr>
        <w:t>IMPORTREADY AI</w:t>
      </w:r>
    </w:p>
    <w:p>
      <w:pPr>
        <w:pStyle w:val="Title"/>
      </w:pPr>
      <w:r>
        <w:t>US Import Risk Compliance Research</w:t>
      </w:r>
    </w:p>
    <w:p>
      <w:pPr>
        <w:spacing w:after="360"/>
      </w:pPr>
      <w:r>
        <w:rPr>
          <w:rFonts w:ascii="Arial" w:hAnsi="Arial"/>
          <w:color w:val="2F6B9A"/>
          <w:sz w:val="28"/>
        </w:rPr>
        <w:t>Children's toys and small consumer electronics</w:t>
      </w:r>
    </w:p>
    <w:tbl>
      <w:tblPr>
        <w:tblW w:type="auto" w:w="0"/>
        <w:jc w:val="center"/>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pPr>
              <w:spacing w:after="60"/>
            </w:pPr>
            <w:r>
              <w:rPr>
                <w:rFonts w:ascii="Arial" w:hAnsi="Arial"/>
                <w:b/>
                <w:color w:val="17324D"/>
                <w:sz w:val="20"/>
              </w:rPr>
              <w:t>Scope</w:t>
            </w:r>
          </w:p>
          <w:p>
            <w:pPr>
              <w:spacing w:after="0" w:line="252" w:lineRule="auto"/>
            </w:pPr>
            <w:r>
              <w:rPr>
                <w:rFonts w:ascii="Arial" w:hAnsi="Arial"/>
                <w:sz w:val="18"/>
              </w:rPr>
              <w:t>USA market and Amazon/eBay seller workflows. Wooden blocks and Bluetooth earphones are demonstration examples only. The dataset covers two broad product categories and applies rules through product attributes.</w:t>
            </w:r>
          </w:p>
        </w:tc>
      </w:tr>
    </w:tbl>
    <w:p>
      <w:pPr>
        <w:spacing w:after="0"/>
      </w:pP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456"/>
            <w:vAlign w:val="center"/>
            <w:tcMar>
              <w:top w:w="60" w:type="dxa"/>
              <w:start w:w="70" w:type="dxa"/>
              <w:bottom w:w="60" w:type="dxa"/>
              <w:end w:w="70" w:type="dxa"/>
            </w:tcMar>
            <w:shd w:fill="17324D"/>
          </w:tcPr>
          <w:p>
            <w:pPr>
              <w:spacing w:after="0" w:line="240" w:lineRule="auto"/>
            </w:pPr>
            <w:r/>
            <w:r>
              <w:rPr>
                <w:rFonts w:ascii="Arial" w:hAnsi="Arial"/>
                <w:b/>
                <w:color w:val="FFFFFF"/>
                <w:sz w:val="18"/>
              </w:rPr>
              <w:t>Deliverable</w:t>
            </w:r>
          </w:p>
        </w:tc>
        <w:tc>
          <w:tcPr>
            <w:tcW w:type="dxa" w:w="6624"/>
            <w:vAlign w:val="center"/>
            <w:tcMar>
              <w:top w:w="60" w:type="dxa"/>
              <w:start w:w="70" w:type="dxa"/>
              <w:bottom w:w="60" w:type="dxa"/>
              <w:end w:w="70" w:type="dxa"/>
            </w:tcMar>
            <w:shd w:fill="17324D"/>
          </w:tcPr>
          <w:p>
            <w:pPr>
              <w:spacing w:after="0" w:line="240" w:lineRule="auto"/>
            </w:pPr>
            <w:r/>
            <w:r>
              <w:rPr>
                <w:rFonts w:ascii="Arial" w:hAnsi="Arial"/>
                <w:b/>
                <w:color w:val="FFFFFF"/>
                <w:sz w:val="18"/>
              </w:rPr>
              <w:t>Included</w:t>
            </w:r>
          </w:p>
        </w:tc>
      </w:tr>
      <w:tr>
        <w:trPr>
          <w:cantSplit/>
        </w:trPr>
        <w:tc>
          <w:tcPr>
            <w:tcW w:type="dxa" w:w="3456"/>
            <w:vAlign w:val="center"/>
            <w:tcMar>
              <w:top w:w="60" w:type="dxa"/>
              <w:start w:w="70" w:type="dxa"/>
              <w:bottom w:w="60" w:type="dxa"/>
              <w:end w:w="70" w:type="dxa"/>
            </w:tcMar>
          </w:tcPr>
          <w:p>
            <w:pPr>
              <w:spacing w:after="0" w:line="240" w:lineRule="auto"/>
            </w:pPr>
            <w:r/>
            <w:r>
              <w:rPr>
                <w:rFonts w:ascii="Arial" w:hAnsi="Arial"/>
                <w:b w:val="0"/>
                <w:sz w:val="18"/>
              </w:rPr>
              <w:t>Product attribute taxonomy</w:t>
            </w:r>
          </w:p>
        </w:tc>
        <w:tc>
          <w:tcPr>
            <w:tcW w:type="dxa" w:w="6624"/>
            <w:vAlign w:val="center"/>
            <w:tcMar>
              <w:top w:w="60" w:type="dxa"/>
              <w:start w:w="70" w:type="dxa"/>
              <w:bottom w:w="60" w:type="dxa"/>
              <w:end w:w="70" w:type="dxa"/>
            </w:tcMar>
          </w:tcPr>
          <w:p>
            <w:pPr>
              <w:spacing w:after="0" w:line="240" w:lineRule="auto"/>
            </w:pPr>
            <w:r/>
            <w:r>
              <w:rPr>
                <w:rFonts w:ascii="Arial" w:hAnsi="Arial"/>
                <w:b w:val="0"/>
                <w:sz w:val="18"/>
              </w:rPr>
              <w:t>49 routing attributes</w:t>
            </w:r>
          </w:p>
        </w:tc>
      </w:tr>
      <w:tr>
        <w:trPr>
          <w:cantSplit/>
        </w:trPr>
        <w:tc>
          <w:tcPr>
            <w:tcW w:type="dxa" w:w="3456"/>
            <w:vAlign w:val="center"/>
            <w:tcMar>
              <w:top w:w="60" w:type="dxa"/>
              <w:start w:w="70" w:type="dxa"/>
              <w:bottom w:w="60" w:type="dxa"/>
              <w:end w:w="70" w:type="dxa"/>
            </w:tcMar>
            <w:shd w:fill="F5F7F9"/>
          </w:tcPr>
          <w:p>
            <w:pPr>
              <w:spacing w:after="0" w:line="240" w:lineRule="auto"/>
            </w:pPr>
            <w:r/>
            <w:r>
              <w:rPr>
                <w:rFonts w:ascii="Arial" w:hAnsi="Arial"/>
                <w:b w:val="0"/>
                <w:sz w:val="18"/>
              </w:rPr>
              <w:t>Compliance rule matrix</w:t>
            </w:r>
          </w:p>
        </w:tc>
        <w:tc>
          <w:tcPr>
            <w:tcW w:type="dxa" w:w="6624"/>
            <w:vAlign w:val="center"/>
            <w:tcMar>
              <w:top w:w="60" w:type="dxa"/>
              <w:start w:w="70" w:type="dxa"/>
              <w:bottom w:w="60" w:type="dxa"/>
              <w:end w:w="70" w:type="dxa"/>
            </w:tcMar>
            <w:shd w:fill="F5F7F9"/>
          </w:tcPr>
          <w:p>
            <w:pPr>
              <w:spacing w:after="0" w:line="240" w:lineRule="auto"/>
            </w:pPr>
            <w:r/>
            <w:r>
              <w:rPr>
                <w:rFonts w:ascii="Arial" w:hAnsi="Arial"/>
                <w:b w:val="0"/>
                <w:sz w:val="18"/>
              </w:rPr>
              <w:t>41 condition-based rules</w:t>
            </w:r>
          </w:p>
        </w:tc>
      </w:tr>
      <w:tr>
        <w:trPr>
          <w:cantSplit/>
        </w:trPr>
        <w:tc>
          <w:tcPr>
            <w:tcW w:type="dxa" w:w="3456"/>
            <w:vAlign w:val="center"/>
            <w:tcMar>
              <w:top w:w="60" w:type="dxa"/>
              <w:start w:w="70" w:type="dxa"/>
              <w:bottom w:w="60" w:type="dxa"/>
              <w:end w:w="70" w:type="dxa"/>
            </w:tcMar>
          </w:tcPr>
          <w:p>
            <w:pPr>
              <w:spacing w:after="0" w:line="240" w:lineRule="auto"/>
            </w:pPr>
            <w:r/>
            <w:r>
              <w:rPr>
                <w:rFonts w:ascii="Arial" w:hAnsi="Arial"/>
                <w:b w:val="0"/>
                <w:sz w:val="18"/>
              </w:rPr>
              <w:t>Source registry</w:t>
            </w:r>
          </w:p>
        </w:tc>
        <w:tc>
          <w:tcPr>
            <w:tcW w:type="dxa" w:w="6624"/>
            <w:vAlign w:val="center"/>
            <w:tcMar>
              <w:top w:w="60" w:type="dxa"/>
              <w:start w:w="70" w:type="dxa"/>
              <w:bottom w:w="60" w:type="dxa"/>
              <w:end w:w="70" w:type="dxa"/>
            </w:tcMar>
          </w:tcPr>
          <w:p>
            <w:pPr>
              <w:spacing w:after="0" w:line="240" w:lineRule="auto"/>
            </w:pPr>
            <w:r/>
            <w:r>
              <w:rPr>
                <w:rFonts w:ascii="Arial" w:hAnsi="Arial"/>
                <w:b w:val="0"/>
                <w:sz w:val="18"/>
              </w:rPr>
              <w:t>51 canonical sources with evidence and status</w:t>
            </w:r>
          </w:p>
        </w:tc>
      </w:tr>
      <w:tr>
        <w:trPr>
          <w:cantSplit/>
        </w:trPr>
        <w:tc>
          <w:tcPr>
            <w:tcW w:type="dxa" w:w="3456"/>
            <w:vAlign w:val="center"/>
            <w:tcMar>
              <w:top w:w="60" w:type="dxa"/>
              <w:start w:w="70" w:type="dxa"/>
              <w:bottom w:w="60" w:type="dxa"/>
              <w:end w:w="70" w:type="dxa"/>
            </w:tcMar>
            <w:shd w:fill="F5F7F9"/>
          </w:tcPr>
          <w:p>
            <w:pPr>
              <w:spacing w:after="0" w:line="240" w:lineRule="auto"/>
            </w:pPr>
            <w:r/>
            <w:r>
              <w:rPr>
                <w:rFonts w:ascii="Arial" w:hAnsi="Arial"/>
                <w:b w:val="0"/>
                <w:sz w:val="18"/>
              </w:rPr>
              <w:t>Cost dataset</w:t>
            </w:r>
          </w:p>
        </w:tc>
        <w:tc>
          <w:tcPr>
            <w:tcW w:type="dxa" w:w="6624"/>
            <w:vAlign w:val="center"/>
            <w:tcMar>
              <w:top w:w="60" w:type="dxa"/>
              <w:start w:w="70" w:type="dxa"/>
              <w:bottom w:w="60" w:type="dxa"/>
              <w:end w:w="70" w:type="dxa"/>
            </w:tcMar>
            <w:shd w:fill="F5F7F9"/>
          </w:tcPr>
          <w:p>
            <w:pPr>
              <w:spacing w:after="0" w:line="240" w:lineRule="auto"/>
            </w:pPr>
            <w:r/>
            <w:r>
              <w:rPr>
                <w:rFonts w:ascii="Arial" w:hAnsi="Arial"/>
                <w:b w:val="0"/>
                <w:sz w:val="18"/>
              </w:rPr>
              <w:t>8 non-invented public cost records</w:t>
            </w:r>
          </w:p>
        </w:tc>
      </w:tr>
      <w:tr>
        <w:trPr>
          <w:cantSplit/>
        </w:trPr>
        <w:tc>
          <w:tcPr>
            <w:tcW w:type="dxa" w:w="3456"/>
            <w:vAlign w:val="center"/>
            <w:tcMar>
              <w:top w:w="60" w:type="dxa"/>
              <w:start w:w="70" w:type="dxa"/>
              <w:bottom w:w="60" w:type="dxa"/>
              <w:end w:w="70" w:type="dxa"/>
            </w:tcMar>
          </w:tcPr>
          <w:p>
            <w:pPr>
              <w:spacing w:after="0" w:line="240" w:lineRule="auto"/>
            </w:pPr>
            <w:r/>
            <w:r>
              <w:rPr>
                <w:rFonts w:ascii="Arial" w:hAnsi="Arial"/>
                <w:b w:val="0"/>
                <w:sz w:val="18"/>
              </w:rPr>
              <w:t>Gaps and conflicts</w:t>
            </w:r>
          </w:p>
        </w:tc>
        <w:tc>
          <w:tcPr>
            <w:tcW w:type="dxa" w:w="6624"/>
            <w:vAlign w:val="center"/>
            <w:tcMar>
              <w:top w:w="60" w:type="dxa"/>
              <w:start w:w="70" w:type="dxa"/>
              <w:bottom w:w="60" w:type="dxa"/>
              <w:end w:w="70" w:type="dxa"/>
            </w:tcMar>
          </w:tcPr>
          <w:p>
            <w:pPr>
              <w:spacing w:after="0" w:line="240" w:lineRule="auto"/>
            </w:pPr>
            <w:r/>
            <w:r>
              <w:rPr>
                <w:rFonts w:ascii="Arial" w:hAnsi="Arial"/>
                <w:b w:val="0"/>
                <w:sz w:val="18"/>
              </w:rPr>
              <w:t>14 explicit unresolved items</w:t>
            </w:r>
          </w:p>
        </w:tc>
      </w:tr>
      <w:tr>
        <w:trPr>
          <w:cantSplit/>
        </w:trPr>
        <w:tc>
          <w:tcPr>
            <w:tcW w:type="dxa" w:w="3456"/>
            <w:vAlign w:val="center"/>
            <w:tcMar>
              <w:top w:w="60" w:type="dxa"/>
              <w:start w:w="70" w:type="dxa"/>
              <w:bottom w:w="60" w:type="dxa"/>
              <w:end w:w="70" w:type="dxa"/>
            </w:tcMar>
            <w:shd w:fill="F5F7F9"/>
          </w:tcPr>
          <w:p>
            <w:pPr>
              <w:spacing w:after="0" w:line="240" w:lineRule="auto"/>
            </w:pPr>
            <w:r/>
            <w:r>
              <w:rPr>
                <w:rFonts w:ascii="Arial" w:hAnsi="Arial"/>
                <w:b w:val="0"/>
                <w:sz w:val="18"/>
              </w:rPr>
              <w:t>Four-day MVP subset</w:t>
            </w:r>
          </w:p>
        </w:tc>
        <w:tc>
          <w:tcPr>
            <w:tcW w:type="dxa" w:w="6624"/>
            <w:vAlign w:val="center"/>
            <w:tcMar>
              <w:top w:w="60" w:type="dxa"/>
              <w:start w:w="70" w:type="dxa"/>
              <w:bottom w:w="60" w:type="dxa"/>
              <w:end w:w="70" w:type="dxa"/>
            </w:tcMar>
            <w:shd w:fill="F5F7F9"/>
          </w:tcPr>
          <w:p>
            <w:pPr>
              <w:spacing w:after="0" w:line="240" w:lineRule="auto"/>
            </w:pPr>
            <w:r/>
            <w:r>
              <w:rPr>
                <w:rFonts w:ascii="Arial" w:hAnsi="Arial"/>
                <w:b w:val="0"/>
                <w:sz w:val="18"/>
              </w:rPr>
              <w:t>16 scoped modules and controls</w:t>
            </w:r>
          </w:p>
        </w:tc>
      </w:tr>
    </w:tbl>
    <w:p>
      <w:pPr>
        <w:spacing w:after="0"/>
      </w:pPr>
    </w:p>
    <w:p>
      <w:pPr>
        <w:pStyle w:val="SmallNote"/>
      </w:pPr>
      <w:r>
        <w:t>Research dataset for MVP design, not legal advice. Applicability depends on the finished product, claims, age grading, construction, components, shipping configuration, and sales jurisdictions.</w:t>
      </w:r>
    </w:p>
    <w:p>
      <w:r>
        <w:br w:type="page"/>
      </w:r>
    </w:p>
    <w:p>
      <w:pPr>
        <w:pStyle w:val="Heading1"/>
      </w:pPr>
      <w:r>
        <w:t>Executive findings</w:t>
      </w:r>
    </w:p>
    <w:p>
      <w:r>
        <w:t>The MVP should be a rule router, not a product checklist. A product can trigger several legal layers at once. A child-targeted wireless device can be a toy or children's product, an FCC radio-frequency device, a lithium-battery shipment, a DOE-covered charger or power supply, and an Amazon or eBay listing.</w:t>
      </w:r>
    </w:p>
    <w:p>
      <w:pPr>
        <w:pStyle w:val="ListBullet"/>
        <w:spacing w:after="40"/>
      </w:pPr>
      <w:r>
        <w:t>Children's toys need age and intent classification before any test list is generated. ASTM F963 covers toys under 14, while the CPSC third-party testing and Children's Product Certificate framework applies to products intended primarily for children 12 or younger. </w:t>
      </w:r>
      <w:r>
        <w:footnoteReference w:id="1"/>
      </w:r>
    </w:p>
    <w:p>
      <w:pPr>
        <w:pStyle w:val="ListBullet"/>
        <w:spacing w:after="40"/>
      </w:pPr>
      <w:r>
        <w:t>ASTM F963-23 is the current incorporated toy standard. The applicable sections depend on age, materials, construction, and features; a generic ‘ASTM F963 test’ is not enough. Lab reports should identify the 2023 edition and the exact tested sections. </w:t>
      </w:r>
      <w:r>
        <w:footnoteReference w:id="2"/>
      </w:r>
    </w:p>
    <w:p>
      <w:pPr>
        <w:pStyle w:val="ListBullet"/>
        <w:spacing w:after="40"/>
      </w:pPr>
      <w:r>
        <w:t>Small consumer electronics split first into intentional radiators, unintentional radiators, and exempt devices. Bluetooth and Wi-Fi usually trigger certification; digital circuitry can still require SDoC or certification even without a transmitter. </w:t>
      </w:r>
      <w:r>
        <w:footnoteReference w:id="3"/>
      </w:r>
    </w:p>
    <w:p>
      <w:pPr>
        <w:pStyle w:val="ListBullet"/>
        <w:spacing w:after="40"/>
      </w:pPr>
      <w:r>
        <w:t>A certified radio module reduces some transmitter work only when the host follows the grant and integration conditions. Host emissions, exposure, labels, and manual content still need review.</w:t>
      </w:r>
    </w:p>
    <w:p>
      <w:pPr>
        <w:pStyle w:val="ListBullet"/>
        <w:spacing w:after="40"/>
      </w:pPr>
      <w:r>
        <w:t>Lithium battery compliance is a transport workstream. UN 38.3, the test summary, watt-hour or lithium-content thresholds, packaging configuration, and shipment mode should not be merged with FCC or electrical-safety certification. </w:t>
      </w:r>
      <w:r>
        <w:footnoteReference w:id="4"/>
      </w:r>
    </w:p>
    <w:p>
      <w:pPr>
        <w:pStyle w:val="ListBullet"/>
        <w:spacing w:after="40"/>
      </w:pPr>
      <w:r>
        <w:t>Button and coin cells create different routes for toys and non-toy products. Compliant toys follow ASTM F963 battery accessibility, while non-toy consumer products generally follow 16 CFR part 1263 and UL 4200A-2023; separately packaged batteries add packaging duties. </w:t>
      </w:r>
      <w:r>
        <w:footnoteReference w:id="5"/>
      </w:r>
    </w:p>
    <w:p>
      <w:pPr>
        <w:pStyle w:val="ListBullet"/>
        <w:spacing w:after="40"/>
      </w:pPr>
      <w:r>
        <w:t>Amazon and eBay rules can be stricter or more procedural than federal law. Amazon now routes children's toys and specified rechargeable lithium products through approved providers; eBay expressly prohibits several magnet, battery, water-bead, and unauthorized-radio listings. </w:t>
      </w:r>
      <w:r>
        <w:footnoteReference w:id="6"/>
      </w:r>
    </w:p>
    <w:tbl>
      <w:tblPr>
        <w:tblW w:type="auto" w:w="0"/>
        <w:jc w:val="center"/>
        <w:tblLook w:firstColumn="1" w:firstRow="1" w:lastColumn="0" w:lastRow="0" w:noHBand="0" w:noVBand="1" w:val="04A0"/>
      </w:tblPr>
      <w:tblGrid>
        <w:gridCol w:w="10224"/>
      </w:tblGrid>
      <w:tr>
        <w:tc>
          <w:tcPr>
            <w:tcW w:type="dxa" w:w="10224"/>
            <w:shd w:fill="E6F4EA"/>
            <w:tcMar>
              <w:top w:w="120" w:type="dxa"/>
              <w:start w:w="140" w:type="dxa"/>
              <w:bottom w:w="120" w:type="dxa"/>
              <w:end w:w="140" w:type="dxa"/>
            </w:tcMar>
          </w:tcPr>
          <w:p>
            <w:pPr>
              <w:spacing w:after="60"/>
            </w:pPr>
            <w:r>
              <w:rPr>
                <w:rFonts w:ascii="Arial" w:hAnsi="Arial"/>
                <w:b/>
                <w:color w:val="17324D"/>
                <w:sz w:val="20"/>
              </w:rPr>
              <w:t>Recommended launch posture</w:t>
            </w:r>
          </w:p>
          <w:p>
            <w:pPr>
              <w:spacing w:after="0" w:line="252" w:lineRule="auto"/>
            </w:pPr>
            <w:r>
              <w:rPr>
                <w:rFonts w:ascii="Arial" w:hAnsi="Arial"/>
                <w:sz w:val="18"/>
              </w:rPr>
              <w:t>Ship the P0 taxonomy, source-linked rule cards, evidence tasks, and uncertainty states. Do not ship automated green passes. Specialty toys, state-law depth, carrier-specific shipping, detailed RF coexistence, and the FCC 2026 proposal should remain escalation paths.</w:t>
            </w:r>
          </w:p>
        </w:tc>
      </w:tr>
    </w:tbl>
    <w:p>
      <w:pPr>
        <w:spacing w:after="0"/>
      </w:pPr>
    </w:p>
    <w:p>
      <w:r>
        <w:br w:type="page"/>
      </w:r>
    </w:p>
    <w:p>
      <w:pPr>
        <w:pStyle w:val="Heading1"/>
      </w:pPr>
      <w:r>
        <w:t>Research method</w:t>
      </w:r>
    </w:p>
    <w:p>
      <w:r>
        <w:t>The research prioritized current federal regulations and government guidance, followed by official marketplace policies and recognized standards or testing organizations. Search-result snippets were used only to locate sources, never as evidence. Each trusted record preserves a canonical URL, authority, title, source type, jurisdiction, topics, access date, update date, supporting evidence, and verification status.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vAlign w:val="center"/>
            <w:tcMar>
              <w:top w:w="60" w:type="dxa"/>
              <w:start w:w="70" w:type="dxa"/>
              <w:bottom w:w="60" w:type="dxa"/>
              <w:end w:w="70" w:type="dxa"/>
            </w:tcMar>
            <w:shd w:fill="17324D"/>
          </w:tcPr>
          <w:p>
            <w:pPr>
              <w:spacing w:after="0" w:line="240" w:lineRule="auto"/>
            </w:pPr>
            <w:r/>
            <w:r>
              <w:rPr>
                <w:rFonts w:ascii="Arial" w:hAnsi="Arial"/>
                <w:b/>
                <w:color w:val="FFFFFF"/>
                <w:sz w:val="17"/>
              </w:rPr>
              <w:t>Status</w:t>
            </w:r>
          </w:p>
        </w:tc>
        <w:tc>
          <w:tcPr>
            <w:tcW w:type="dxa" w:w="8136"/>
            <w:vAlign w:val="center"/>
            <w:tcMar>
              <w:top w:w="60" w:type="dxa"/>
              <w:start w:w="70" w:type="dxa"/>
              <w:bottom w:w="60" w:type="dxa"/>
              <w:end w:w="70" w:type="dxa"/>
            </w:tcMar>
            <w:shd w:fill="17324D"/>
          </w:tcPr>
          <w:p>
            <w:pPr>
              <w:spacing w:after="0" w:line="240" w:lineRule="auto"/>
            </w:pPr>
            <w:r/>
            <w:r>
              <w:rPr>
                <w:rFonts w:ascii="Arial" w:hAnsi="Arial"/>
                <w:b/>
                <w:color w:val="FFFFFF"/>
                <w:sz w:val="17"/>
              </w:rPr>
              <w:t>Meaning in the MVP</w:t>
            </w:r>
          </w:p>
        </w:tc>
      </w:tr>
      <w:tr>
        <w:trPr>
          <w:cantSplit/>
        </w:trPr>
        <w:tc>
          <w:tcPr>
            <w:tcW w:type="dxa" w:w="1944"/>
            <w:vAlign w:val="center"/>
            <w:tcMar>
              <w:top w:w="60" w:type="dxa"/>
              <w:start w:w="70" w:type="dxa"/>
              <w:bottom w:w="60" w:type="dxa"/>
              <w:end w:w="70" w:type="dxa"/>
            </w:tcMar>
          </w:tcPr>
          <w:p>
            <w:pPr>
              <w:spacing w:after="0" w:line="240" w:lineRule="auto"/>
            </w:pPr>
            <w:r/>
            <w:r>
              <w:rPr>
                <w:rFonts w:ascii="Arial" w:hAnsi="Arial"/>
                <w:b w:val="0"/>
                <w:sz w:val="17"/>
              </w:rPr>
              <w:t>VERIFIED</w:t>
            </w:r>
          </w:p>
        </w:tc>
        <w:tc>
          <w:tcPr>
            <w:tcW w:type="dxa" w:w="8136"/>
            <w:vAlign w:val="center"/>
            <w:tcMar>
              <w:top w:w="60" w:type="dxa"/>
              <w:start w:w="70" w:type="dxa"/>
              <w:bottom w:w="60" w:type="dxa"/>
              <w:end w:w="70" w:type="dxa"/>
            </w:tcMar>
          </w:tcPr>
          <w:p>
            <w:pPr>
              <w:spacing w:after="0" w:line="240" w:lineRule="auto"/>
            </w:pPr>
            <w:r/>
            <w:r>
              <w:rPr>
                <w:rFonts w:ascii="Arial" w:hAnsi="Arial"/>
                <w:b w:val="0"/>
                <w:sz w:val="17"/>
              </w:rPr>
              <w:t>The recorded claim was checked against the cited authoritative page.</w:t>
            </w:r>
          </w:p>
        </w:tc>
      </w:tr>
      <w:tr>
        <w:trPr>
          <w:cantSplit/>
        </w:trPr>
        <w:tc>
          <w:tcPr>
            <w:tcW w:type="dxa" w:w="1944"/>
            <w:vAlign w:val="center"/>
            <w:tcMar>
              <w:top w:w="60" w:type="dxa"/>
              <w:start w:w="70" w:type="dxa"/>
              <w:bottom w:w="60" w:type="dxa"/>
              <w:end w:w="70" w:type="dxa"/>
            </w:tcMar>
            <w:shd w:fill="F5F7F9"/>
          </w:tcPr>
          <w:p>
            <w:pPr>
              <w:spacing w:after="0" w:line="240" w:lineRule="auto"/>
            </w:pPr>
            <w:r/>
            <w:r>
              <w:rPr>
                <w:rFonts w:ascii="Arial" w:hAnsi="Arial"/>
                <w:b w:val="0"/>
                <w:sz w:val="17"/>
              </w:rPr>
              <w:t>UNVERIFIED</w:t>
            </w:r>
          </w:p>
        </w:tc>
        <w:tc>
          <w:tcPr>
            <w:tcW w:type="dxa" w:w="8136"/>
            <w:vAlign w:val="center"/>
            <w:tcMar>
              <w:top w:w="60" w:type="dxa"/>
              <w:start w:w="70" w:type="dxa"/>
              <w:bottom w:w="60" w:type="dxa"/>
              <w:end w:w="70" w:type="dxa"/>
            </w:tcMar>
            <w:shd w:fill="F5F7F9"/>
          </w:tcPr>
          <w:p>
            <w:pPr>
              <w:spacing w:after="0" w:line="240" w:lineRule="auto"/>
            </w:pPr>
            <w:r/>
            <w:r>
              <w:rPr>
                <w:rFonts w:ascii="Arial" w:hAnsi="Arial"/>
                <w:b w:val="0"/>
                <w:sz w:val="17"/>
              </w:rPr>
              <w:t>The source body or product facts were insufficient. Human review is required.</w:t>
            </w:r>
          </w:p>
        </w:tc>
      </w:tr>
      <w:tr>
        <w:trPr>
          <w:cantSplit/>
        </w:trPr>
        <w:tc>
          <w:tcPr>
            <w:tcW w:type="dxa" w:w="1944"/>
            <w:vAlign w:val="center"/>
            <w:tcMar>
              <w:top w:w="60" w:type="dxa"/>
              <w:start w:w="70" w:type="dxa"/>
              <w:bottom w:w="60" w:type="dxa"/>
              <w:end w:w="70" w:type="dxa"/>
            </w:tcMar>
          </w:tcPr>
          <w:p>
            <w:pPr>
              <w:spacing w:after="0" w:line="240" w:lineRule="auto"/>
            </w:pPr>
            <w:r/>
            <w:r>
              <w:rPr>
                <w:rFonts w:ascii="Arial" w:hAnsi="Arial"/>
                <w:b w:val="0"/>
                <w:sz w:val="17"/>
              </w:rPr>
              <w:t>CONFLICT</w:t>
            </w:r>
          </w:p>
        </w:tc>
        <w:tc>
          <w:tcPr>
            <w:tcW w:type="dxa" w:w="8136"/>
            <w:vAlign w:val="center"/>
            <w:tcMar>
              <w:top w:w="60" w:type="dxa"/>
              <w:start w:w="70" w:type="dxa"/>
              <w:bottom w:w="60" w:type="dxa"/>
              <w:end w:w="70" w:type="dxa"/>
            </w:tcMar>
          </w:tcPr>
          <w:p>
            <w:pPr>
              <w:spacing w:after="0" w:line="240" w:lineRule="auto"/>
            </w:pPr>
            <w:r/>
            <w:r>
              <w:rPr>
                <w:rFonts w:ascii="Arial" w:hAnsi="Arial"/>
                <w:b w:val="0"/>
                <w:sz w:val="17"/>
              </w:rPr>
              <w:t>The product can route to competing or cumulative regimes; do not resolve silently.</w:t>
            </w:r>
          </w:p>
        </w:tc>
      </w:tr>
      <w:tr>
        <w:trPr>
          <w:cantSplit/>
        </w:trPr>
        <w:tc>
          <w:tcPr>
            <w:tcW w:type="dxa" w:w="1944"/>
            <w:vAlign w:val="center"/>
            <w:tcMar>
              <w:top w:w="60" w:type="dxa"/>
              <w:start w:w="70" w:type="dxa"/>
              <w:bottom w:w="60" w:type="dxa"/>
              <w:end w:w="70" w:type="dxa"/>
            </w:tcMar>
            <w:shd w:fill="F5F7F9"/>
          </w:tcPr>
          <w:p>
            <w:pPr>
              <w:spacing w:after="0" w:line="240" w:lineRule="auto"/>
            </w:pPr>
            <w:r/>
            <w:r>
              <w:rPr>
                <w:rFonts w:ascii="Arial" w:hAnsi="Arial"/>
                <w:b w:val="0"/>
                <w:sz w:val="17"/>
              </w:rPr>
              <w:t>NOT FOUND</w:t>
            </w:r>
          </w:p>
        </w:tc>
        <w:tc>
          <w:tcPr>
            <w:tcW w:type="dxa" w:w="8136"/>
            <w:vAlign w:val="center"/>
            <w:tcMar>
              <w:top w:w="60" w:type="dxa"/>
              <w:start w:w="70" w:type="dxa"/>
              <w:bottom w:w="60" w:type="dxa"/>
              <w:end w:w="70" w:type="dxa"/>
            </w:tcMar>
            <w:shd w:fill="F5F7F9"/>
          </w:tcPr>
          <w:p>
            <w:pPr>
              <w:spacing w:after="0" w:line="240" w:lineRule="auto"/>
            </w:pPr>
            <w:r/>
            <w:r>
              <w:rPr>
                <w:rFonts w:ascii="Arial" w:hAnsi="Arial"/>
                <w:b w:val="0"/>
                <w:sz w:val="17"/>
              </w:rPr>
              <w:t>A fact or price was not found. It does not mean the requirement is absent.</w:t>
            </w:r>
          </w:p>
        </w:tc>
      </w:tr>
    </w:tbl>
    <w:p>
      <w:pPr>
        <w:spacing w:after="0"/>
      </w:pPr>
    </w:p>
    <w:p>
      <w:pPr>
        <w:pStyle w:val="Heading1"/>
      </w:pPr>
      <w:r>
        <w:t>Decision model</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296"/>
            <w:vAlign w:val="center"/>
            <w:tcMar>
              <w:top w:w="60" w:type="dxa"/>
              <w:start w:w="70" w:type="dxa"/>
              <w:bottom w:w="60" w:type="dxa"/>
              <w:end w:w="70" w:type="dxa"/>
            </w:tcMar>
            <w:shd w:fill="17324D"/>
          </w:tcPr>
          <w:p>
            <w:pPr>
              <w:spacing w:after="0" w:line="240" w:lineRule="auto"/>
            </w:pPr>
            <w:r/>
            <w:r>
              <w:rPr>
                <w:rFonts w:ascii="Arial" w:hAnsi="Arial"/>
                <w:b/>
                <w:color w:val="FFFFFF"/>
                <w:sz w:val="16"/>
              </w:rPr>
              <w:t>Stage</w:t>
            </w:r>
          </w:p>
        </w:tc>
        <w:tc>
          <w:tcPr>
            <w:tcW w:type="dxa" w:w="4680"/>
            <w:vAlign w:val="center"/>
            <w:tcMar>
              <w:top w:w="60" w:type="dxa"/>
              <w:start w:w="70" w:type="dxa"/>
              <w:bottom w:w="60" w:type="dxa"/>
              <w:end w:w="70" w:type="dxa"/>
            </w:tcMar>
            <w:shd w:fill="17324D"/>
          </w:tcPr>
          <w:p>
            <w:pPr>
              <w:spacing w:after="0" w:line="240" w:lineRule="auto"/>
            </w:pPr>
            <w:r/>
            <w:r>
              <w:rPr>
                <w:rFonts w:ascii="Arial" w:hAnsi="Arial"/>
                <w:b/>
                <w:color w:val="FFFFFF"/>
                <w:sz w:val="16"/>
              </w:rPr>
              <w:t>Question</w:t>
            </w:r>
          </w:p>
        </w:tc>
        <w:tc>
          <w:tcPr>
            <w:tcW w:type="dxa" w:w="4104"/>
            <w:vAlign w:val="center"/>
            <w:tcMar>
              <w:top w:w="60" w:type="dxa"/>
              <w:start w:w="70" w:type="dxa"/>
              <w:bottom w:w="60" w:type="dxa"/>
              <w:end w:w="70" w:type="dxa"/>
            </w:tcMar>
            <w:shd w:fill="17324D"/>
          </w:tcPr>
          <w:p>
            <w:pPr>
              <w:spacing w:after="0" w:line="240" w:lineRule="auto"/>
            </w:pPr>
            <w:r/>
            <w:r>
              <w:rPr>
                <w:rFonts w:ascii="Arial" w:hAnsi="Arial"/>
                <w:b/>
                <w:color w:val="FFFFFF"/>
                <w:sz w:val="16"/>
              </w:rPr>
              <w:t>Output</w:t>
            </w:r>
          </w:p>
        </w:tc>
      </w:tr>
      <w:tr>
        <w:trPr>
          <w:cantSplit/>
        </w:trPr>
        <w:tc>
          <w:tcPr>
            <w:tcW w:type="dxa" w:w="1296"/>
            <w:vAlign w:val="center"/>
            <w:tcMar>
              <w:top w:w="60" w:type="dxa"/>
              <w:start w:w="70" w:type="dxa"/>
              <w:bottom w:w="60" w:type="dxa"/>
              <w:end w:w="70" w:type="dxa"/>
            </w:tcMar>
          </w:tcPr>
          <w:p>
            <w:pPr>
              <w:spacing w:after="0" w:line="240" w:lineRule="auto"/>
            </w:pPr>
            <w:r/>
            <w:r>
              <w:rPr>
                <w:rFonts w:ascii="Arial" w:hAnsi="Arial"/>
                <w:b w:val="0"/>
                <w:sz w:val="16"/>
              </w:rPr>
              <w:t>Product</w:t>
            </w:r>
          </w:p>
        </w:tc>
        <w:tc>
          <w:tcPr>
            <w:tcW w:type="dxa" w:w="4680"/>
            <w:vAlign w:val="center"/>
            <w:tcMar>
              <w:top w:w="60" w:type="dxa"/>
              <w:start w:w="70" w:type="dxa"/>
              <w:bottom w:w="60" w:type="dxa"/>
              <w:end w:w="70" w:type="dxa"/>
            </w:tcMar>
          </w:tcPr>
          <w:p>
            <w:pPr>
              <w:spacing w:after="0" w:line="240" w:lineRule="auto"/>
            </w:pPr>
            <w:r/>
            <w:r>
              <w:rPr>
                <w:rFonts w:ascii="Arial" w:hAnsi="Arial"/>
                <w:b w:val="0"/>
                <w:sz w:val="16"/>
              </w:rPr>
              <w:t>What is the finished article and how is it marketed?</w:t>
            </w:r>
          </w:p>
        </w:tc>
        <w:tc>
          <w:tcPr>
            <w:tcW w:type="dxa" w:w="4104"/>
            <w:vAlign w:val="center"/>
            <w:tcMar>
              <w:top w:w="60" w:type="dxa"/>
              <w:start w:w="70" w:type="dxa"/>
              <w:bottom w:w="60" w:type="dxa"/>
              <w:end w:w="70" w:type="dxa"/>
            </w:tcMar>
          </w:tcPr>
          <w:p>
            <w:pPr>
              <w:spacing w:after="0" w:line="240" w:lineRule="auto"/>
            </w:pPr>
            <w:r/>
            <w:r>
              <w:rPr>
                <w:rFonts w:ascii="Arial" w:hAnsi="Arial"/>
                <w:b w:val="0"/>
                <w:sz w:val="16"/>
              </w:rPr>
              <w:t>Model/SKU and intended use</w:t>
            </w:r>
          </w:p>
        </w:tc>
      </w:tr>
      <w:tr>
        <w:trPr>
          <w:cantSplit/>
        </w:trPr>
        <w:tc>
          <w:tcPr>
            <w:tcW w:type="dxa" w:w="1296"/>
            <w:vAlign w:val="center"/>
            <w:tcMar>
              <w:top w:w="60" w:type="dxa"/>
              <w:start w:w="70" w:type="dxa"/>
              <w:bottom w:w="60" w:type="dxa"/>
              <w:end w:w="70" w:type="dxa"/>
            </w:tcMar>
            <w:shd w:fill="F5F7F9"/>
          </w:tcPr>
          <w:p>
            <w:pPr>
              <w:spacing w:after="0" w:line="240" w:lineRule="auto"/>
            </w:pPr>
            <w:r/>
            <w:r>
              <w:rPr>
                <w:rFonts w:ascii="Arial" w:hAnsi="Arial"/>
                <w:b w:val="0"/>
                <w:sz w:val="16"/>
              </w:rPr>
              <w:t>Category</w:t>
            </w:r>
          </w:p>
        </w:tc>
        <w:tc>
          <w:tcPr>
            <w:tcW w:type="dxa" w:w="4680"/>
            <w:vAlign w:val="center"/>
            <w:tcMar>
              <w:top w:w="60" w:type="dxa"/>
              <w:start w:w="70" w:type="dxa"/>
              <w:bottom w:w="60" w:type="dxa"/>
              <w:end w:w="70" w:type="dxa"/>
            </w:tcMar>
            <w:shd w:fill="F5F7F9"/>
          </w:tcPr>
          <w:p>
            <w:pPr>
              <w:spacing w:after="0" w:line="240" w:lineRule="auto"/>
            </w:pPr>
            <w:r/>
            <w:r>
              <w:rPr>
                <w:rFonts w:ascii="Arial" w:hAnsi="Arial"/>
                <w:b w:val="0"/>
                <w:sz w:val="16"/>
              </w:rPr>
              <w:t>Toy, small electronics, or both?</w:t>
            </w:r>
          </w:p>
        </w:tc>
        <w:tc>
          <w:tcPr>
            <w:tcW w:type="dxa" w:w="4104"/>
            <w:vAlign w:val="center"/>
            <w:tcMar>
              <w:top w:w="60" w:type="dxa"/>
              <w:start w:w="70" w:type="dxa"/>
              <w:bottom w:w="60" w:type="dxa"/>
              <w:end w:w="70" w:type="dxa"/>
            </w:tcMar>
            <w:shd w:fill="F5F7F9"/>
          </w:tcPr>
          <w:p>
            <w:pPr>
              <w:spacing w:after="0" w:line="240" w:lineRule="auto"/>
            </w:pPr>
            <w:r/>
            <w:r>
              <w:rPr>
                <w:rFonts w:ascii="Arial" w:hAnsi="Arial"/>
                <w:b w:val="0"/>
                <w:sz w:val="16"/>
              </w:rPr>
              <w:t>One or dual routing paths</w:t>
            </w:r>
          </w:p>
        </w:tc>
      </w:tr>
      <w:tr>
        <w:trPr>
          <w:cantSplit/>
        </w:trPr>
        <w:tc>
          <w:tcPr>
            <w:tcW w:type="dxa" w:w="1296"/>
            <w:vAlign w:val="center"/>
            <w:tcMar>
              <w:top w:w="60" w:type="dxa"/>
              <w:start w:w="70" w:type="dxa"/>
              <w:bottom w:w="60" w:type="dxa"/>
              <w:end w:w="70" w:type="dxa"/>
            </w:tcMar>
          </w:tcPr>
          <w:p>
            <w:pPr>
              <w:spacing w:after="0" w:line="240" w:lineRule="auto"/>
            </w:pPr>
            <w:r/>
            <w:r>
              <w:rPr>
                <w:rFonts w:ascii="Arial" w:hAnsi="Arial"/>
                <w:b w:val="0"/>
                <w:sz w:val="16"/>
              </w:rPr>
              <w:t>Attributes</w:t>
            </w:r>
          </w:p>
        </w:tc>
        <w:tc>
          <w:tcPr>
            <w:tcW w:type="dxa" w:w="4680"/>
            <w:vAlign w:val="center"/>
            <w:tcMar>
              <w:top w:w="60" w:type="dxa"/>
              <w:start w:w="70" w:type="dxa"/>
              <w:bottom w:w="60" w:type="dxa"/>
              <w:end w:w="70" w:type="dxa"/>
            </w:tcMar>
          </w:tcPr>
          <w:p>
            <w:pPr>
              <w:spacing w:after="0" w:line="240" w:lineRule="auto"/>
            </w:pPr>
            <w:r/>
            <w:r>
              <w:rPr>
                <w:rFonts w:ascii="Arial" w:hAnsi="Arial"/>
                <w:b w:val="0"/>
                <w:sz w:val="16"/>
              </w:rPr>
              <w:t>Age, small parts, coatings, magnets, RF, batteries, charger, states, platforms?</w:t>
            </w:r>
          </w:p>
        </w:tc>
        <w:tc>
          <w:tcPr>
            <w:tcW w:type="dxa" w:w="4104"/>
            <w:vAlign w:val="center"/>
            <w:tcMar>
              <w:top w:w="60" w:type="dxa"/>
              <w:start w:w="70" w:type="dxa"/>
              <w:bottom w:w="60" w:type="dxa"/>
              <w:end w:w="70" w:type="dxa"/>
            </w:tcMar>
          </w:tcPr>
          <w:p>
            <w:pPr>
              <w:spacing w:after="0" w:line="240" w:lineRule="auto"/>
            </w:pPr>
            <w:r/>
            <w:r>
              <w:rPr>
                <w:rFonts w:ascii="Arial" w:hAnsi="Arial"/>
                <w:b w:val="0"/>
                <w:sz w:val="16"/>
              </w:rPr>
              <w:t>Structured facts with unknown states</w:t>
            </w:r>
          </w:p>
        </w:tc>
      </w:tr>
      <w:tr>
        <w:trPr>
          <w:cantSplit/>
        </w:trPr>
        <w:tc>
          <w:tcPr>
            <w:tcW w:type="dxa" w:w="1296"/>
            <w:vAlign w:val="center"/>
            <w:tcMar>
              <w:top w:w="60" w:type="dxa"/>
              <w:start w:w="70" w:type="dxa"/>
              <w:bottom w:w="60" w:type="dxa"/>
              <w:end w:w="70" w:type="dxa"/>
            </w:tcMar>
            <w:shd w:fill="F5F7F9"/>
          </w:tcPr>
          <w:p>
            <w:pPr>
              <w:spacing w:after="0" w:line="240" w:lineRule="auto"/>
            </w:pPr>
            <w:r/>
            <w:r>
              <w:rPr>
                <w:rFonts w:ascii="Arial" w:hAnsi="Arial"/>
                <w:b w:val="0"/>
                <w:sz w:val="16"/>
              </w:rPr>
              <w:t>Rule triggers</w:t>
            </w:r>
          </w:p>
        </w:tc>
        <w:tc>
          <w:tcPr>
            <w:tcW w:type="dxa" w:w="4680"/>
            <w:vAlign w:val="center"/>
            <w:tcMar>
              <w:top w:w="60" w:type="dxa"/>
              <w:start w:w="70" w:type="dxa"/>
              <w:bottom w:w="60" w:type="dxa"/>
              <w:end w:w="70" w:type="dxa"/>
            </w:tcMar>
            <w:shd w:fill="F5F7F9"/>
          </w:tcPr>
          <w:p>
            <w:pPr>
              <w:spacing w:after="0" w:line="240" w:lineRule="auto"/>
            </w:pPr>
            <w:r/>
            <w:r>
              <w:rPr>
                <w:rFonts w:ascii="Arial" w:hAnsi="Arial"/>
                <w:b w:val="0"/>
                <w:sz w:val="16"/>
              </w:rPr>
              <w:t>Which conditions are satisfied or unresolved?</w:t>
            </w:r>
          </w:p>
        </w:tc>
        <w:tc>
          <w:tcPr>
            <w:tcW w:type="dxa" w:w="4104"/>
            <w:vAlign w:val="center"/>
            <w:tcMar>
              <w:top w:w="60" w:type="dxa"/>
              <w:start w:w="70" w:type="dxa"/>
              <w:bottom w:w="60" w:type="dxa"/>
              <w:end w:w="70" w:type="dxa"/>
            </w:tcMar>
            <w:shd w:fill="F5F7F9"/>
          </w:tcPr>
          <w:p>
            <w:pPr>
              <w:spacing w:after="0" w:line="240" w:lineRule="auto"/>
            </w:pPr>
            <w:r/>
            <w:r>
              <w:rPr>
                <w:rFonts w:ascii="Arial" w:hAnsi="Arial"/>
                <w:b w:val="0"/>
                <w:sz w:val="16"/>
              </w:rPr>
              <w:t>Applicable, not applicable, or review required</w:t>
            </w:r>
          </w:p>
        </w:tc>
      </w:tr>
      <w:tr>
        <w:trPr>
          <w:cantSplit/>
        </w:trPr>
        <w:tc>
          <w:tcPr>
            <w:tcW w:type="dxa" w:w="1296"/>
            <w:vAlign w:val="center"/>
            <w:tcMar>
              <w:top w:w="60" w:type="dxa"/>
              <w:start w:w="70" w:type="dxa"/>
              <w:bottom w:w="60" w:type="dxa"/>
              <w:end w:w="70" w:type="dxa"/>
            </w:tcMar>
          </w:tcPr>
          <w:p>
            <w:pPr>
              <w:spacing w:after="0" w:line="240" w:lineRule="auto"/>
            </w:pPr>
            <w:r/>
            <w:r>
              <w:rPr>
                <w:rFonts w:ascii="Arial" w:hAnsi="Arial"/>
                <w:b w:val="0"/>
                <w:sz w:val="16"/>
              </w:rPr>
              <w:t>Requirements</w:t>
            </w:r>
          </w:p>
        </w:tc>
        <w:tc>
          <w:tcPr>
            <w:tcW w:type="dxa" w:w="4680"/>
            <w:vAlign w:val="center"/>
            <w:tcMar>
              <w:top w:w="60" w:type="dxa"/>
              <w:start w:w="70" w:type="dxa"/>
              <w:bottom w:w="60" w:type="dxa"/>
              <w:end w:w="70" w:type="dxa"/>
            </w:tcMar>
          </w:tcPr>
          <w:p>
            <w:pPr>
              <w:spacing w:after="0" w:line="240" w:lineRule="auto"/>
            </w:pPr>
            <w:r/>
            <w:r>
              <w:rPr>
                <w:rFonts w:ascii="Arial" w:hAnsi="Arial"/>
                <w:b w:val="0"/>
                <w:sz w:val="16"/>
              </w:rPr>
              <w:t>What tests, documents, actions, labels, and updates follow?</w:t>
            </w:r>
          </w:p>
        </w:tc>
        <w:tc>
          <w:tcPr>
            <w:tcW w:type="dxa" w:w="4104"/>
            <w:vAlign w:val="center"/>
            <w:tcMar>
              <w:top w:w="60" w:type="dxa"/>
              <w:start w:w="70" w:type="dxa"/>
              <w:bottom w:w="60" w:type="dxa"/>
              <w:end w:w="70" w:type="dxa"/>
            </w:tcMar>
          </w:tcPr>
          <w:p>
            <w:pPr>
              <w:spacing w:after="0" w:line="240" w:lineRule="auto"/>
            </w:pPr>
            <w:r/>
            <w:r>
              <w:rPr>
                <w:rFonts w:ascii="Arial" w:hAnsi="Arial"/>
                <w:b w:val="0"/>
                <w:sz w:val="16"/>
              </w:rPr>
              <w:t>Evidence tasks tied to source IDs</w:t>
            </w:r>
          </w:p>
        </w:tc>
      </w:tr>
    </w:tbl>
    <w:p>
      <w:pPr>
        <w:spacing w:after="0"/>
      </w:pPr>
    </w:p>
    <w:p>
      <w:r>
        <w:br w:type="page"/>
      </w:r>
    </w:p>
    <w:p>
      <w:pPr>
        <w:pStyle w:val="Heading1"/>
      </w:pPr>
      <w:r>
        <w:t>Product attribute taxonomy</w:t>
      </w:r>
    </w:p>
    <w:p>
      <w:r>
        <w:t>The workbook contains 49 fields. The following groups are the minimum useful structure for category-level routing.</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440"/>
            <w:vAlign w:val="center"/>
            <w:tcMar>
              <w:top w:w="60" w:type="dxa"/>
              <w:start w:w="70" w:type="dxa"/>
              <w:bottom w:w="60" w:type="dxa"/>
              <w:end w:w="70" w:type="dxa"/>
            </w:tcMar>
            <w:shd w:fill="17324D"/>
          </w:tcPr>
          <w:p>
            <w:pPr>
              <w:spacing w:after="0" w:line="240" w:lineRule="auto"/>
            </w:pPr>
            <w:r/>
            <w:r>
              <w:rPr>
                <w:rFonts w:ascii="Arial" w:hAnsi="Arial"/>
                <w:b/>
                <w:color w:val="FFFFFF"/>
                <w:sz w:val="15"/>
              </w:rPr>
              <w:t>Category</w:t>
            </w:r>
          </w:p>
        </w:tc>
        <w:tc>
          <w:tcPr>
            <w:tcW w:type="dxa" w:w="1872"/>
            <w:vAlign w:val="center"/>
            <w:tcMar>
              <w:top w:w="60" w:type="dxa"/>
              <w:start w:w="70" w:type="dxa"/>
              <w:bottom w:w="60" w:type="dxa"/>
              <w:end w:w="70" w:type="dxa"/>
            </w:tcMar>
            <w:shd w:fill="17324D"/>
          </w:tcPr>
          <w:p>
            <w:pPr>
              <w:spacing w:after="0" w:line="240" w:lineRule="auto"/>
            </w:pPr>
            <w:r/>
            <w:r>
              <w:rPr>
                <w:rFonts w:ascii="Arial" w:hAnsi="Arial"/>
                <w:b/>
                <w:color w:val="FFFFFF"/>
                <w:sz w:val="15"/>
              </w:rPr>
              <w:t>Attribute group</w:t>
            </w:r>
          </w:p>
        </w:tc>
        <w:tc>
          <w:tcPr>
            <w:tcW w:type="dxa" w:w="4176"/>
            <w:vAlign w:val="center"/>
            <w:tcMar>
              <w:top w:w="60" w:type="dxa"/>
              <w:start w:w="70" w:type="dxa"/>
              <w:bottom w:w="60" w:type="dxa"/>
              <w:end w:w="70" w:type="dxa"/>
            </w:tcMar>
            <w:shd w:fill="17324D"/>
          </w:tcPr>
          <w:p>
            <w:pPr>
              <w:spacing w:after="0" w:line="240" w:lineRule="auto"/>
            </w:pPr>
            <w:r/>
            <w:r>
              <w:rPr>
                <w:rFonts w:ascii="Arial" w:hAnsi="Arial"/>
                <w:b/>
                <w:color w:val="FFFFFF"/>
                <w:sz w:val="15"/>
              </w:rPr>
              <w:t>High-value fields</w:t>
            </w:r>
          </w:p>
        </w:tc>
        <w:tc>
          <w:tcPr>
            <w:tcW w:type="dxa" w:w="2880"/>
            <w:vAlign w:val="center"/>
            <w:tcMar>
              <w:top w:w="60" w:type="dxa"/>
              <w:start w:w="70" w:type="dxa"/>
              <w:bottom w:w="60" w:type="dxa"/>
              <w:end w:w="70" w:type="dxa"/>
            </w:tcMar>
            <w:shd w:fill="17324D"/>
          </w:tcPr>
          <w:p>
            <w:pPr>
              <w:spacing w:after="0" w:line="240" w:lineRule="auto"/>
            </w:pPr>
            <w:r/>
            <w:r>
              <w:rPr>
                <w:rFonts w:ascii="Arial" w:hAnsi="Arial"/>
                <w:b/>
                <w:color w:val="FFFFFF"/>
                <w:sz w:val="15"/>
              </w:rPr>
              <w:t>Primary effect</w:t>
            </w:r>
          </w:p>
        </w:tc>
      </w:tr>
      <w:tr>
        <w:trPr>
          <w:cantSplit/>
        </w:trPr>
        <w:tc>
          <w:tcPr>
            <w:tcW w:type="dxa" w:w="1440"/>
            <w:vAlign w:val="center"/>
            <w:tcMar>
              <w:top w:w="60" w:type="dxa"/>
              <w:start w:w="70" w:type="dxa"/>
              <w:bottom w:w="60" w:type="dxa"/>
              <w:end w:w="70" w:type="dxa"/>
            </w:tcMar>
          </w:tcPr>
          <w:p>
            <w:pPr>
              <w:spacing w:after="0" w:line="240" w:lineRule="auto"/>
            </w:pPr>
            <w:r/>
            <w:r>
              <w:rPr>
                <w:rFonts w:ascii="Arial" w:hAnsi="Arial"/>
                <w:b w:val="0"/>
                <w:sz w:val="15"/>
              </w:rPr>
              <w:t>Both</w:t>
            </w:r>
          </w:p>
        </w:tc>
        <w:tc>
          <w:tcPr>
            <w:tcW w:type="dxa" w:w="1872"/>
            <w:vAlign w:val="center"/>
            <w:tcMar>
              <w:top w:w="60" w:type="dxa"/>
              <w:start w:w="70" w:type="dxa"/>
              <w:bottom w:w="60" w:type="dxa"/>
              <w:end w:w="70" w:type="dxa"/>
            </w:tcMar>
          </w:tcPr>
          <w:p>
            <w:pPr>
              <w:spacing w:after="0" w:line="240" w:lineRule="auto"/>
            </w:pPr>
            <w:r/>
            <w:r>
              <w:rPr>
                <w:rFonts w:ascii="Arial" w:hAnsi="Arial"/>
                <w:b w:val="0"/>
                <w:sz w:val="15"/>
              </w:rPr>
              <w:t>Market and change control</w:t>
            </w:r>
          </w:p>
        </w:tc>
        <w:tc>
          <w:tcPr>
            <w:tcW w:type="dxa" w:w="4176"/>
            <w:vAlign w:val="center"/>
            <w:tcMar>
              <w:top w:w="60" w:type="dxa"/>
              <w:start w:w="70" w:type="dxa"/>
              <w:bottom w:w="60" w:type="dxa"/>
              <w:end w:w="70" w:type="dxa"/>
            </w:tcMar>
          </w:tcPr>
          <w:p>
            <w:pPr>
              <w:spacing w:after="0" w:line="240" w:lineRule="auto"/>
            </w:pPr>
            <w:r/>
            <w:r>
              <w:rPr>
                <w:rFonts w:ascii="Arial" w:hAnsi="Arial"/>
                <w:b w:val="0"/>
                <w:sz w:val="15"/>
              </w:rPr>
              <w:t>country of origin, sales states, marketplace, design/material/factory change</w:t>
            </w:r>
          </w:p>
        </w:tc>
        <w:tc>
          <w:tcPr>
            <w:tcW w:type="dxa" w:w="2880"/>
            <w:vAlign w:val="center"/>
            <w:tcMar>
              <w:top w:w="60" w:type="dxa"/>
              <w:start w:w="70" w:type="dxa"/>
              <w:bottom w:w="60" w:type="dxa"/>
              <w:end w:w="70" w:type="dxa"/>
            </w:tcMar>
          </w:tcPr>
          <w:p>
            <w:pPr>
              <w:spacing w:after="0" w:line="240" w:lineRule="auto"/>
            </w:pPr>
            <w:r/>
            <w:r>
              <w:rPr>
                <w:rFonts w:ascii="Arial" w:hAnsi="Arial"/>
                <w:b w:val="0"/>
                <w:sz w:val="15"/>
              </w:rPr>
              <w:t>Import marking, California screen, platform paths, retest review</w:t>
            </w:r>
          </w:p>
        </w:tc>
      </w:tr>
      <w:tr>
        <w:trPr>
          <w:cantSplit/>
        </w:trPr>
        <w:tc>
          <w:tcPr>
            <w:tcW w:type="dxa" w:w="1440"/>
            <w:vAlign w:val="center"/>
            <w:tcMar>
              <w:top w:w="60" w:type="dxa"/>
              <w:start w:w="70" w:type="dxa"/>
              <w:bottom w:w="60" w:type="dxa"/>
              <w:end w:w="70" w:type="dxa"/>
            </w:tcMar>
            <w:shd w:fill="F5F7F9"/>
          </w:tcPr>
          <w:p>
            <w:pPr>
              <w:spacing w:after="0" w:line="240" w:lineRule="auto"/>
            </w:pPr>
            <w:r/>
            <w:r>
              <w:rPr>
                <w:rFonts w:ascii="Arial" w:hAnsi="Arial"/>
                <w:b w:val="0"/>
                <w:sz w:val="15"/>
              </w:rPr>
              <w:t>Toys</w:t>
            </w:r>
          </w:p>
        </w:tc>
        <w:tc>
          <w:tcPr>
            <w:tcW w:type="dxa" w:w="1872"/>
            <w:vAlign w:val="center"/>
            <w:tcMar>
              <w:top w:w="60" w:type="dxa"/>
              <w:start w:w="70" w:type="dxa"/>
              <w:bottom w:w="60" w:type="dxa"/>
              <w:end w:w="70" w:type="dxa"/>
            </w:tcMar>
            <w:shd w:fill="F5F7F9"/>
          </w:tcPr>
          <w:p>
            <w:pPr>
              <w:spacing w:after="0" w:line="240" w:lineRule="auto"/>
            </w:pPr>
            <w:r/>
            <w:r>
              <w:rPr>
                <w:rFonts w:ascii="Arial" w:hAnsi="Arial"/>
                <w:b w:val="0"/>
                <w:sz w:val="15"/>
              </w:rPr>
              <w:t>Age and intent</w:t>
            </w:r>
          </w:p>
        </w:tc>
        <w:tc>
          <w:tcPr>
            <w:tcW w:type="dxa" w:w="4176"/>
            <w:vAlign w:val="center"/>
            <w:tcMar>
              <w:top w:w="60" w:type="dxa"/>
              <w:start w:w="70" w:type="dxa"/>
              <w:bottom w:w="60" w:type="dxa"/>
              <w:end w:w="70" w:type="dxa"/>
            </w:tcMar>
            <w:shd w:fill="F5F7F9"/>
          </w:tcPr>
          <w:p>
            <w:pPr>
              <w:spacing w:after="0" w:line="240" w:lineRule="auto"/>
            </w:pPr>
            <w:r/>
            <w:r>
              <w:rPr>
                <w:rFonts w:ascii="Arial" w:hAnsi="Arial"/>
                <w:b w:val="0"/>
                <w:sz w:val="15"/>
              </w:rPr>
              <w:t>minimum and maximum age, labeling, packaging, theme, size, play value</w:t>
            </w:r>
          </w:p>
        </w:tc>
        <w:tc>
          <w:tcPr>
            <w:tcW w:type="dxa" w:w="2880"/>
            <w:vAlign w:val="center"/>
            <w:tcMar>
              <w:top w:w="60" w:type="dxa"/>
              <w:start w:w="70" w:type="dxa"/>
              <w:bottom w:w="60" w:type="dxa"/>
              <w:end w:w="70" w:type="dxa"/>
            </w:tcMar>
            <w:shd w:fill="F5F7F9"/>
          </w:tcPr>
          <w:p>
            <w:pPr>
              <w:spacing w:after="0" w:line="240" w:lineRule="auto"/>
            </w:pPr>
            <w:r/>
            <w:r>
              <w:rPr>
                <w:rFonts w:ascii="Arial" w:hAnsi="Arial"/>
                <w:b w:val="0"/>
                <w:sz w:val="15"/>
              </w:rPr>
              <w:t>Toy scope, children's-product scope, small-parts path</w:t>
            </w:r>
          </w:p>
        </w:tc>
      </w:tr>
      <w:tr>
        <w:trPr>
          <w:cantSplit/>
        </w:trPr>
        <w:tc>
          <w:tcPr>
            <w:tcW w:type="dxa" w:w="1440"/>
            <w:vAlign w:val="center"/>
            <w:tcMar>
              <w:top w:w="60" w:type="dxa"/>
              <w:start w:w="70" w:type="dxa"/>
              <w:bottom w:w="60" w:type="dxa"/>
              <w:end w:w="70" w:type="dxa"/>
            </w:tcMar>
          </w:tcPr>
          <w:p>
            <w:pPr>
              <w:spacing w:after="0" w:line="240" w:lineRule="auto"/>
            </w:pPr>
            <w:r/>
            <w:r>
              <w:rPr>
                <w:rFonts w:ascii="Arial" w:hAnsi="Arial"/>
                <w:b w:val="0"/>
                <w:sz w:val="15"/>
              </w:rPr>
              <w:t>Toys</w:t>
            </w:r>
          </w:p>
        </w:tc>
        <w:tc>
          <w:tcPr>
            <w:tcW w:type="dxa" w:w="1872"/>
            <w:vAlign w:val="center"/>
            <w:tcMar>
              <w:top w:w="60" w:type="dxa"/>
              <w:start w:w="70" w:type="dxa"/>
              <w:bottom w:w="60" w:type="dxa"/>
              <w:end w:w="70" w:type="dxa"/>
            </w:tcMar>
          </w:tcPr>
          <w:p>
            <w:pPr>
              <w:spacing w:after="0" w:line="240" w:lineRule="auto"/>
            </w:pPr>
            <w:r/>
            <w:r>
              <w:rPr>
                <w:rFonts w:ascii="Arial" w:hAnsi="Arial"/>
                <w:b w:val="0"/>
                <w:sz w:val="15"/>
              </w:rPr>
              <w:t>Materials</w:t>
            </w:r>
          </w:p>
        </w:tc>
        <w:tc>
          <w:tcPr>
            <w:tcW w:type="dxa" w:w="4176"/>
            <w:vAlign w:val="center"/>
            <w:tcMar>
              <w:top w:w="60" w:type="dxa"/>
              <w:start w:w="70" w:type="dxa"/>
              <w:bottom w:w="60" w:type="dxa"/>
              <w:end w:w="70" w:type="dxa"/>
            </w:tcMar>
          </w:tcPr>
          <w:p>
            <w:pPr>
              <w:spacing w:after="0" w:line="240" w:lineRule="auto"/>
            </w:pPr>
            <w:r/>
            <w:r>
              <w:rPr>
                <w:rFonts w:ascii="Arial" w:hAnsi="Arial"/>
                <w:b w:val="0"/>
                <w:sz w:val="15"/>
              </w:rPr>
              <w:t>accessible component BOM, coatings, colors, plasticized parts, test determinations</w:t>
            </w:r>
          </w:p>
        </w:tc>
        <w:tc>
          <w:tcPr>
            <w:tcW w:type="dxa" w:w="2880"/>
            <w:vAlign w:val="center"/>
            <w:tcMar>
              <w:top w:w="60" w:type="dxa"/>
              <w:start w:w="70" w:type="dxa"/>
              <w:bottom w:w="60" w:type="dxa"/>
              <w:end w:w="70" w:type="dxa"/>
            </w:tcMar>
          </w:tcPr>
          <w:p>
            <w:pPr>
              <w:spacing w:after="0" w:line="240" w:lineRule="auto"/>
            </w:pPr>
            <w:r/>
            <w:r>
              <w:rPr>
                <w:rFonts w:ascii="Arial" w:hAnsi="Arial"/>
                <w:b w:val="0"/>
                <w:sz w:val="15"/>
              </w:rPr>
              <w:t>Lead, lead paint, phthalates, ASTM metals</w:t>
            </w:r>
          </w:p>
        </w:tc>
      </w:tr>
      <w:tr>
        <w:trPr>
          <w:cantSplit/>
        </w:trPr>
        <w:tc>
          <w:tcPr>
            <w:tcW w:type="dxa" w:w="1440"/>
            <w:vAlign w:val="center"/>
            <w:tcMar>
              <w:top w:w="60" w:type="dxa"/>
              <w:start w:w="70" w:type="dxa"/>
              <w:bottom w:w="60" w:type="dxa"/>
              <w:end w:w="70" w:type="dxa"/>
            </w:tcMar>
            <w:shd w:fill="F5F7F9"/>
          </w:tcPr>
          <w:p>
            <w:pPr>
              <w:spacing w:after="0" w:line="240" w:lineRule="auto"/>
            </w:pPr>
            <w:r/>
            <w:r>
              <w:rPr>
                <w:rFonts w:ascii="Arial" w:hAnsi="Arial"/>
                <w:b w:val="0"/>
                <w:sz w:val="15"/>
              </w:rPr>
              <w:t>Toys</w:t>
            </w:r>
          </w:p>
        </w:tc>
        <w:tc>
          <w:tcPr>
            <w:tcW w:type="dxa" w:w="1872"/>
            <w:vAlign w:val="center"/>
            <w:tcMar>
              <w:top w:w="60" w:type="dxa"/>
              <w:start w:w="70" w:type="dxa"/>
              <w:bottom w:w="60" w:type="dxa"/>
              <w:end w:w="70" w:type="dxa"/>
            </w:tcMar>
            <w:shd w:fill="F5F7F9"/>
          </w:tcPr>
          <w:p>
            <w:pPr>
              <w:spacing w:after="0" w:line="240" w:lineRule="auto"/>
            </w:pPr>
            <w:r/>
            <w:r>
              <w:rPr>
                <w:rFonts w:ascii="Arial" w:hAnsi="Arial"/>
                <w:b w:val="0"/>
                <w:sz w:val="15"/>
              </w:rPr>
              <w:t>Mechanical and features</w:t>
            </w:r>
          </w:p>
        </w:tc>
        <w:tc>
          <w:tcPr>
            <w:tcW w:type="dxa" w:w="4176"/>
            <w:vAlign w:val="center"/>
            <w:tcMar>
              <w:top w:w="60" w:type="dxa"/>
              <w:start w:w="70" w:type="dxa"/>
              <w:bottom w:w="60" w:type="dxa"/>
              <w:end w:w="70" w:type="dxa"/>
            </w:tcMar>
            <w:shd w:fill="F5F7F9"/>
          </w:tcPr>
          <w:p>
            <w:pPr>
              <w:spacing w:after="0" w:line="240" w:lineRule="auto"/>
            </w:pPr>
            <w:r/>
            <w:r>
              <w:rPr>
                <w:rFonts w:ascii="Arial" w:hAnsi="Arial"/>
                <w:b w:val="0"/>
                <w:sz w:val="15"/>
              </w:rPr>
              <w:t>small parts, magnets, projectiles, sound, ride-on, teether, rattle, crib attachment</w:t>
            </w:r>
          </w:p>
        </w:tc>
        <w:tc>
          <w:tcPr>
            <w:tcW w:type="dxa" w:w="2880"/>
            <w:vAlign w:val="center"/>
            <w:tcMar>
              <w:top w:w="60" w:type="dxa"/>
              <w:start w:w="70" w:type="dxa"/>
              <w:bottom w:w="60" w:type="dxa"/>
              <w:end w:w="70" w:type="dxa"/>
            </w:tcMar>
            <w:shd w:fill="F5F7F9"/>
          </w:tcPr>
          <w:p>
            <w:pPr>
              <w:spacing w:after="0" w:line="240" w:lineRule="auto"/>
            </w:pPr>
            <w:r/>
            <w:r>
              <w:rPr>
                <w:rFonts w:ascii="Arial" w:hAnsi="Arial"/>
                <w:b w:val="0"/>
                <w:sz w:val="15"/>
              </w:rPr>
              <w:t>Applicable ASTM F963 sections and warnings</w:t>
            </w:r>
          </w:p>
        </w:tc>
      </w:tr>
      <w:tr>
        <w:trPr>
          <w:cantSplit/>
        </w:trPr>
        <w:tc>
          <w:tcPr>
            <w:tcW w:type="dxa" w:w="1440"/>
            <w:vAlign w:val="center"/>
            <w:tcMar>
              <w:top w:w="60" w:type="dxa"/>
              <w:start w:w="70" w:type="dxa"/>
              <w:bottom w:w="60" w:type="dxa"/>
              <w:end w:w="70" w:type="dxa"/>
            </w:tcMar>
          </w:tcPr>
          <w:p>
            <w:pPr>
              <w:spacing w:after="0" w:line="240" w:lineRule="auto"/>
            </w:pPr>
            <w:r/>
            <w:r>
              <w:rPr>
                <w:rFonts w:ascii="Arial" w:hAnsi="Arial"/>
                <w:b w:val="0"/>
                <w:sz w:val="15"/>
              </w:rPr>
              <w:t>Toys</w:t>
            </w:r>
          </w:p>
        </w:tc>
        <w:tc>
          <w:tcPr>
            <w:tcW w:type="dxa" w:w="1872"/>
            <w:vAlign w:val="center"/>
            <w:tcMar>
              <w:top w:w="60" w:type="dxa"/>
              <w:start w:w="70" w:type="dxa"/>
              <w:bottom w:w="60" w:type="dxa"/>
              <w:end w:w="70" w:type="dxa"/>
            </w:tcMar>
          </w:tcPr>
          <w:p>
            <w:pPr>
              <w:spacing w:after="0" w:line="240" w:lineRule="auto"/>
            </w:pPr>
            <w:r/>
            <w:r>
              <w:rPr>
                <w:rFonts w:ascii="Arial" w:hAnsi="Arial"/>
                <w:b w:val="0"/>
                <w:sz w:val="15"/>
              </w:rPr>
              <w:t>Battery and electrical</w:t>
            </w:r>
          </w:p>
        </w:tc>
        <w:tc>
          <w:tcPr>
            <w:tcW w:type="dxa" w:w="4176"/>
            <w:vAlign w:val="center"/>
            <w:tcMar>
              <w:top w:w="60" w:type="dxa"/>
              <w:start w:w="70" w:type="dxa"/>
              <w:bottom w:w="60" w:type="dxa"/>
              <w:end w:w="70" w:type="dxa"/>
            </w:tcMar>
          </w:tcPr>
          <w:p>
            <w:pPr>
              <w:spacing w:after="0" w:line="240" w:lineRule="auto"/>
            </w:pPr>
            <w:r/>
            <w:r>
              <w:rPr>
                <w:rFonts w:ascii="Arial" w:hAnsi="Arial"/>
                <w:b w:val="0"/>
                <w:sz w:val="15"/>
              </w:rPr>
              <w:t>battery type, button/coin geometry, access, separate packaging, 120 V power</w:t>
            </w:r>
          </w:p>
        </w:tc>
        <w:tc>
          <w:tcPr>
            <w:tcW w:type="dxa" w:w="2880"/>
            <w:vAlign w:val="center"/>
            <w:tcMar>
              <w:top w:w="60" w:type="dxa"/>
              <w:start w:w="70" w:type="dxa"/>
              <w:bottom w:w="60" w:type="dxa"/>
              <w:end w:w="70" w:type="dxa"/>
            </w:tcMar>
          </w:tcPr>
          <w:p>
            <w:pPr>
              <w:spacing w:after="0" w:line="240" w:lineRule="auto"/>
            </w:pPr>
            <w:r/>
            <w:r>
              <w:rPr>
                <w:rFonts w:ascii="Arial" w:hAnsi="Arial"/>
                <w:b w:val="0"/>
                <w:sz w:val="15"/>
              </w:rPr>
              <w:t>F963 battery path, battery-package rules, part 1505</w:t>
            </w:r>
          </w:p>
        </w:tc>
      </w:tr>
      <w:tr>
        <w:trPr>
          <w:cantSplit/>
        </w:trPr>
        <w:tc>
          <w:tcPr>
            <w:tcW w:type="dxa" w:w="1440"/>
            <w:vAlign w:val="center"/>
            <w:tcMar>
              <w:top w:w="60" w:type="dxa"/>
              <w:start w:w="70" w:type="dxa"/>
              <w:bottom w:w="60" w:type="dxa"/>
              <w:end w:w="70" w:type="dxa"/>
            </w:tcMar>
            <w:shd w:fill="F5F7F9"/>
          </w:tcPr>
          <w:p>
            <w:pPr>
              <w:spacing w:after="0" w:line="240" w:lineRule="auto"/>
            </w:pPr>
            <w:r/>
            <w:r>
              <w:rPr>
                <w:rFonts w:ascii="Arial" w:hAnsi="Arial"/>
                <w:b w:val="0"/>
                <w:sz w:val="15"/>
              </w:rPr>
              <w:t>Electronics</w:t>
            </w:r>
          </w:p>
        </w:tc>
        <w:tc>
          <w:tcPr>
            <w:tcW w:type="dxa" w:w="1872"/>
            <w:vAlign w:val="center"/>
            <w:tcMar>
              <w:top w:w="60" w:type="dxa"/>
              <w:start w:w="70" w:type="dxa"/>
              <w:bottom w:w="60" w:type="dxa"/>
              <w:end w:w="70" w:type="dxa"/>
            </w:tcMar>
            <w:shd w:fill="F5F7F9"/>
          </w:tcPr>
          <w:p>
            <w:pPr>
              <w:spacing w:after="0" w:line="240" w:lineRule="auto"/>
            </w:pPr>
            <w:r/>
            <w:r>
              <w:rPr>
                <w:rFonts w:ascii="Arial" w:hAnsi="Arial"/>
                <w:b w:val="0"/>
                <w:sz w:val="15"/>
              </w:rPr>
              <w:t>RF and EMC</w:t>
            </w:r>
          </w:p>
        </w:tc>
        <w:tc>
          <w:tcPr>
            <w:tcW w:type="dxa" w:w="4176"/>
            <w:vAlign w:val="center"/>
            <w:tcMar>
              <w:top w:w="60" w:type="dxa"/>
              <w:start w:w="70" w:type="dxa"/>
              <w:bottom w:w="60" w:type="dxa"/>
              <w:end w:w="70" w:type="dxa"/>
            </w:tcMar>
            <w:shd w:fill="F5F7F9"/>
          </w:tcPr>
          <w:p>
            <w:pPr>
              <w:spacing w:after="0" w:line="240" w:lineRule="auto"/>
            </w:pPr>
            <w:r/>
            <w:r>
              <w:rPr>
                <w:rFonts w:ascii="Arial" w:hAnsi="Arial"/>
                <w:b w:val="0"/>
                <w:sz w:val="15"/>
              </w:rPr>
              <w:t>intentional transmitter, protocol/band, clocks, power modes, module FCC ID</w:t>
            </w:r>
          </w:p>
        </w:tc>
        <w:tc>
          <w:tcPr>
            <w:tcW w:type="dxa" w:w="2880"/>
            <w:vAlign w:val="center"/>
            <w:tcMar>
              <w:top w:w="60" w:type="dxa"/>
              <w:start w:w="70" w:type="dxa"/>
              <w:bottom w:w="60" w:type="dxa"/>
              <w:end w:w="70" w:type="dxa"/>
            </w:tcMar>
            <w:shd w:fill="F5F7F9"/>
          </w:tcPr>
          <w:p>
            <w:pPr>
              <w:spacing w:after="0" w:line="240" w:lineRule="auto"/>
            </w:pPr>
            <w:r/>
            <w:r>
              <w:rPr>
                <w:rFonts w:ascii="Arial" w:hAnsi="Arial"/>
                <w:b w:val="0"/>
                <w:sz w:val="15"/>
              </w:rPr>
              <w:t>Certification, SDoC, exemption, module integration</w:t>
            </w:r>
          </w:p>
        </w:tc>
      </w:tr>
      <w:tr>
        <w:trPr>
          <w:cantSplit/>
        </w:trPr>
        <w:tc>
          <w:tcPr>
            <w:tcW w:type="dxa" w:w="1440"/>
            <w:vAlign w:val="center"/>
            <w:tcMar>
              <w:top w:w="60" w:type="dxa"/>
              <w:start w:w="70" w:type="dxa"/>
              <w:bottom w:w="60" w:type="dxa"/>
              <w:end w:w="70" w:type="dxa"/>
            </w:tcMar>
          </w:tcPr>
          <w:p>
            <w:pPr>
              <w:spacing w:after="0" w:line="240" w:lineRule="auto"/>
            </w:pPr>
            <w:r/>
            <w:r>
              <w:rPr>
                <w:rFonts w:ascii="Arial" w:hAnsi="Arial"/>
                <w:b w:val="0"/>
                <w:sz w:val="15"/>
              </w:rPr>
              <w:t>Electronics</w:t>
            </w:r>
          </w:p>
        </w:tc>
        <w:tc>
          <w:tcPr>
            <w:tcW w:type="dxa" w:w="1872"/>
            <w:vAlign w:val="center"/>
            <w:tcMar>
              <w:top w:w="60" w:type="dxa"/>
              <w:start w:w="70" w:type="dxa"/>
              <w:bottom w:w="60" w:type="dxa"/>
              <w:end w:w="70" w:type="dxa"/>
            </w:tcMar>
          </w:tcPr>
          <w:p>
            <w:pPr>
              <w:spacing w:after="0" w:line="240" w:lineRule="auto"/>
            </w:pPr>
            <w:r/>
            <w:r>
              <w:rPr>
                <w:rFonts w:ascii="Arial" w:hAnsi="Arial"/>
                <w:b w:val="0"/>
                <w:sz w:val="15"/>
              </w:rPr>
              <w:t>RF exposure</w:t>
            </w:r>
          </w:p>
        </w:tc>
        <w:tc>
          <w:tcPr>
            <w:tcW w:type="dxa" w:w="4176"/>
            <w:vAlign w:val="center"/>
            <w:tcMar>
              <w:top w:w="60" w:type="dxa"/>
              <w:start w:w="70" w:type="dxa"/>
              <w:bottom w:w="60" w:type="dxa"/>
              <w:end w:w="70" w:type="dxa"/>
            </w:tcMar>
          </w:tcPr>
          <w:p>
            <w:pPr>
              <w:spacing w:after="0" w:line="240" w:lineRule="auto"/>
            </w:pPr>
            <w:r/>
            <w:r>
              <w:rPr>
                <w:rFonts w:ascii="Arial" w:hAnsi="Arial"/>
                <w:b w:val="0"/>
                <w:sz w:val="15"/>
              </w:rPr>
              <w:t>body distance, power, antenna, simultaneous transmitters</w:t>
            </w:r>
          </w:p>
        </w:tc>
        <w:tc>
          <w:tcPr>
            <w:tcW w:type="dxa" w:w="2880"/>
            <w:vAlign w:val="center"/>
            <w:tcMar>
              <w:top w:w="60" w:type="dxa"/>
              <w:start w:w="70" w:type="dxa"/>
              <w:bottom w:w="60" w:type="dxa"/>
              <w:end w:w="70" w:type="dxa"/>
            </w:tcMar>
          </w:tcPr>
          <w:p>
            <w:pPr>
              <w:spacing w:after="0" w:line="240" w:lineRule="auto"/>
            </w:pPr>
            <w:r/>
            <w:r>
              <w:rPr>
                <w:rFonts w:ascii="Arial" w:hAnsi="Arial"/>
                <w:b w:val="0"/>
                <w:sz w:val="15"/>
              </w:rPr>
              <w:t>Portable/mobile exposure evaluation</w:t>
            </w:r>
          </w:p>
        </w:tc>
      </w:tr>
      <w:tr>
        <w:trPr>
          <w:cantSplit/>
        </w:trPr>
        <w:tc>
          <w:tcPr>
            <w:tcW w:type="dxa" w:w="1440"/>
            <w:vAlign w:val="center"/>
            <w:tcMar>
              <w:top w:w="60" w:type="dxa"/>
              <w:start w:w="70" w:type="dxa"/>
              <w:bottom w:w="60" w:type="dxa"/>
              <w:end w:w="70" w:type="dxa"/>
            </w:tcMar>
            <w:shd w:fill="F5F7F9"/>
          </w:tcPr>
          <w:p>
            <w:pPr>
              <w:spacing w:after="0" w:line="240" w:lineRule="auto"/>
            </w:pPr>
            <w:r/>
            <w:r>
              <w:rPr>
                <w:rFonts w:ascii="Arial" w:hAnsi="Arial"/>
                <w:b w:val="0"/>
                <w:sz w:val="15"/>
              </w:rPr>
              <w:t>Electronics</w:t>
            </w:r>
          </w:p>
        </w:tc>
        <w:tc>
          <w:tcPr>
            <w:tcW w:type="dxa" w:w="1872"/>
            <w:vAlign w:val="center"/>
            <w:tcMar>
              <w:top w:w="60" w:type="dxa"/>
              <w:start w:w="70" w:type="dxa"/>
              <w:bottom w:w="60" w:type="dxa"/>
              <w:end w:w="70" w:type="dxa"/>
            </w:tcMar>
            <w:shd w:fill="F5F7F9"/>
          </w:tcPr>
          <w:p>
            <w:pPr>
              <w:spacing w:after="0" w:line="240" w:lineRule="auto"/>
            </w:pPr>
            <w:r/>
            <w:r>
              <w:rPr>
                <w:rFonts w:ascii="Arial" w:hAnsi="Arial"/>
                <w:b w:val="0"/>
                <w:sz w:val="15"/>
              </w:rPr>
              <w:t>Battery and transport</w:t>
            </w:r>
          </w:p>
        </w:tc>
        <w:tc>
          <w:tcPr>
            <w:tcW w:type="dxa" w:w="4176"/>
            <w:vAlign w:val="center"/>
            <w:tcMar>
              <w:top w:w="60" w:type="dxa"/>
              <w:start w:w="70" w:type="dxa"/>
              <w:bottom w:w="60" w:type="dxa"/>
              <w:end w:w="70" w:type="dxa"/>
            </w:tcMar>
            <w:shd w:fill="F5F7F9"/>
          </w:tcPr>
          <w:p>
            <w:pPr>
              <w:spacing w:after="0" w:line="240" w:lineRule="auto"/>
            </w:pPr>
            <w:r/>
            <w:r>
              <w:rPr>
                <w:rFonts w:ascii="Arial" w:hAnsi="Arial"/>
                <w:b w:val="0"/>
                <w:sz w:val="15"/>
              </w:rPr>
              <w:t>chemistry, Wh, lithium grams, contained/packed-with/standalone, test summary</w:t>
            </w:r>
          </w:p>
        </w:tc>
        <w:tc>
          <w:tcPr>
            <w:tcW w:type="dxa" w:w="2880"/>
            <w:vAlign w:val="center"/>
            <w:tcMar>
              <w:top w:w="60" w:type="dxa"/>
              <w:start w:w="70" w:type="dxa"/>
              <w:bottom w:w="60" w:type="dxa"/>
              <w:end w:w="70" w:type="dxa"/>
            </w:tcMar>
            <w:shd w:fill="F5F7F9"/>
          </w:tcPr>
          <w:p>
            <w:pPr>
              <w:spacing w:after="0" w:line="240" w:lineRule="auto"/>
            </w:pPr>
            <w:r/>
            <w:r>
              <w:rPr>
                <w:rFonts w:ascii="Arial" w:hAnsi="Arial"/>
                <w:b w:val="0"/>
                <w:sz w:val="15"/>
              </w:rPr>
              <w:t>UN 38.3, packaging, marks, carrier escalation</w:t>
            </w:r>
          </w:p>
        </w:tc>
      </w:tr>
      <w:tr>
        <w:trPr>
          <w:cantSplit/>
        </w:trPr>
        <w:tc>
          <w:tcPr>
            <w:tcW w:type="dxa" w:w="1440"/>
            <w:vAlign w:val="center"/>
            <w:tcMar>
              <w:top w:w="60" w:type="dxa"/>
              <w:start w:w="70" w:type="dxa"/>
              <w:bottom w:w="60" w:type="dxa"/>
              <w:end w:w="70" w:type="dxa"/>
            </w:tcMar>
          </w:tcPr>
          <w:p>
            <w:pPr>
              <w:spacing w:after="0" w:line="240" w:lineRule="auto"/>
            </w:pPr>
            <w:r/>
            <w:r>
              <w:rPr>
                <w:rFonts w:ascii="Arial" w:hAnsi="Arial"/>
                <w:b w:val="0"/>
                <w:sz w:val="15"/>
              </w:rPr>
              <w:t>Electronics</w:t>
            </w:r>
          </w:p>
        </w:tc>
        <w:tc>
          <w:tcPr>
            <w:tcW w:type="dxa" w:w="1872"/>
            <w:vAlign w:val="center"/>
            <w:tcMar>
              <w:top w:w="60" w:type="dxa"/>
              <w:start w:w="70" w:type="dxa"/>
              <w:bottom w:w="60" w:type="dxa"/>
              <w:end w:w="70" w:type="dxa"/>
            </w:tcMar>
          </w:tcPr>
          <w:p>
            <w:pPr>
              <w:spacing w:after="0" w:line="240" w:lineRule="auto"/>
            </w:pPr>
            <w:r/>
            <w:r>
              <w:rPr>
                <w:rFonts w:ascii="Arial" w:hAnsi="Arial"/>
                <w:b w:val="0"/>
                <w:sz w:val="15"/>
              </w:rPr>
              <w:t>Power</w:t>
            </w:r>
          </w:p>
        </w:tc>
        <w:tc>
          <w:tcPr>
            <w:tcW w:type="dxa" w:w="4176"/>
            <w:vAlign w:val="center"/>
            <w:tcMar>
              <w:top w:w="60" w:type="dxa"/>
              <w:start w:w="70" w:type="dxa"/>
              <w:bottom w:w="60" w:type="dxa"/>
              <w:end w:w="70" w:type="dxa"/>
            </w:tcMar>
          </w:tcPr>
          <w:p>
            <w:pPr>
              <w:spacing w:after="0" w:line="240" w:lineRule="auto"/>
            </w:pPr>
            <w:r/>
            <w:r>
              <w:rPr>
                <w:rFonts w:ascii="Arial" w:hAnsi="Arial"/>
                <w:b w:val="0"/>
                <w:sz w:val="15"/>
              </w:rPr>
              <w:t>external power supply, battery charger, operation while charging, mains ratings</w:t>
            </w:r>
          </w:p>
        </w:tc>
        <w:tc>
          <w:tcPr>
            <w:tcW w:type="dxa" w:w="2880"/>
            <w:vAlign w:val="center"/>
            <w:tcMar>
              <w:top w:w="60" w:type="dxa"/>
              <w:start w:w="70" w:type="dxa"/>
              <w:bottom w:w="60" w:type="dxa"/>
              <w:end w:w="70" w:type="dxa"/>
            </w:tcMar>
          </w:tcPr>
          <w:p>
            <w:pPr>
              <w:spacing w:after="0" w:line="240" w:lineRule="auto"/>
            </w:pPr>
            <w:r/>
            <w:r>
              <w:rPr>
                <w:rFonts w:ascii="Arial" w:hAnsi="Arial"/>
                <w:b w:val="0"/>
                <w:sz w:val="15"/>
              </w:rPr>
              <w:t>DOE efficiency and conditional electrical-safety review</w:t>
            </w:r>
          </w:p>
        </w:tc>
      </w:tr>
    </w:tbl>
    <w:p>
      <w:pPr>
        <w:spacing w:after="0"/>
      </w:pPr>
    </w:p>
    <w:p>
      <w:pPr>
        <w:pStyle w:val="Heading2"/>
      </w:pPr>
      <w:r>
        <w:t>Category crossover</w:t>
      </w:r>
    </w:p>
    <w:p>
      <w:r>
        <w:t>An electronic product is not automatically general use. CPSC applies a four-factor test, and child-themed, child-sized, or play-focused electronics can become children's products. The data model therefore permits dual routing instead of forcing every SKU into a single mutually exclusive branch.</w:t>
      </w:r>
    </w:p>
    <w:p>
      <w:pPr>
        <w:pStyle w:val="Heading1"/>
      </w:pPr>
      <w:r>
        <w:t>Toy compliance matrix</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037"/>
            <w:vAlign w:val="center"/>
            <w:tcMar>
              <w:top w:w="60" w:type="dxa"/>
              <w:start w:w="70" w:type="dxa"/>
              <w:bottom w:w="60" w:type="dxa"/>
              <w:end w:w="70" w:type="dxa"/>
            </w:tcMar>
            <w:shd w:fill="17324D"/>
          </w:tcPr>
          <w:p>
            <w:pPr>
              <w:spacing w:after="0" w:line="240" w:lineRule="auto"/>
            </w:pPr>
            <w:r/>
            <w:r>
              <w:rPr>
                <w:rFonts w:ascii="Arial" w:hAnsi="Arial"/>
                <w:b/>
                <w:color w:val="FFFFFF"/>
                <w:sz w:val="13"/>
              </w:rPr>
              <w:t>Rule</w:t>
            </w:r>
          </w:p>
        </w:tc>
        <w:tc>
          <w:tcPr>
            <w:tcW w:type="dxa" w:w="2088"/>
            <w:vAlign w:val="center"/>
            <w:tcMar>
              <w:top w:w="60" w:type="dxa"/>
              <w:start w:w="70" w:type="dxa"/>
              <w:bottom w:w="60" w:type="dxa"/>
              <w:end w:w="70" w:type="dxa"/>
            </w:tcMar>
            <w:shd w:fill="17324D"/>
          </w:tcPr>
          <w:p>
            <w:pPr>
              <w:spacing w:after="0" w:line="240" w:lineRule="auto"/>
            </w:pPr>
            <w:r/>
            <w:r>
              <w:rPr>
                <w:rFonts w:ascii="Arial" w:hAnsi="Arial"/>
                <w:b/>
                <w:color w:val="FFFFFF"/>
                <w:sz w:val="13"/>
              </w:rPr>
              <w:t>Requirement</w:t>
            </w:r>
          </w:p>
        </w:tc>
        <w:tc>
          <w:tcPr>
            <w:tcW w:type="dxa" w:w="3384"/>
            <w:vAlign w:val="center"/>
            <w:tcMar>
              <w:top w:w="60" w:type="dxa"/>
              <w:start w:w="70" w:type="dxa"/>
              <w:bottom w:w="60" w:type="dxa"/>
              <w:end w:w="70" w:type="dxa"/>
            </w:tcMar>
            <w:shd w:fill="17324D"/>
          </w:tcPr>
          <w:p>
            <w:pPr>
              <w:spacing w:after="0" w:line="240" w:lineRule="auto"/>
            </w:pPr>
            <w:r/>
            <w:r>
              <w:rPr>
                <w:rFonts w:ascii="Arial" w:hAnsi="Arial"/>
                <w:b/>
                <w:color w:val="FFFFFF"/>
                <w:sz w:val="13"/>
              </w:rPr>
              <w:t>Trigger</w:t>
            </w:r>
          </w:p>
        </w:tc>
        <w:tc>
          <w:tcPr>
            <w:tcW w:type="dxa" w:w="2376"/>
            <w:vAlign w:val="center"/>
            <w:tcMar>
              <w:top w:w="60" w:type="dxa"/>
              <w:start w:w="70" w:type="dxa"/>
              <w:bottom w:w="60" w:type="dxa"/>
              <w:end w:w="70" w:type="dxa"/>
            </w:tcMar>
            <w:shd w:fill="17324D"/>
          </w:tcPr>
          <w:p>
            <w:pPr>
              <w:spacing w:after="0" w:line="240" w:lineRule="auto"/>
            </w:pPr>
            <w:r/>
            <w:r>
              <w:rPr>
                <w:rFonts w:ascii="Arial" w:hAnsi="Arial"/>
                <w:b/>
                <w:color w:val="FFFFFF"/>
                <w:sz w:val="13"/>
              </w:rPr>
              <w:t>Evidence</w:t>
            </w:r>
          </w:p>
        </w:tc>
        <w:tc>
          <w:tcPr>
            <w:tcW w:type="dxa" w:w="1195"/>
            <w:vAlign w:val="center"/>
            <w:tcMar>
              <w:top w:w="60" w:type="dxa"/>
              <w:start w:w="70" w:type="dxa"/>
              <w:bottom w:w="60" w:type="dxa"/>
              <w:end w:w="70" w:type="dxa"/>
            </w:tcMar>
            <w:shd w:fill="17324D"/>
          </w:tcPr>
          <w:p>
            <w:pPr>
              <w:spacing w:after="0" w:line="240" w:lineRule="auto"/>
            </w:pPr>
            <w:r/>
            <w:r>
              <w:rPr>
                <w:rFonts w:ascii="Arial" w:hAnsi="Arial"/>
                <w:b/>
                <w:color w:val="FFFFFF"/>
                <w:sz w:val="13"/>
              </w:rPr>
              <w:t>Sources</w:t>
            </w:r>
          </w:p>
        </w:tc>
      </w:tr>
      <w:tr>
        <w:trPr>
          <w:cantSplit/>
        </w:trPr>
        <w:tc>
          <w:tcPr>
            <w:tcW w:type="dxa" w:w="1037"/>
            <w:vAlign w:val="center"/>
            <w:tcMar>
              <w:top w:w="60" w:type="dxa"/>
              <w:start w:w="70" w:type="dxa"/>
              <w:bottom w:w="60" w:type="dxa"/>
              <w:end w:w="70" w:type="dxa"/>
            </w:tcMar>
          </w:tcPr>
          <w:p>
            <w:pPr>
              <w:spacing w:after="0" w:line="240" w:lineRule="auto"/>
            </w:pPr>
            <w:r/>
            <w:r>
              <w:rPr>
                <w:rFonts w:ascii="Arial" w:hAnsi="Arial"/>
                <w:b w:val="0"/>
                <w:sz w:val="13"/>
              </w:rPr>
              <w:t>R-TOY-001</w:t>
            </w:r>
          </w:p>
        </w:tc>
        <w:tc>
          <w:tcPr>
            <w:tcW w:type="dxa" w:w="2088"/>
            <w:vAlign w:val="center"/>
            <w:tcMar>
              <w:top w:w="60" w:type="dxa"/>
              <w:start w:w="70" w:type="dxa"/>
              <w:bottom w:w="60" w:type="dxa"/>
              <w:end w:w="70" w:type="dxa"/>
            </w:tcMar>
          </w:tcPr>
          <w:p>
            <w:pPr>
              <w:spacing w:after="0" w:line="240" w:lineRule="auto"/>
            </w:pPr>
            <w:r/>
            <w:r>
              <w:rPr>
                <w:rFonts w:ascii="Arial" w:hAnsi="Arial"/>
                <w:b w:val="0"/>
                <w:sz w:val="13"/>
              </w:rPr>
              <w:t>Toy and children's-product classification</w:t>
            </w:r>
          </w:p>
        </w:tc>
        <w:tc>
          <w:tcPr>
            <w:tcW w:type="dxa" w:w="3384"/>
            <w:vAlign w:val="center"/>
            <w:tcMar>
              <w:top w:w="60" w:type="dxa"/>
              <w:start w:w="70" w:type="dxa"/>
              <w:bottom w:w="60" w:type="dxa"/>
              <w:end w:w="70" w:type="dxa"/>
            </w:tcMar>
          </w:tcPr>
          <w:p>
            <w:pPr>
              <w:spacing w:after="0" w:line="240" w:lineRule="auto"/>
            </w:pPr>
            <w:r/>
            <w:r>
              <w:rPr>
                <w:rFonts w:ascii="Arial" w:hAnsi="Arial"/>
                <w:b w:val="0"/>
                <w:sz w:val="13"/>
              </w:rPr>
              <w:t>Product is designed, made, or marketed as a plaything for children under 14; CPSC children's-product duties apply when intended primarily for children 12 or younger under the four-factor test.</w:t>
            </w:r>
          </w:p>
        </w:tc>
        <w:tc>
          <w:tcPr>
            <w:tcW w:type="dxa" w:w="2376"/>
            <w:vAlign w:val="center"/>
            <w:tcMar>
              <w:top w:w="60" w:type="dxa"/>
              <w:start w:w="70" w:type="dxa"/>
              <w:bottom w:w="60" w:type="dxa"/>
              <w:end w:w="70" w:type="dxa"/>
            </w:tcMar>
          </w:tcPr>
          <w:p>
            <w:pPr>
              <w:spacing w:after="0" w:line="240" w:lineRule="auto"/>
            </w:pPr>
            <w:r/>
            <w:r>
              <w:rPr>
                <w:rFonts w:ascii="Arial" w:hAnsi="Arial"/>
                <w:b w:val="0"/>
                <w:sz w:val="13"/>
              </w:rPr>
              <w:t>Age grading rationale; product, packaging, advertising, and market evidence.</w:t>
            </w:r>
          </w:p>
        </w:tc>
        <w:tc>
          <w:tcPr>
            <w:tcW w:type="dxa" w:w="1195"/>
            <w:vAlign w:val="center"/>
            <w:tcMar>
              <w:top w:w="60" w:type="dxa"/>
              <w:start w:w="70" w:type="dxa"/>
              <w:bottom w:w="60" w:type="dxa"/>
              <w:end w:w="70" w:type="dxa"/>
            </w:tcMar>
          </w:tcPr>
          <w:p>
            <w:pPr>
              <w:spacing w:after="0" w:line="240" w:lineRule="auto"/>
            </w:pPr>
            <w:r/>
            <w:r>
              <w:rPr>
                <w:rFonts w:ascii="Arial" w:hAnsi="Arial"/>
                <w:b w:val="0"/>
                <w:sz w:val="13"/>
              </w:rPr>
              <w:t>S001; S006</w:t>
            </w:r>
          </w:p>
        </w:tc>
      </w:tr>
      <w:tr>
        <w:trPr>
          <w:cantSplit/>
        </w:trPr>
        <w:tc>
          <w:tcPr>
            <w:tcW w:type="dxa" w:w="1037"/>
            <w:vAlign w:val="center"/>
            <w:tcMar>
              <w:top w:w="60" w:type="dxa"/>
              <w:start w:w="70" w:type="dxa"/>
              <w:bottom w:w="60" w:type="dxa"/>
              <w:end w:w="70" w:type="dxa"/>
            </w:tcMar>
            <w:shd w:fill="F5F7F9"/>
          </w:tcPr>
          <w:p>
            <w:pPr>
              <w:spacing w:after="0" w:line="240" w:lineRule="auto"/>
            </w:pPr>
            <w:r/>
            <w:r>
              <w:rPr>
                <w:rFonts w:ascii="Arial" w:hAnsi="Arial"/>
                <w:b w:val="0"/>
                <w:sz w:val="13"/>
              </w:rPr>
              <w:t>R-TOY-002</w:t>
            </w:r>
          </w:p>
        </w:tc>
        <w:tc>
          <w:tcPr>
            <w:tcW w:type="dxa" w:w="2088"/>
            <w:vAlign w:val="center"/>
            <w:tcMar>
              <w:top w:w="60" w:type="dxa"/>
              <w:start w:w="70" w:type="dxa"/>
              <w:bottom w:w="60" w:type="dxa"/>
              <w:end w:w="70" w:type="dxa"/>
            </w:tcMar>
            <w:shd w:fill="F5F7F9"/>
          </w:tcPr>
          <w:p>
            <w:pPr>
              <w:spacing w:after="0" w:line="240" w:lineRule="auto"/>
            </w:pPr>
            <w:r/>
            <w:r>
              <w:rPr>
                <w:rFonts w:ascii="Arial" w:hAnsi="Arial"/>
                <w:b w:val="0"/>
                <w:sz w:val="13"/>
              </w:rPr>
              <w:t>ASTM F963-23 applicable toy provisions</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3"/>
              </w:rPr>
              <w:t>Finished product is a toy within 16 CFR part 1250; only provisions applicable to the toy's age, features, materials, and hazards apply.</w:t>
            </w:r>
          </w:p>
        </w:tc>
        <w:tc>
          <w:tcPr>
            <w:tcW w:type="dxa" w:w="2376"/>
            <w:vAlign w:val="center"/>
            <w:tcMar>
              <w:top w:w="60" w:type="dxa"/>
              <w:start w:w="70" w:type="dxa"/>
              <w:bottom w:w="60" w:type="dxa"/>
              <w:end w:w="70" w:type="dxa"/>
            </w:tcMar>
            <w:shd w:fill="F5F7F9"/>
          </w:tcPr>
          <w:p>
            <w:pPr>
              <w:spacing w:after="0" w:line="240" w:lineRule="auto"/>
            </w:pPr>
            <w:r/>
            <w:r>
              <w:rPr>
                <w:rFonts w:ascii="Arial" w:hAnsi="Arial"/>
                <w:b w:val="0"/>
                <w:sz w:val="13"/>
              </w:rPr>
              <w:t>CPSC-accepted laboratory report for third-party sections; applicability checklist.</w:t>
            </w:r>
          </w:p>
        </w:tc>
        <w:tc>
          <w:tcPr>
            <w:tcW w:type="dxa" w:w="1195"/>
            <w:vAlign w:val="center"/>
            <w:tcMar>
              <w:top w:w="60" w:type="dxa"/>
              <w:start w:w="70" w:type="dxa"/>
              <w:bottom w:w="60" w:type="dxa"/>
              <w:end w:w="70" w:type="dxa"/>
            </w:tcMar>
            <w:shd w:fill="F5F7F9"/>
          </w:tcPr>
          <w:p>
            <w:pPr>
              <w:spacing w:after="0" w:line="240" w:lineRule="auto"/>
            </w:pPr>
            <w:r/>
            <w:r>
              <w:rPr>
                <w:rFonts w:ascii="Arial" w:hAnsi="Arial"/>
                <w:b w:val="0"/>
                <w:sz w:val="13"/>
              </w:rPr>
              <w:t>S002; S003; S018</w:t>
            </w:r>
          </w:p>
        </w:tc>
      </w:tr>
      <w:tr>
        <w:trPr>
          <w:cantSplit/>
        </w:trPr>
        <w:tc>
          <w:tcPr>
            <w:tcW w:type="dxa" w:w="1037"/>
            <w:vAlign w:val="center"/>
            <w:tcMar>
              <w:top w:w="60" w:type="dxa"/>
              <w:start w:w="70" w:type="dxa"/>
              <w:bottom w:w="60" w:type="dxa"/>
              <w:end w:w="70" w:type="dxa"/>
            </w:tcMar>
          </w:tcPr>
          <w:p>
            <w:pPr>
              <w:spacing w:after="0" w:line="240" w:lineRule="auto"/>
            </w:pPr>
            <w:r/>
            <w:r>
              <w:rPr>
                <w:rFonts w:ascii="Arial" w:hAnsi="Arial"/>
                <w:b w:val="0"/>
                <w:sz w:val="13"/>
              </w:rPr>
              <w:t>R-TOY-003</w:t>
            </w:r>
          </w:p>
        </w:tc>
        <w:tc>
          <w:tcPr>
            <w:tcW w:type="dxa" w:w="2088"/>
            <w:vAlign w:val="center"/>
            <w:tcMar>
              <w:top w:w="60" w:type="dxa"/>
              <w:start w:w="70" w:type="dxa"/>
              <w:bottom w:w="60" w:type="dxa"/>
              <w:end w:w="70" w:type="dxa"/>
            </w:tcMar>
          </w:tcPr>
          <w:p>
            <w:pPr>
              <w:spacing w:after="0" w:line="240" w:lineRule="auto"/>
            </w:pPr>
            <w:r/>
            <w:r>
              <w:rPr>
                <w:rFonts w:ascii="Arial" w:hAnsi="Arial"/>
                <w:b w:val="0"/>
                <w:sz w:val="13"/>
              </w:rPr>
              <w:t>CPSC-accepted third-party testing and Children's Product Certificate</w:t>
            </w:r>
          </w:p>
        </w:tc>
        <w:tc>
          <w:tcPr>
            <w:tcW w:type="dxa" w:w="3384"/>
            <w:vAlign w:val="center"/>
            <w:tcMar>
              <w:top w:w="60" w:type="dxa"/>
              <w:start w:w="70" w:type="dxa"/>
              <w:bottom w:w="60" w:type="dxa"/>
              <w:end w:w="70" w:type="dxa"/>
            </w:tcMar>
          </w:tcPr>
          <w:p>
            <w:pPr>
              <w:spacing w:after="0" w:line="240" w:lineRule="auto"/>
            </w:pPr>
            <w:r/>
            <w:r>
              <w:rPr>
                <w:rFonts w:ascii="Arial" w:hAnsi="Arial"/>
                <w:b w:val="0"/>
                <w:sz w:val="13"/>
              </w:rPr>
              <w:t>Toy is a children's product subject to one or more children's product safety rules; no valid testing determination removes the test for a component/rule.</w:t>
            </w:r>
          </w:p>
        </w:tc>
        <w:tc>
          <w:tcPr>
            <w:tcW w:type="dxa" w:w="2376"/>
            <w:vAlign w:val="center"/>
            <w:tcMar>
              <w:top w:w="60" w:type="dxa"/>
              <w:start w:w="70" w:type="dxa"/>
              <w:bottom w:w="60" w:type="dxa"/>
              <w:end w:w="70" w:type="dxa"/>
            </w:tcMar>
          </w:tcPr>
          <w:p>
            <w:pPr>
              <w:spacing w:after="0" w:line="240" w:lineRule="auto"/>
            </w:pPr>
            <w:r/>
            <w:r>
              <w:rPr>
                <w:rFonts w:ascii="Arial" w:hAnsi="Arial"/>
                <w:b w:val="0"/>
                <w:sz w:val="13"/>
              </w:rPr>
              <w:t>CPC in English; underlying test reports; records; seven required CPC data elements.</w:t>
            </w:r>
          </w:p>
        </w:tc>
        <w:tc>
          <w:tcPr>
            <w:tcW w:type="dxa" w:w="1195"/>
            <w:vAlign w:val="center"/>
            <w:tcMar>
              <w:top w:w="60" w:type="dxa"/>
              <w:start w:w="70" w:type="dxa"/>
              <w:bottom w:w="60" w:type="dxa"/>
              <w:end w:w="70" w:type="dxa"/>
            </w:tcMar>
          </w:tcPr>
          <w:p>
            <w:pPr>
              <w:spacing w:after="0" w:line="240" w:lineRule="auto"/>
            </w:pPr>
            <w:r/>
            <w:r>
              <w:rPr>
                <w:rFonts w:ascii="Arial" w:hAnsi="Arial"/>
                <w:b w:val="0"/>
                <w:sz w:val="13"/>
              </w:rPr>
              <w:t>S004; S005</w:t>
            </w:r>
          </w:p>
        </w:tc>
      </w:tr>
      <w:tr>
        <w:trPr>
          <w:cantSplit/>
        </w:trPr>
        <w:tc>
          <w:tcPr>
            <w:tcW w:type="dxa" w:w="1037"/>
            <w:vAlign w:val="center"/>
            <w:tcMar>
              <w:top w:w="60" w:type="dxa"/>
              <w:start w:w="70" w:type="dxa"/>
              <w:bottom w:w="60" w:type="dxa"/>
              <w:end w:w="70" w:type="dxa"/>
            </w:tcMar>
            <w:shd w:fill="F5F7F9"/>
          </w:tcPr>
          <w:p>
            <w:pPr>
              <w:spacing w:after="0" w:line="240" w:lineRule="auto"/>
            </w:pPr>
            <w:r/>
            <w:r>
              <w:rPr>
                <w:rFonts w:ascii="Arial" w:hAnsi="Arial"/>
                <w:b w:val="0"/>
                <w:sz w:val="13"/>
              </w:rPr>
              <w:t>R-TOY-004</w:t>
            </w:r>
          </w:p>
        </w:tc>
        <w:tc>
          <w:tcPr>
            <w:tcW w:type="dxa" w:w="2088"/>
            <w:vAlign w:val="center"/>
            <w:tcMar>
              <w:top w:w="60" w:type="dxa"/>
              <w:start w:w="70" w:type="dxa"/>
              <w:bottom w:w="60" w:type="dxa"/>
              <w:end w:w="70" w:type="dxa"/>
            </w:tcMar>
            <w:shd w:fill="F5F7F9"/>
          </w:tcPr>
          <w:p>
            <w:pPr>
              <w:spacing w:after="0" w:line="240" w:lineRule="auto"/>
            </w:pPr>
            <w:r/>
            <w:r>
              <w:rPr>
                <w:rFonts w:ascii="Arial" w:hAnsi="Arial"/>
                <w:b w:val="0"/>
                <w:sz w:val="13"/>
              </w:rPr>
              <w:t>Total lead in accessible component parts</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3"/>
              </w:rPr>
              <w:t>Accessible component of a children's product; no material determination or statutory exception applies.</w:t>
            </w:r>
          </w:p>
        </w:tc>
        <w:tc>
          <w:tcPr>
            <w:tcW w:type="dxa" w:w="2376"/>
            <w:vAlign w:val="center"/>
            <w:tcMar>
              <w:top w:w="60" w:type="dxa"/>
              <w:start w:w="70" w:type="dxa"/>
              <w:bottom w:w="60" w:type="dxa"/>
              <w:end w:w="70" w:type="dxa"/>
            </w:tcMar>
            <w:shd w:fill="F5F7F9"/>
          </w:tcPr>
          <w:p>
            <w:pPr>
              <w:spacing w:after="0" w:line="240" w:lineRule="auto"/>
            </w:pPr>
            <w:r/>
            <w:r>
              <w:rPr>
                <w:rFonts w:ascii="Arial" w:hAnsi="Arial"/>
                <w:b w:val="0"/>
                <w:sz w:val="13"/>
              </w:rPr>
              <w:t>Lab report or valid component certificate; CPC citation.</w:t>
            </w:r>
          </w:p>
        </w:tc>
        <w:tc>
          <w:tcPr>
            <w:tcW w:type="dxa" w:w="1195"/>
            <w:vAlign w:val="center"/>
            <w:tcMar>
              <w:top w:w="60" w:type="dxa"/>
              <w:start w:w="70" w:type="dxa"/>
              <w:bottom w:w="60" w:type="dxa"/>
              <w:end w:w="70" w:type="dxa"/>
            </w:tcMar>
            <w:shd w:fill="F5F7F9"/>
          </w:tcPr>
          <w:p>
            <w:pPr>
              <w:spacing w:after="0" w:line="240" w:lineRule="auto"/>
            </w:pPr>
            <w:r/>
            <w:r>
              <w:rPr>
                <w:rFonts w:ascii="Arial" w:hAnsi="Arial"/>
                <w:b w:val="0"/>
                <w:sz w:val="13"/>
              </w:rPr>
              <w:t>S007; S005</w:t>
            </w:r>
          </w:p>
        </w:tc>
      </w:tr>
      <w:tr>
        <w:trPr>
          <w:cantSplit/>
        </w:trPr>
        <w:tc>
          <w:tcPr>
            <w:tcW w:type="dxa" w:w="1037"/>
            <w:vAlign w:val="center"/>
            <w:tcMar>
              <w:top w:w="60" w:type="dxa"/>
              <w:start w:w="70" w:type="dxa"/>
              <w:bottom w:w="60" w:type="dxa"/>
              <w:end w:w="70" w:type="dxa"/>
            </w:tcMar>
          </w:tcPr>
          <w:p>
            <w:pPr>
              <w:spacing w:after="0" w:line="240" w:lineRule="auto"/>
            </w:pPr>
            <w:r/>
            <w:r>
              <w:rPr>
                <w:rFonts w:ascii="Arial" w:hAnsi="Arial"/>
                <w:b w:val="0"/>
                <w:sz w:val="13"/>
              </w:rPr>
              <w:t>R-TOY-005</w:t>
            </w:r>
          </w:p>
        </w:tc>
        <w:tc>
          <w:tcPr>
            <w:tcW w:type="dxa" w:w="2088"/>
            <w:vAlign w:val="center"/>
            <w:tcMar>
              <w:top w:w="60" w:type="dxa"/>
              <w:start w:w="70" w:type="dxa"/>
              <w:bottom w:w="60" w:type="dxa"/>
              <w:end w:w="70" w:type="dxa"/>
            </w:tcMar>
          </w:tcPr>
          <w:p>
            <w:pPr>
              <w:spacing w:after="0" w:line="240" w:lineRule="auto"/>
            </w:pPr>
            <w:r/>
            <w:r>
              <w:rPr>
                <w:rFonts w:ascii="Arial" w:hAnsi="Arial"/>
                <w:b w:val="0"/>
                <w:sz w:val="13"/>
              </w:rPr>
              <w:t>Lead in paint and similar surface coatings</w:t>
            </w:r>
          </w:p>
        </w:tc>
        <w:tc>
          <w:tcPr>
            <w:tcW w:type="dxa" w:w="3384"/>
            <w:vAlign w:val="center"/>
            <w:tcMar>
              <w:top w:w="60" w:type="dxa"/>
              <w:start w:w="70" w:type="dxa"/>
              <w:bottom w:w="60" w:type="dxa"/>
              <w:end w:w="70" w:type="dxa"/>
            </w:tcMar>
          </w:tcPr>
          <w:p>
            <w:pPr>
              <w:spacing w:after="0" w:line="240" w:lineRule="auto"/>
            </w:pPr>
            <w:r/>
            <w:r>
              <w:rPr>
                <w:rFonts w:ascii="Arial" w:hAnsi="Arial"/>
                <w:b w:val="0"/>
                <w:sz w:val="13"/>
              </w:rPr>
              <w:t>Toy or children's product bears paint or a similar surface coating; exclusions such as certain printing inks, electroplating, and ceramic glaze must be assessed.</w:t>
            </w:r>
          </w:p>
        </w:tc>
        <w:tc>
          <w:tcPr>
            <w:tcW w:type="dxa" w:w="2376"/>
            <w:vAlign w:val="center"/>
            <w:tcMar>
              <w:top w:w="60" w:type="dxa"/>
              <w:start w:w="70" w:type="dxa"/>
              <w:bottom w:w="60" w:type="dxa"/>
              <w:end w:w="70" w:type="dxa"/>
            </w:tcMar>
          </w:tcPr>
          <w:p>
            <w:pPr>
              <w:spacing w:after="0" w:line="240" w:lineRule="auto"/>
            </w:pPr>
            <w:r/>
            <w:r>
              <w:rPr>
                <w:rFonts w:ascii="Arial" w:hAnsi="Arial"/>
                <w:b w:val="0"/>
                <w:sz w:val="13"/>
              </w:rPr>
              <w:t>Lab report; CPC citation.</w:t>
            </w:r>
          </w:p>
        </w:tc>
        <w:tc>
          <w:tcPr>
            <w:tcW w:type="dxa" w:w="1195"/>
            <w:vAlign w:val="center"/>
            <w:tcMar>
              <w:top w:w="60" w:type="dxa"/>
              <w:start w:w="70" w:type="dxa"/>
              <w:bottom w:w="60" w:type="dxa"/>
              <w:end w:w="70" w:type="dxa"/>
            </w:tcMar>
          </w:tcPr>
          <w:p>
            <w:pPr>
              <w:spacing w:after="0" w:line="240" w:lineRule="auto"/>
            </w:pPr>
            <w:r/>
            <w:r>
              <w:rPr>
                <w:rFonts w:ascii="Arial" w:hAnsi="Arial"/>
                <w:b w:val="0"/>
                <w:sz w:val="13"/>
              </w:rPr>
              <w:t>S008; S005</w:t>
            </w:r>
          </w:p>
        </w:tc>
      </w:tr>
      <w:tr>
        <w:trPr>
          <w:cantSplit/>
        </w:trPr>
        <w:tc>
          <w:tcPr>
            <w:tcW w:type="dxa" w:w="1037"/>
            <w:vAlign w:val="center"/>
            <w:tcMar>
              <w:top w:w="60" w:type="dxa"/>
              <w:start w:w="70" w:type="dxa"/>
              <w:bottom w:w="60" w:type="dxa"/>
              <w:end w:w="70" w:type="dxa"/>
            </w:tcMar>
            <w:shd w:fill="F5F7F9"/>
          </w:tcPr>
          <w:p>
            <w:pPr>
              <w:spacing w:after="0" w:line="240" w:lineRule="auto"/>
            </w:pPr>
            <w:r/>
            <w:r>
              <w:rPr>
                <w:rFonts w:ascii="Arial" w:hAnsi="Arial"/>
                <w:b w:val="0"/>
                <w:sz w:val="13"/>
              </w:rPr>
              <w:t>R-TOY-006</w:t>
            </w:r>
          </w:p>
        </w:tc>
        <w:tc>
          <w:tcPr>
            <w:tcW w:type="dxa" w:w="2088"/>
            <w:vAlign w:val="center"/>
            <w:tcMar>
              <w:top w:w="60" w:type="dxa"/>
              <w:start w:w="70" w:type="dxa"/>
              <w:bottom w:w="60" w:type="dxa"/>
              <w:end w:w="70" w:type="dxa"/>
            </w:tcMar>
            <w:shd w:fill="F5F7F9"/>
          </w:tcPr>
          <w:p>
            <w:pPr>
              <w:spacing w:after="0" w:line="240" w:lineRule="auto"/>
            </w:pPr>
            <w:r/>
            <w:r>
              <w:rPr>
                <w:rFonts w:ascii="Arial" w:hAnsi="Arial"/>
                <w:b w:val="0"/>
                <w:sz w:val="13"/>
              </w:rPr>
              <w:t>Specified phthalates in accessible plasticized components</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3"/>
              </w:rPr>
              <w:t>Children's toy for age 12 or younger or child-care article with accessible plasticized components; material determinations may remove third-party testing for specified materials.</w:t>
            </w:r>
          </w:p>
        </w:tc>
        <w:tc>
          <w:tcPr>
            <w:tcW w:type="dxa" w:w="2376"/>
            <w:vAlign w:val="center"/>
            <w:tcMar>
              <w:top w:w="60" w:type="dxa"/>
              <w:start w:w="70" w:type="dxa"/>
              <w:bottom w:w="60" w:type="dxa"/>
              <w:end w:w="70" w:type="dxa"/>
            </w:tcMar>
            <w:shd w:fill="F5F7F9"/>
          </w:tcPr>
          <w:p>
            <w:pPr>
              <w:spacing w:after="0" w:line="240" w:lineRule="auto"/>
            </w:pPr>
            <w:r/>
            <w:r>
              <w:rPr>
                <w:rFonts w:ascii="Arial" w:hAnsi="Arial"/>
                <w:b w:val="0"/>
                <w:sz w:val="13"/>
              </w:rPr>
              <w:t>Lab report or valid component documentation; CPC citation.</w:t>
            </w:r>
          </w:p>
        </w:tc>
        <w:tc>
          <w:tcPr>
            <w:tcW w:type="dxa" w:w="1195"/>
            <w:vAlign w:val="center"/>
            <w:tcMar>
              <w:top w:w="60" w:type="dxa"/>
              <w:start w:w="70" w:type="dxa"/>
              <w:bottom w:w="60" w:type="dxa"/>
              <w:end w:w="70" w:type="dxa"/>
            </w:tcMar>
            <w:shd w:fill="F5F7F9"/>
          </w:tcPr>
          <w:p>
            <w:pPr>
              <w:spacing w:after="0" w:line="240" w:lineRule="auto"/>
            </w:pPr>
            <w:r/>
            <w:r>
              <w:rPr>
                <w:rFonts w:ascii="Arial" w:hAnsi="Arial"/>
                <w:b w:val="0"/>
                <w:sz w:val="13"/>
              </w:rPr>
              <w:t>S009; S005</w:t>
            </w:r>
          </w:p>
        </w:tc>
      </w:tr>
      <w:tr>
        <w:trPr>
          <w:cantSplit/>
        </w:trPr>
        <w:tc>
          <w:tcPr>
            <w:tcW w:type="dxa" w:w="1037"/>
            <w:vAlign w:val="center"/>
            <w:tcMar>
              <w:top w:w="60" w:type="dxa"/>
              <w:start w:w="70" w:type="dxa"/>
              <w:bottom w:w="60" w:type="dxa"/>
              <w:end w:w="70" w:type="dxa"/>
            </w:tcMar>
          </w:tcPr>
          <w:p>
            <w:pPr>
              <w:spacing w:after="0" w:line="240" w:lineRule="auto"/>
            </w:pPr>
            <w:r/>
            <w:r>
              <w:rPr>
                <w:rFonts w:ascii="Arial" w:hAnsi="Arial"/>
                <w:b w:val="0"/>
                <w:sz w:val="13"/>
              </w:rPr>
              <w:t>R-TOY-007</w:t>
            </w:r>
          </w:p>
        </w:tc>
        <w:tc>
          <w:tcPr>
            <w:tcW w:type="dxa" w:w="2088"/>
            <w:vAlign w:val="center"/>
            <w:tcMar>
              <w:top w:w="60" w:type="dxa"/>
              <w:start w:w="70" w:type="dxa"/>
              <w:bottom w:w="60" w:type="dxa"/>
              <w:end w:w="70" w:type="dxa"/>
            </w:tcMar>
          </w:tcPr>
          <w:p>
            <w:pPr>
              <w:spacing w:after="0" w:line="240" w:lineRule="auto"/>
            </w:pPr>
            <w:r/>
            <w:r>
              <w:rPr>
                <w:rFonts w:ascii="Arial" w:hAnsi="Arial"/>
                <w:b w:val="0"/>
                <w:sz w:val="13"/>
              </w:rPr>
              <w:t>Small-parts ban for children under three</w:t>
            </w:r>
          </w:p>
        </w:tc>
        <w:tc>
          <w:tcPr>
            <w:tcW w:type="dxa" w:w="3384"/>
            <w:vAlign w:val="center"/>
            <w:tcMar>
              <w:top w:w="60" w:type="dxa"/>
              <w:start w:w="70" w:type="dxa"/>
              <w:bottom w:w="60" w:type="dxa"/>
              <w:end w:w="70" w:type="dxa"/>
            </w:tcMar>
          </w:tcPr>
          <w:p>
            <w:pPr>
              <w:spacing w:after="0" w:line="240" w:lineRule="auto"/>
            </w:pPr>
            <w:r/>
            <w:r>
              <w:rPr>
                <w:rFonts w:ascii="Arial" w:hAnsi="Arial"/>
                <w:b w:val="0"/>
                <w:sz w:val="13"/>
              </w:rPr>
              <w:t>Toy/article is intended for children under three and contains a small part as received or after applicable use-and-abuse testing, unless an exclusion applies.</w:t>
            </w:r>
          </w:p>
        </w:tc>
        <w:tc>
          <w:tcPr>
            <w:tcW w:type="dxa" w:w="2376"/>
            <w:vAlign w:val="center"/>
            <w:tcMar>
              <w:top w:w="60" w:type="dxa"/>
              <w:start w:w="70" w:type="dxa"/>
              <w:bottom w:w="60" w:type="dxa"/>
              <w:end w:w="70" w:type="dxa"/>
            </w:tcMar>
          </w:tcPr>
          <w:p>
            <w:pPr>
              <w:spacing w:after="0" w:line="240" w:lineRule="auto"/>
            </w:pPr>
            <w:r/>
            <w:r>
              <w:rPr>
                <w:rFonts w:ascii="Arial" w:hAnsi="Arial"/>
                <w:b w:val="0"/>
                <w:sz w:val="13"/>
              </w:rPr>
              <w:t>CPSC-accepted lab report; CPC citation.</w:t>
            </w:r>
          </w:p>
        </w:tc>
        <w:tc>
          <w:tcPr>
            <w:tcW w:type="dxa" w:w="1195"/>
            <w:vAlign w:val="center"/>
            <w:tcMar>
              <w:top w:w="60" w:type="dxa"/>
              <w:start w:w="70" w:type="dxa"/>
              <w:bottom w:w="60" w:type="dxa"/>
              <w:end w:w="70" w:type="dxa"/>
            </w:tcMar>
          </w:tcPr>
          <w:p>
            <w:pPr>
              <w:spacing w:after="0" w:line="240" w:lineRule="auto"/>
            </w:pPr>
            <w:r/>
            <w:r>
              <w:rPr>
                <w:rFonts w:ascii="Arial" w:hAnsi="Arial"/>
                <w:b w:val="0"/>
                <w:sz w:val="13"/>
              </w:rPr>
              <w:t>S010; S005</w:t>
            </w:r>
          </w:p>
        </w:tc>
      </w:tr>
      <w:tr>
        <w:trPr>
          <w:cantSplit/>
        </w:trPr>
        <w:tc>
          <w:tcPr>
            <w:tcW w:type="dxa" w:w="1037"/>
            <w:vAlign w:val="center"/>
            <w:tcMar>
              <w:top w:w="60" w:type="dxa"/>
              <w:start w:w="70" w:type="dxa"/>
              <w:bottom w:w="60" w:type="dxa"/>
              <w:end w:w="70" w:type="dxa"/>
            </w:tcMar>
            <w:shd w:fill="F5F7F9"/>
          </w:tcPr>
          <w:p>
            <w:pPr>
              <w:spacing w:after="0" w:line="240" w:lineRule="auto"/>
            </w:pPr>
            <w:r/>
            <w:r>
              <w:rPr>
                <w:rFonts w:ascii="Arial" w:hAnsi="Arial"/>
                <w:b w:val="0"/>
                <w:sz w:val="13"/>
              </w:rPr>
              <w:t>R-TOY-008</w:t>
            </w:r>
          </w:p>
        </w:tc>
        <w:tc>
          <w:tcPr>
            <w:tcW w:type="dxa" w:w="2088"/>
            <w:vAlign w:val="center"/>
            <w:tcMar>
              <w:top w:w="60" w:type="dxa"/>
              <w:start w:w="70" w:type="dxa"/>
              <w:bottom w:w="60" w:type="dxa"/>
              <w:end w:w="70" w:type="dxa"/>
            </w:tcMar>
            <w:shd w:fill="F5F7F9"/>
          </w:tcPr>
          <w:p>
            <w:pPr>
              <w:spacing w:after="0" w:line="240" w:lineRule="auto"/>
            </w:pPr>
            <w:r/>
            <w:r>
              <w:rPr>
                <w:rFonts w:ascii="Arial" w:hAnsi="Arial"/>
                <w:b w:val="0"/>
                <w:sz w:val="13"/>
              </w:rPr>
              <w:t>Choking-hazard warning for certain toys ages three through five</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3"/>
              </w:rPr>
              <w:t>Specified toy/game for children at least three but under six contains a small part, small ball, marble, or balloon within 16 CFR 1500.19 scope.</w:t>
            </w:r>
          </w:p>
        </w:tc>
        <w:tc>
          <w:tcPr>
            <w:tcW w:type="dxa" w:w="2376"/>
            <w:vAlign w:val="center"/>
            <w:tcMar>
              <w:top w:w="60" w:type="dxa"/>
              <w:start w:w="70" w:type="dxa"/>
              <w:bottom w:w="60" w:type="dxa"/>
              <w:end w:w="70" w:type="dxa"/>
            </w:tcMar>
            <w:shd w:fill="F5F7F9"/>
          </w:tcPr>
          <w:p>
            <w:pPr>
              <w:spacing w:after="0" w:line="240" w:lineRule="auto"/>
            </w:pPr>
            <w:r/>
            <w:r>
              <w:rPr>
                <w:rFonts w:ascii="Arial" w:hAnsi="Arial"/>
                <w:b w:val="0"/>
                <w:sz w:val="13"/>
              </w:rPr>
              <w:t>Test/assessment record; listing and packaging artwork.</w:t>
            </w:r>
          </w:p>
        </w:tc>
        <w:tc>
          <w:tcPr>
            <w:tcW w:type="dxa" w:w="1195"/>
            <w:vAlign w:val="center"/>
            <w:tcMar>
              <w:top w:w="60" w:type="dxa"/>
              <w:start w:w="70" w:type="dxa"/>
              <w:bottom w:w="60" w:type="dxa"/>
              <w:end w:w="70" w:type="dxa"/>
            </w:tcMar>
            <w:shd w:fill="F5F7F9"/>
          </w:tcPr>
          <w:p>
            <w:pPr>
              <w:spacing w:after="0" w:line="240" w:lineRule="auto"/>
            </w:pPr>
            <w:r/>
            <w:r>
              <w:rPr>
                <w:rFonts w:ascii="Arial" w:hAnsi="Arial"/>
                <w:b w:val="0"/>
                <w:sz w:val="13"/>
              </w:rPr>
              <w:t>S010</w:t>
            </w:r>
          </w:p>
        </w:tc>
      </w:tr>
      <w:tr>
        <w:trPr>
          <w:cantSplit/>
        </w:trPr>
        <w:tc>
          <w:tcPr>
            <w:tcW w:type="dxa" w:w="1037"/>
            <w:vAlign w:val="center"/>
            <w:tcMar>
              <w:top w:w="60" w:type="dxa"/>
              <w:start w:w="70" w:type="dxa"/>
              <w:bottom w:w="60" w:type="dxa"/>
              <w:end w:w="70" w:type="dxa"/>
            </w:tcMar>
          </w:tcPr>
          <w:p>
            <w:pPr>
              <w:spacing w:after="0" w:line="240" w:lineRule="auto"/>
            </w:pPr>
            <w:r/>
            <w:r>
              <w:rPr>
                <w:rFonts w:ascii="Arial" w:hAnsi="Arial"/>
                <w:b w:val="0"/>
                <w:sz w:val="13"/>
              </w:rPr>
              <w:t>R-TOY-010</w:t>
            </w:r>
          </w:p>
        </w:tc>
        <w:tc>
          <w:tcPr>
            <w:tcW w:type="dxa" w:w="2088"/>
            <w:vAlign w:val="center"/>
            <w:tcMar>
              <w:top w:w="60" w:type="dxa"/>
              <w:start w:w="70" w:type="dxa"/>
              <w:bottom w:w="60" w:type="dxa"/>
              <w:end w:w="70" w:type="dxa"/>
            </w:tcMar>
          </w:tcPr>
          <w:p>
            <w:pPr>
              <w:spacing w:after="0" w:line="240" w:lineRule="auto"/>
            </w:pPr>
            <w:r/>
            <w:r>
              <w:rPr>
                <w:rFonts w:ascii="Arial" w:hAnsi="Arial"/>
                <w:b w:val="0"/>
                <w:sz w:val="13"/>
              </w:rPr>
              <w:t>Magnet safety for toys</w:t>
            </w:r>
          </w:p>
        </w:tc>
        <w:tc>
          <w:tcPr>
            <w:tcW w:type="dxa" w:w="3384"/>
            <w:vAlign w:val="center"/>
            <w:tcMar>
              <w:top w:w="60" w:type="dxa"/>
              <w:start w:w="70" w:type="dxa"/>
              <w:bottom w:w="60" w:type="dxa"/>
              <w:end w:w="70" w:type="dxa"/>
            </w:tcMar>
          </w:tcPr>
          <w:p>
            <w:pPr>
              <w:spacing w:after="0" w:line="240" w:lineRule="auto"/>
            </w:pPr>
            <w:r/>
            <w:r>
              <w:rPr>
                <w:rFonts w:ascii="Arial" w:hAnsi="Arial"/>
                <w:b w:val="0"/>
                <w:sz w:val="13"/>
              </w:rPr>
              <w:t>Toy contains magnets; especially small, loose, separable, or liberated magnets after use-and-abuse testing.</w:t>
            </w:r>
          </w:p>
        </w:tc>
        <w:tc>
          <w:tcPr>
            <w:tcW w:type="dxa" w:w="2376"/>
            <w:vAlign w:val="center"/>
            <w:tcMar>
              <w:top w:w="60" w:type="dxa"/>
              <w:start w:w="70" w:type="dxa"/>
              <w:bottom w:w="60" w:type="dxa"/>
              <w:end w:w="70" w:type="dxa"/>
            </w:tcMar>
          </w:tcPr>
          <w:p>
            <w:pPr>
              <w:spacing w:after="0" w:line="240" w:lineRule="auto"/>
            </w:pPr>
            <w:r/>
            <w:r>
              <w:rPr>
                <w:rFonts w:ascii="Arial" w:hAnsi="Arial"/>
                <w:b w:val="0"/>
                <w:sz w:val="13"/>
              </w:rPr>
              <w:t>CPSC-accepted lab report; CPC citation to ASTM section 4.38.</w:t>
            </w:r>
          </w:p>
        </w:tc>
        <w:tc>
          <w:tcPr>
            <w:tcW w:type="dxa" w:w="1195"/>
            <w:vAlign w:val="center"/>
            <w:tcMar>
              <w:top w:w="60" w:type="dxa"/>
              <w:start w:w="70" w:type="dxa"/>
              <w:bottom w:w="60" w:type="dxa"/>
              <w:end w:w="70" w:type="dxa"/>
            </w:tcMar>
          </w:tcPr>
          <w:p>
            <w:pPr>
              <w:spacing w:after="0" w:line="240" w:lineRule="auto"/>
            </w:pPr>
            <w:r/>
            <w:r>
              <w:rPr>
                <w:rFonts w:ascii="Arial" w:hAnsi="Arial"/>
                <w:b w:val="0"/>
                <w:sz w:val="13"/>
              </w:rPr>
              <w:t>S005; S015</w:t>
            </w:r>
          </w:p>
        </w:tc>
      </w:tr>
      <w:tr>
        <w:trPr>
          <w:cantSplit/>
        </w:trPr>
        <w:tc>
          <w:tcPr>
            <w:tcW w:type="dxa" w:w="1037"/>
            <w:vAlign w:val="center"/>
            <w:tcMar>
              <w:top w:w="60" w:type="dxa"/>
              <w:start w:w="70" w:type="dxa"/>
              <w:bottom w:w="60" w:type="dxa"/>
              <w:end w:w="70" w:type="dxa"/>
            </w:tcMar>
            <w:shd w:fill="F5F7F9"/>
          </w:tcPr>
          <w:p>
            <w:pPr>
              <w:spacing w:after="0" w:line="240" w:lineRule="auto"/>
            </w:pPr>
            <w:r/>
            <w:r>
              <w:rPr>
                <w:rFonts w:ascii="Arial" w:hAnsi="Arial"/>
                <w:b w:val="0"/>
                <w:sz w:val="13"/>
              </w:rPr>
              <w:t>R-TOY-011</w:t>
            </w:r>
          </w:p>
        </w:tc>
        <w:tc>
          <w:tcPr>
            <w:tcW w:type="dxa" w:w="2088"/>
            <w:vAlign w:val="center"/>
            <w:tcMar>
              <w:top w:w="60" w:type="dxa"/>
              <w:start w:w="70" w:type="dxa"/>
              <w:bottom w:w="60" w:type="dxa"/>
              <w:end w:w="70" w:type="dxa"/>
            </w:tcMar>
            <w:shd w:fill="F5F7F9"/>
          </w:tcPr>
          <w:p>
            <w:pPr>
              <w:spacing w:after="0" w:line="240" w:lineRule="auto"/>
            </w:pPr>
            <w:r/>
            <w:r>
              <w:rPr>
                <w:rFonts w:ascii="Arial" w:hAnsi="Arial"/>
                <w:b w:val="0"/>
                <w:sz w:val="13"/>
              </w:rPr>
              <w:t>Battery-operated toy requirements</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3"/>
              </w:rPr>
              <w:t>Toy is battery operated, including toys using button/coin cells.</w:t>
            </w:r>
          </w:p>
        </w:tc>
        <w:tc>
          <w:tcPr>
            <w:tcW w:type="dxa" w:w="2376"/>
            <w:vAlign w:val="center"/>
            <w:tcMar>
              <w:top w:w="60" w:type="dxa"/>
              <w:start w:w="70" w:type="dxa"/>
              <w:bottom w:w="60" w:type="dxa"/>
              <w:end w:w="70" w:type="dxa"/>
            </w:tcMar>
            <w:shd w:fill="F5F7F9"/>
          </w:tcPr>
          <w:p>
            <w:pPr>
              <w:spacing w:after="0" w:line="240" w:lineRule="auto"/>
            </w:pPr>
            <w:r/>
            <w:r>
              <w:rPr>
                <w:rFonts w:ascii="Arial" w:hAnsi="Arial"/>
                <w:b w:val="0"/>
                <w:sz w:val="13"/>
              </w:rPr>
              <w:t>CPSC-accepted lab report; CPC citation to F963 4.25.</w:t>
            </w:r>
          </w:p>
        </w:tc>
        <w:tc>
          <w:tcPr>
            <w:tcW w:type="dxa" w:w="1195"/>
            <w:vAlign w:val="center"/>
            <w:tcMar>
              <w:top w:w="60" w:type="dxa"/>
              <w:start w:w="70" w:type="dxa"/>
              <w:bottom w:w="60" w:type="dxa"/>
              <w:end w:w="70" w:type="dxa"/>
            </w:tcMar>
            <w:shd w:fill="F5F7F9"/>
          </w:tcPr>
          <w:p>
            <w:pPr>
              <w:spacing w:after="0" w:line="240" w:lineRule="auto"/>
            </w:pPr>
            <w:r/>
            <w:r>
              <w:rPr>
                <w:rFonts w:ascii="Arial" w:hAnsi="Arial"/>
                <w:b w:val="0"/>
                <w:sz w:val="13"/>
              </w:rPr>
              <w:t>S005; S013; S018</w:t>
            </w:r>
          </w:p>
        </w:tc>
      </w:tr>
      <w:tr>
        <w:trPr>
          <w:cantSplit/>
        </w:trPr>
        <w:tc>
          <w:tcPr>
            <w:tcW w:type="dxa" w:w="1037"/>
            <w:vAlign w:val="center"/>
            <w:tcMar>
              <w:top w:w="60" w:type="dxa"/>
              <w:start w:w="70" w:type="dxa"/>
              <w:bottom w:w="60" w:type="dxa"/>
              <w:end w:w="70" w:type="dxa"/>
            </w:tcMar>
          </w:tcPr>
          <w:p>
            <w:pPr>
              <w:spacing w:after="0" w:line="240" w:lineRule="auto"/>
            </w:pPr>
            <w:r/>
            <w:r>
              <w:rPr>
                <w:rFonts w:ascii="Arial" w:hAnsi="Arial"/>
                <w:b w:val="0"/>
                <w:sz w:val="13"/>
              </w:rPr>
              <w:t>R-TOY-012</w:t>
            </w:r>
          </w:p>
        </w:tc>
        <w:tc>
          <w:tcPr>
            <w:tcW w:type="dxa" w:w="2088"/>
            <w:vAlign w:val="center"/>
            <w:tcMar>
              <w:top w:w="60" w:type="dxa"/>
              <w:start w:w="70" w:type="dxa"/>
              <w:bottom w:w="60" w:type="dxa"/>
              <w:end w:w="70" w:type="dxa"/>
            </w:tcMar>
          </w:tcPr>
          <w:p>
            <w:pPr>
              <w:spacing w:after="0" w:line="240" w:lineRule="auto"/>
            </w:pPr>
            <w:r/>
            <w:r>
              <w:rPr>
                <w:rFonts w:ascii="Arial" w:hAnsi="Arial"/>
                <w:b w:val="0"/>
                <w:sz w:val="13"/>
              </w:rPr>
              <w:t>Separately packaged button/coin cells included with toy</w:t>
            </w:r>
          </w:p>
        </w:tc>
        <w:tc>
          <w:tcPr>
            <w:tcW w:type="dxa" w:w="3384"/>
            <w:vAlign w:val="center"/>
            <w:tcMar>
              <w:top w:w="60" w:type="dxa"/>
              <w:start w:w="70" w:type="dxa"/>
              <w:bottom w:w="60" w:type="dxa"/>
              <w:end w:w="70" w:type="dxa"/>
            </w:tcMar>
          </w:tcPr>
          <w:p>
            <w:pPr>
              <w:spacing w:after="0" w:line="240" w:lineRule="auto"/>
            </w:pPr>
            <w:r/>
            <w:r>
              <w:rPr>
                <w:rFonts w:ascii="Arial" w:hAnsi="Arial"/>
                <w:b w:val="0"/>
                <w:sz w:val="13"/>
              </w:rPr>
              <w:t>Button/coin cell is packaged separately but included with or offered with the toy.</w:t>
            </w:r>
          </w:p>
        </w:tc>
        <w:tc>
          <w:tcPr>
            <w:tcW w:type="dxa" w:w="2376"/>
            <w:vAlign w:val="center"/>
            <w:tcMar>
              <w:top w:w="60" w:type="dxa"/>
              <w:start w:w="70" w:type="dxa"/>
              <w:bottom w:w="60" w:type="dxa"/>
              <w:end w:w="70" w:type="dxa"/>
            </w:tcMar>
          </w:tcPr>
          <w:p>
            <w:pPr>
              <w:spacing w:after="0" w:line="240" w:lineRule="auto"/>
            </w:pPr>
            <w:r/>
            <w:r>
              <w:rPr>
                <w:rFonts w:ascii="Arial" w:hAnsi="Arial"/>
                <w:b w:val="0"/>
                <w:sz w:val="13"/>
              </w:rPr>
              <w:t>Battery test summary/specification; special-packaging evidence; part 1263 packaging-label evidence; CPC citation where bundled children's-product certification requires it.</w:t>
            </w:r>
          </w:p>
        </w:tc>
        <w:tc>
          <w:tcPr>
            <w:tcW w:type="dxa" w:w="1195"/>
            <w:vAlign w:val="center"/>
            <w:tcMar>
              <w:top w:w="60" w:type="dxa"/>
              <w:start w:w="70" w:type="dxa"/>
              <w:bottom w:w="60" w:type="dxa"/>
              <w:end w:w="70" w:type="dxa"/>
            </w:tcMar>
          </w:tcPr>
          <w:p>
            <w:pPr>
              <w:spacing w:after="0" w:line="240" w:lineRule="auto"/>
            </w:pPr>
            <w:r/>
            <w:r>
              <w:rPr>
                <w:rFonts w:ascii="Arial" w:hAnsi="Arial"/>
                <w:b w:val="0"/>
                <w:sz w:val="13"/>
              </w:rPr>
              <w:t>S013; S014</w:t>
            </w:r>
          </w:p>
        </w:tc>
      </w:tr>
      <w:tr>
        <w:trPr>
          <w:cantSplit/>
        </w:trPr>
        <w:tc>
          <w:tcPr>
            <w:tcW w:type="dxa" w:w="1037"/>
            <w:vAlign w:val="center"/>
            <w:tcMar>
              <w:top w:w="60" w:type="dxa"/>
              <w:start w:w="70" w:type="dxa"/>
              <w:bottom w:w="60" w:type="dxa"/>
              <w:end w:w="70" w:type="dxa"/>
            </w:tcMar>
            <w:shd w:fill="F5F7F9"/>
          </w:tcPr>
          <w:p>
            <w:pPr>
              <w:spacing w:after="0" w:line="240" w:lineRule="auto"/>
            </w:pPr>
            <w:r/>
            <w:r>
              <w:rPr>
                <w:rFonts w:ascii="Arial" w:hAnsi="Arial"/>
                <w:b w:val="0"/>
                <w:sz w:val="13"/>
              </w:rPr>
              <w:t>R-TOY-013</w:t>
            </w:r>
          </w:p>
        </w:tc>
        <w:tc>
          <w:tcPr>
            <w:tcW w:type="dxa" w:w="2088"/>
            <w:vAlign w:val="center"/>
            <w:tcMar>
              <w:top w:w="60" w:type="dxa"/>
              <w:start w:w="70" w:type="dxa"/>
              <w:bottom w:w="60" w:type="dxa"/>
              <w:end w:w="70" w:type="dxa"/>
            </w:tcMar>
            <w:shd w:fill="F5F7F9"/>
          </w:tcPr>
          <w:p>
            <w:pPr>
              <w:spacing w:after="0" w:line="240" w:lineRule="auto"/>
            </w:pPr>
            <w:r/>
            <w:r>
              <w:rPr>
                <w:rFonts w:ascii="Arial" w:hAnsi="Arial"/>
                <w:b w:val="0"/>
                <w:sz w:val="13"/>
              </w:rPr>
              <w:t>Electrically operated toys powered from household circuits</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3"/>
              </w:rPr>
              <w:t>Toy/article intended for children is intended to be powered from nominal 120 V branch circuits; circuits at 30 V rms or less, adult products, and video games are excluded from the definition.</w:t>
            </w:r>
          </w:p>
        </w:tc>
        <w:tc>
          <w:tcPr>
            <w:tcW w:type="dxa" w:w="2376"/>
            <w:vAlign w:val="center"/>
            <w:tcMar>
              <w:top w:w="60" w:type="dxa"/>
              <w:start w:w="70" w:type="dxa"/>
              <w:bottom w:w="60" w:type="dxa"/>
              <w:end w:w="70" w:type="dxa"/>
            </w:tcMar>
            <w:shd w:fill="F5F7F9"/>
          </w:tcPr>
          <w:p>
            <w:pPr>
              <w:spacing w:after="0" w:line="240" w:lineRule="auto"/>
            </w:pPr>
            <w:r/>
            <w:r>
              <w:rPr>
                <w:rFonts w:ascii="Arial" w:hAnsi="Arial"/>
                <w:b w:val="0"/>
                <w:sz w:val="13"/>
              </w:rPr>
              <w:t>CPSC-accepted lab report; CPC citation to part 1505.</w:t>
            </w:r>
          </w:p>
        </w:tc>
        <w:tc>
          <w:tcPr>
            <w:tcW w:type="dxa" w:w="1195"/>
            <w:vAlign w:val="center"/>
            <w:tcMar>
              <w:top w:w="60" w:type="dxa"/>
              <w:start w:w="70" w:type="dxa"/>
              <w:bottom w:w="60" w:type="dxa"/>
              <w:end w:w="70" w:type="dxa"/>
            </w:tcMar>
            <w:shd w:fill="F5F7F9"/>
          </w:tcPr>
          <w:p>
            <w:pPr>
              <w:spacing w:after="0" w:line="240" w:lineRule="auto"/>
            </w:pPr>
            <w:r/>
            <w:r>
              <w:rPr>
                <w:rFonts w:ascii="Arial" w:hAnsi="Arial"/>
                <w:b w:val="0"/>
                <w:sz w:val="13"/>
              </w:rPr>
              <w:t>S012; S005</w:t>
            </w:r>
          </w:p>
        </w:tc>
      </w:tr>
      <w:tr>
        <w:trPr>
          <w:cantSplit/>
        </w:trPr>
        <w:tc>
          <w:tcPr>
            <w:tcW w:type="dxa" w:w="1037"/>
            <w:vAlign w:val="center"/>
            <w:tcMar>
              <w:top w:w="60" w:type="dxa"/>
              <w:start w:w="70" w:type="dxa"/>
              <w:bottom w:w="60" w:type="dxa"/>
              <w:end w:w="70" w:type="dxa"/>
            </w:tcMar>
          </w:tcPr>
          <w:p>
            <w:pPr>
              <w:spacing w:after="0" w:line="240" w:lineRule="auto"/>
            </w:pPr>
            <w:r/>
            <w:r>
              <w:rPr>
                <w:rFonts w:ascii="Arial" w:hAnsi="Arial"/>
                <w:b w:val="0"/>
                <w:sz w:val="13"/>
              </w:rPr>
              <w:t>R-TOY-014</w:t>
            </w:r>
          </w:p>
        </w:tc>
        <w:tc>
          <w:tcPr>
            <w:tcW w:type="dxa" w:w="2088"/>
            <w:vAlign w:val="center"/>
            <w:tcMar>
              <w:top w:w="60" w:type="dxa"/>
              <w:start w:w="70" w:type="dxa"/>
              <w:bottom w:w="60" w:type="dxa"/>
              <w:end w:w="70" w:type="dxa"/>
            </w:tcMar>
          </w:tcPr>
          <w:p>
            <w:pPr>
              <w:spacing w:after="0" w:line="240" w:lineRule="auto"/>
            </w:pPr>
            <w:r/>
            <w:r>
              <w:rPr>
                <w:rFonts w:ascii="Arial" w:hAnsi="Arial"/>
                <w:b w:val="0"/>
                <w:sz w:val="13"/>
              </w:rPr>
              <w:t>Tracking labels</w:t>
            </w:r>
          </w:p>
        </w:tc>
        <w:tc>
          <w:tcPr>
            <w:tcW w:type="dxa" w:w="3384"/>
            <w:vAlign w:val="center"/>
            <w:tcMar>
              <w:top w:w="60" w:type="dxa"/>
              <w:start w:w="70" w:type="dxa"/>
              <w:bottom w:w="60" w:type="dxa"/>
              <w:end w:w="70" w:type="dxa"/>
            </w:tcMar>
          </w:tcPr>
          <w:p>
            <w:pPr>
              <w:spacing w:after="0" w:line="240" w:lineRule="auto"/>
            </w:pPr>
            <w:r/>
            <w:r>
              <w:rPr>
                <w:rFonts w:ascii="Arial" w:hAnsi="Arial"/>
                <w:b w:val="0"/>
                <w:sz w:val="13"/>
              </w:rPr>
              <w:t>All children's products, to the extent practicable.</w:t>
            </w:r>
          </w:p>
        </w:tc>
        <w:tc>
          <w:tcPr>
            <w:tcW w:type="dxa" w:w="2376"/>
            <w:vAlign w:val="center"/>
            <w:tcMar>
              <w:top w:w="60" w:type="dxa"/>
              <w:start w:w="70" w:type="dxa"/>
              <w:bottom w:w="60" w:type="dxa"/>
              <w:end w:w="70" w:type="dxa"/>
            </w:tcMar>
          </w:tcPr>
          <w:p>
            <w:pPr>
              <w:spacing w:after="0" w:line="240" w:lineRule="auto"/>
            </w:pPr>
            <w:r/>
            <w:r>
              <w:rPr>
                <w:rFonts w:ascii="Arial" w:hAnsi="Arial"/>
                <w:b w:val="0"/>
                <w:sz w:val="13"/>
              </w:rPr>
              <w:t>Production-lot traceability records.</w:t>
            </w:r>
          </w:p>
        </w:tc>
        <w:tc>
          <w:tcPr>
            <w:tcW w:type="dxa" w:w="1195"/>
            <w:vAlign w:val="center"/>
            <w:tcMar>
              <w:top w:w="60" w:type="dxa"/>
              <w:start w:w="70" w:type="dxa"/>
              <w:bottom w:w="60" w:type="dxa"/>
              <w:end w:w="70" w:type="dxa"/>
            </w:tcMar>
          </w:tcPr>
          <w:p>
            <w:pPr>
              <w:spacing w:after="0" w:line="240" w:lineRule="auto"/>
            </w:pPr>
            <w:r/>
            <w:r>
              <w:rPr>
                <w:rFonts w:ascii="Arial" w:hAnsi="Arial"/>
                <w:b w:val="0"/>
                <w:sz w:val="13"/>
              </w:rPr>
              <w:t>S011</w:t>
            </w:r>
          </w:p>
        </w:tc>
      </w:tr>
      <w:tr>
        <w:trPr>
          <w:cantSplit/>
        </w:trPr>
        <w:tc>
          <w:tcPr>
            <w:tcW w:type="dxa" w:w="1037"/>
            <w:vAlign w:val="center"/>
            <w:tcMar>
              <w:top w:w="60" w:type="dxa"/>
              <w:start w:w="70" w:type="dxa"/>
              <w:bottom w:w="60" w:type="dxa"/>
              <w:end w:w="70" w:type="dxa"/>
            </w:tcMar>
            <w:shd w:fill="F5F7F9"/>
          </w:tcPr>
          <w:p>
            <w:pPr>
              <w:spacing w:after="0" w:line="240" w:lineRule="auto"/>
            </w:pPr>
            <w:r/>
            <w:r>
              <w:rPr>
                <w:rFonts w:ascii="Arial" w:hAnsi="Arial"/>
                <w:b w:val="0"/>
                <w:sz w:val="13"/>
              </w:rPr>
              <w:t>R-TOY-015</w:t>
            </w:r>
          </w:p>
        </w:tc>
        <w:tc>
          <w:tcPr>
            <w:tcW w:type="dxa" w:w="2088"/>
            <w:vAlign w:val="center"/>
            <w:tcMar>
              <w:top w:w="60" w:type="dxa"/>
              <w:start w:w="70" w:type="dxa"/>
              <w:bottom w:w="60" w:type="dxa"/>
              <w:end w:w="70" w:type="dxa"/>
            </w:tcMar>
            <w:shd w:fill="F5F7F9"/>
          </w:tcPr>
          <w:p>
            <w:pPr>
              <w:spacing w:after="0" w:line="240" w:lineRule="auto"/>
            </w:pPr>
            <w:r/>
            <w:r>
              <w:rPr>
                <w:rFonts w:ascii="Arial" w:hAnsi="Arial"/>
                <w:b w:val="0"/>
                <w:sz w:val="13"/>
              </w:rPr>
              <w:t>Material-change testing and recertification</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3"/>
              </w:rPr>
              <w:t>Change in design, manufacturing process, component source, or factory could affect compliance.</w:t>
            </w:r>
          </w:p>
        </w:tc>
        <w:tc>
          <w:tcPr>
            <w:tcW w:type="dxa" w:w="2376"/>
            <w:vAlign w:val="center"/>
            <w:tcMar>
              <w:top w:w="60" w:type="dxa"/>
              <w:start w:w="70" w:type="dxa"/>
              <w:bottom w:w="60" w:type="dxa"/>
              <w:end w:w="70" w:type="dxa"/>
            </w:tcMar>
            <w:shd w:fill="F5F7F9"/>
          </w:tcPr>
          <w:p>
            <w:pPr>
              <w:spacing w:after="0" w:line="240" w:lineRule="auto"/>
            </w:pPr>
            <w:r/>
            <w:r>
              <w:rPr>
                <w:rFonts w:ascii="Arial" w:hAnsi="Arial"/>
                <w:b w:val="0"/>
                <w:sz w:val="13"/>
              </w:rPr>
              <w:t>Updated test reports and new CPC.</w:t>
            </w:r>
          </w:p>
        </w:tc>
        <w:tc>
          <w:tcPr>
            <w:tcW w:type="dxa" w:w="1195"/>
            <w:vAlign w:val="center"/>
            <w:tcMar>
              <w:top w:w="60" w:type="dxa"/>
              <w:start w:w="70" w:type="dxa"/>
              <w:bottom w:w="60" w:type="dxa"/>
              <w:end w:w="70" w:type="dxa"/>
            </w:tcMar>
            <w:shd w:fill="F5F7F9"/>
          </w:tcPr>
          <w:p>
            <w:pPr>
              <w:spacing w:after="0" w:line="240" w:lineRule="auto"/>
            </w:pPr>
            <w:r/>
            <w:r>
              <w:rPr>
                <w:rFonts w:ascii="Arial" w:hAnsi="Arial"/>
                <w:b w:val="0"/>
                <w:sz w:val="13"/>
              </w:rPr>
              <w:t>S041</w:t>
            </w:r>
          </w:p>
        </w:tc>
      </w:tr>
    </w:tbl>
    <w:p>
      <w:pPr>
        <w:spacing w:after="0"/>
      </w:pPr>
    </w:p>
    <w:p>
      <w:r>
        <w:t>Specialty toy rules remain attribute-triggered. Water-bead toys manufactured after March 12, 2026 have size-passage, expansion, extractable-acrylamide, warning, and instruction requirements. Neck floats intended for children through age four have conditioning, buoyancy, restraint, fit, warning, and manual requirements effective June 15, 2026.</w:t>
      </w:r>
    </w:p>
    <w:p>
      <w:pPr>
        <w:pStyle w:val="Heading2"/>
      </w:pPr>
      <w:r>
        <w:t>Toy platform controls</w:t>
      </w:r>
    </w:p>
    <w:p>
      <w:r>
        <w:t>Amazon announced annual testing or document verification for children's toys through approved testing, inspection, and certification providers beginning September 3, 2025. Provider pricing is quote-based. eBay prohibits recalled or unsafe products and names specific restrictions for child-appealing swallowable magnets and child-marketed water beads. </w:t>
      </w:r>
      <w:r>
        <w:footnoteReference w:id="7"/>
      </w:r>
    </w:p>
    <w:p>
      <w:r>
        <w:br w:type="page"/>
      </w:r>
    </w:p>
    <w:p>
      <w:pPr>
        <w:pStyle w:val="Heading1"/>
      </w:pPr>
      <w:r>
        <w:t>Small consumer electronics compliance matrix</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037"/>
            <w:vAlign w:val="center"/>
            <w:tcMar>
              <w:top w:w="60" w:type="dxa"/>
              <w:start w:w="70" w:type="dxa"/>
              <w:bottom w:w="60" w:type="dxa"/>
              <w:end w:w="70" w:type="dxa"/>
            </w:tcMar>
            <w:shd w:fill="17324D"/>
          </w:tcPr>
          <w:p>
            <w:pPr>
              <w:spacing w:after="0" w:line="240" w:lineRule="auto"/>
            </w:pPr>
            <w:r/>
            <w:r>
              <w:rPr>
                <w:rFonts w:ascii="Arial" w:hAnsi="Arial"/>
                <w:b/>
                <w:color w:val="FFFFFF"/>
                <w:sz w:val="13"/>
              </w:rPr>
              <w:t>Rule</w:t>
            </w:r>
          </w:p>
        </w:tc>
        <w:tc>
          <w:tcPr>
            <w:tcW w:type="dxa" w:w="2088"/>
            <w:vAlign w:val="center"/>
            <w:tcMar>
              <w:top w:w="60" w:type="dxa"/>
              <w:start w:w="70" w:type="dxa"/>
              <w:bottom w:w="60" w:type="dxa"/>
              <w:end w:w="70" w:type="dxa"/>
            </w:tcMar>
            <w:shd w:fill="17324D"/>
          </w:tcPr>
          <w:p>
            <w:pPr>
              <w:spacing w:after="0" w:line="240" w:lineRule="auto"/>
            </w:pPr>
            <w:r/>
            <w:r>
              <w:rPr>
                <w:rFonts w:ascii="Arial" w:hAnsi="Arial"/>
                <w:b/>
                <w:color w:val="FFFFFF"/>
                <w:sz w:val="13"/>
              </w:rPr>
              <w:t>Requirement</w:t>
            </w:r>
          </w:p>
        </w:tc>
        <w:tc>
          <w:tcPr>
            <w:tcW w:type="dxa" w:w="3384"/>
            <w:vAlign w:val="center"/>
            <w:tcMar>
              <w:top w:w="60" w:type="dxa"/>
              <w:start w:w="70" w:type="dxa"/>
              <w:bottom w:w="60" w:type="dxa"/>
              <w:end w:w="70" w:type="dxa"/>
            </w:tcMar>
            <w:shd w:fill="17324D"/>
          </w:tcPr>
          <w:p>
            <w:pPr>
              <w:spacing w:after="0" w:line="240" w:lineRule="auto"/>
            </w:pPr>
            <w:r/>
            <w:r>
              <w:rPr>
                <w:rFonts w:ascii="Arial" w:hAnsi="Arial"/>
                <w:b/>
                <w:color w:val="FFFFFF"/>
                <w:sz w:val="13"/>
              </w:rPr>
              <w:t>Trigger</w:t>
            </w:r>
          </w:p>
        </w:tc>
        <w:tc>
          <w:tcPr>
            <w:tcW w:type="dxa" w:w="2376"/>
            <w:vAlign w:val="center"/>
            <w:tcMar>
              <w:top w:w="60" w:type="dxa"/>
              <w:start w:w="70" w:type="dxa"/>
              <w:bottom w:w="60" w:type="dxa"/>
              <w:end w:w="70" w:type="dxa"/>
            </w:tcMar>
            <w:shd w:fill="17324D"/>
          </w:tcPr>
          <w:p>
            <w:pPr>
              <w:spacing w:after="0" w:line="240" w:lineRule="auto"/>
            </w:pPr>
            <w:r/>
            <w:r>
              <w:rPr>
                <w:rFonts w:ascii="Arial" w:hAnsi="Arial"/>
                <w:b/>
                <w:color w:val="FFFFFF"/>
                <w:sz w:val="13"/>
              </w:rPr>
              <w:t>Evidence</w:t>
            </w:r>
          </w:p>
        </w:tc>
        <w:tc>
          <w:tcPr>
            <w:tcW w:type="dxa" w:w="1195"/>
            <w:vAlign w:val="center"/>
            <w:tcMar>
              <w:top w:w="60" w:type="dxa"/>
              <w:start w:w="70" w:type="dxa"/>
              <w:bottom w:w="60" w:type="dxa"/>
              <w:end w:w="70" w:type="dxa"/>
            </w:tcMar>
            <w:shd w:fill="17324D"/>
          </w:tcPr>
          <w:p>
            <w:pPr>
              <w:spacing w:after="0" w:line="240" w:lineRule="auto"/>
            </w:pPr>
            <w:r/>
            <w:r>
              <w:rPr>
                <w:rFonts w:ascii="Arial" w:hAnsi="Arial"/>
                <w:b/>
                <w:color w:val="FFFFFF"/>
                <w:sz w:val="13"/>
              </w:rPr>
              <w:t>Sources</w:t>
            </w:r>
          </w:p>
        </w:tc>
      </w:tr>
      <w:tr>
        <w:trPr>
          <w:cantSplit/>
        </w:trPr>
        <w:tc>
          <w:tcPr>
            <w:tcW w:type="dxa" w:w="1037"/>
            <w:vAlign w:val="center"/>
            <w:tcMar>
              <w:top w:w="60" w:type="dxa"/>
              <w:start w:w="70" w:type="dxa"/>
              <w:bottom w:w="60" w:type="dxa"/>
              <w:end w:w="70" w:type="dxa"/>
            </w:tcMar>
          </w:tcPr>
          <w:p>
            <w:pPr>
              <w:spacing w:after="0" w:line="240" w:lineRule="auto"/>
            </w:pPr>
            <w:r/>
            <w:r>
              <w:rPr>
                <w:rFonts w:ascii="Arial" w:hAnsi="Arial"/>
                <w:b w:val="0"/>
                <w:sz w:val="13"/>
              </w:rPr>
              <w:t>R-ELEC-001</w:t>
            </w:r>
          </w:p>
        </w:tc>
        <w:tc>
          <w:tcPr>
            <w:tcW w:type="dxa" w:w="2088"/>
            <w:vAlign w:val="center"/>
            <w:tcMar>
              <w:top w:w="60" w:type="dxa"/>
              <w:start w:w="70" w:type="dxa"/>
              <w:bottom w:w="60" w:type="dxa"/>
              <w:end w:w="70" w:type="dxa"/>
            </w:tcMar>
          </w:tcPr>
          <w:p>
            <w:pPr>
              <w:spacing w:after="0" w:line="240" w:lineRule="auto"/>
            </w:pPr>
            <w:r/>
            <w:r>
              <w:rPr>
                <w:rFonts w:ascii="Arial" w:hAnsi="Arial"/>
                <w:b w:val="0"/>
                <w:sz w:val="13"/>
              </w:rPr>
              <w:t>General-use versus children's-product classification</w:t>
            </w:r>
          </w:p>
        </w:tc>
        <w:tc>
          <w:tcPr>
            <w:tcW w:type="dxa" w:w="3384"/>
            <w:vAlign w:val="center"/>
            <w:tcMar>
              <w:top w:w="60" w:type="dxa"/>
              <w:start w:w="70" w:type="dxa"/>
              <w:bottom w:w="60" w:type="dxa"/>
              <w:end w:w="70" w:type="dxa"/>
            </w:tcMar>
          </w:tcPr>
          <w:p>
            <w:pPr>
              <w:spacing w:after="0" w:line="240" w:lineRule="auto"/>
            </w:pPr>
            <w:r/>
            <w:r>
              <w:rPr>
                <w:rFonts w:ascii="Arial" w:hAnsi="Arial"/>
                <w:b w:val="0"/>
                <w:sz w:val="13"/>
              </w:rPr>
              <w:t>Electronic device may be intended primarily for children 12 or younger based on labeling, packaging, advertising, consumer recognition, size, theme, and play value.</w:t>
            </w:r>
          </w:p>
        </w:tc>
        <w:tc>
          <w:tcPr>
            <w:tcW w:type="dxa" w:w="2376"/>
            <w:vAlign w:val="center"/>
            <w:tcMar>
              <w:top w:w="60" w:type="dxa"/>
              <w:start w:w="70" w:type="dxa"/>
              <w:bottom w:w="60" w:type="dxa"/>
              <w:end w:w="70" w:type="dxa"/>
            </w:tcMar>
          </w:tcPr>
          <w:p>
            <w:pPr>
              <w:spacing w:after="0" w:line="240" w:lineRule="auto"/>
            </w:pPr>
            <w:r/>
            <w:r>
              <w:rPr>
                <w:rFonts w:ascii="Arial" w:hAnsi="Arial"/>
                <w:b w:val="0"/>
                <w:sz w:val="13"/>
              </w:rPr>
              <w:t>Classification memo and marketing evidence.</w:t>
            </w:r>
          </w:p>
        </w:tc>
        <w:tc>
          <w:tcPr>
            <w:tcW w:type="dxa" w:w="1195"/>
            <w:vAlign w:val="center"/>
            <w:tcMar>
              <w:top w:w="60" w:type="dxa"/>
              <w:start w:w="70" w:type="dxa"/>
              <w:bottom w:w="60" w:type="dxa"/>
              <w:end w:w="70" w:type="dxa"/>
            </w:tcMar>
          </w:tcPr>
          <w:p>
            <w:pPr>
              <w:spacing w:after="0" w:line="240" w:lineRule="auto"/>
            </w:pPr>
            <w:r/>
            <w:r>
              <w:rPr>
                <w:rFonts w:ascii="Arial" w:hAnsi="Arial"/>
                <w:b w:val="0"/>
                <w:sz w:val="13"/>
              </w:rPr>
              <w:t>S006</w:t>
            </w:r>
          </w:p>
        </w:tc>
      </w:tr>
      <w:tr>
        <w:trPr>
          <w:cantSplit/>
        </w:trPr>
        <w:tc>
          <w:tcPr>
            <w:tcW w:type="dxa" w:w="1037"/>
            <w:vAlign w:val="center"/>
            <w:tcMar>
              <w:top w:w="60" w:type="dxa"/>
              <w:start w:w="70" w:type="dxa"/>
              <w:bottom w:w="60" w:type="dxa"/>
              <w:end w:w="70" w:type="dxa"/>
            </w:tcMar>
            <w:shd w:fill="F5F7F9"/>
          </w:tcPr>
          <w:p>
            <w:pPr>
              <w:spacing w:after="0" w:line="240" w:lineRule="auto"/>
            </w:pPr>
            <w:r/>
            <w:r>
              <w:rPr>
                <w:rFonts w:ascii="Arial" w:hAnsi="Arial"/>
                <w:b w:val="0"/>
                <w:sz w:val="13"/>
              </w:rPr>
              <w:t>R-ELEC-002</w:t>
            </w:r>
          </w:p>
        </w:tc>
        <w:tc>
          <w:tcPr>
            <w:tcW w:type="dxa" w:w="2088"/>
            <w:vAlign w:val="center"/>
            <w:tcMar>
              <w:top w:w="60" w:type="dxa"/>
              <w:start w:w="70" w:type="dxa"/>
              <w:bottom w:w="60" w:type="dxa"/>
              <w:end w:w="70" w:type="dxa"/>
            </w:tcMar>
            <w:shd w:fill="F5F7F9"/>
          </w:tcPr>
          <w:p>
            <w:pPr>
              <w:spacing w:after="0" w:line="240" w:lineRule="auto"/>
            </w:pPr>
            <w:r/>
            <w:r>
              <w:rPr>
                <w:rFonts w:ascii="Arial" w:hAnsi="Arial"/>
                <w:b w:val="0"/>
                <w:sz w:val="13"/>
              </w:rPr>
              <w:t>FCC certification for intentional radiators</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3"/>
              </w:rPr>
              <w:t>Device intentionally generates and emits RF, including Bluetooth or Wi-Fi, unless a narrow exception applies.</w:t>
            </w:r>
          </w:p>
        </w:tc>
        <w:tc>
          <w:tcPr>
            <w:tcW w:type="dxa" w:w="2376"/>
            <w:vAlign w:val="center"/>
            <w:tcMar>
              <w:top w:w="60" w:type="dxa"/>
              <w:start w:w="70" w:type="dxa"/>
              <w:bottom w:w="60" w:type="dxa"/>
              <w:end w:w="70" w:type="dxa"/>
            </w:tcMar>
            <w:shd w:fill="F5F7F9"/>
          </w:tcPr>
          <w:p>
            <w:pPr>
              <w:spacing w:after="0" w:line="240" w:lineRule="auto"/>
            </w:pPr>
            <w:r/>
            <w:r>
              <w:rPr>
                <w:rFonts w:ascii="Arial" w:hAnsi="Arial"/>
                <w:b w:val="0"/>
                <w:sz w:val="13"/>
              </w:rPr>
              <w:t>FCC Form 731 application exhibits, test report, operational description, schematics/photos, label, user information, TCB grant/FCC ID.</w:t>
            </w:r>
          </w:p>
        </w:tc>
        <w:tc>
          <w:tcPr>
            <w:tcW w:type="dxa" w:w="1195"/>
            <w:vAlign w:val="center"/>
            <w:tcMar>
              <w:top w:w="60" w:type="dxa"/>
              <w:start w:w="70" w:type="dxa"/>
              <w:bottom w:w="60" w:type="dxa"/>
              <w:end w:w="70" w:type="dxa"/>
            </w:tcMar>
            <w:shd w:fill="F5F7F9"/>
          </w:tcPr>
          <w:p>
            <w:pPr>
              <w:spacing w:after="0" w:line="240" w:lineRule="auto"/>
            </w:pPr>
            <w:r/>
            <w:r>
              <w:rPr>
                <w:rFonts w:ascii="Arial" w:hAnsi="Arial"/>
                <w:b w:val="0"/>
                <w:sz w:val="13"/>
              </w:rPr>
              <w:t>S019; S039; S048</w:t>
            </w:r>
          </w:p>
        </w:tc>
      </w:tr>
      <w:tr>
        <w:trPr>
          <w:cantSplit/>
        </w:trPr>
        <w:tc>
          <w:tcPr>
            <w:tcW w:type="dxa" w:w="1037"/>
            <w:vAlign w:val="center"/>
            <w:tcMar>
              <w:top w:w="60" w:type="dxa"/>
              <w:start w:w="70" w:type="dxa"/>
              <w:bottom w:w="60" w:type="dxa"/>
              <w:end w:w="70" w:type="dxa"/>
            </w:tcMar>
          </w:tcPr>
          <w:p>
            <w:pPr>
              <w:spacing w:after="0" w:line="240" w:lineRule="auto"/>
            </w:pPr>
            <w:r/>
            <w:r>
              <w:rPr>
                <w:rFonts w:ascii="Arial" w:hAnsi="Arial"/>
                <w:b w:val="0"/>
                <w:sz w:val="13"/>
              </w:rPr>
              <w:t>R-ELEC-003</w:t>
            </w:r>
          </w:p>
        </w:tc>
        <w:tc>
          <w:tcPr>
            <w:tcW w:type="dxa" w:w="2088"/>
            <w:vAlign w:val="center"/>
            <w:tcMar>
              <w:top w:w="60" w:type="dxa"/>
              <w:start w:w="70" w:type="dxa"/>
              <w:bottom w:w="60" w:type="dxa"/>
              <w:end w:w="70" w:type="dxa"/>
            </w:tcMar>
          </w:tcPr>
          <w:p>
            <w:pPr>
              <w:spacing w:after="0" w:line="240" w:lineRule="auto"/>
            </w:pPr>
            <w:r/>
            <w:r>
              <w:rPr>
                <w:rFonts w:ascii="Arial" w:hAnsi="Arial"/>
                <w:b w:val="0"/>
                <w:sz w:val="13"/>
              </w:rPr>
              <w:t>FCC authorization for unintentional radiators</w:t>
            </w:r>
          </w:p>
        </w:tc>
        <w:tc>
          <w:tcPr>
            <w:tcW w:type="dxa" w:w="3384"/>
            <w:vAlign w:val="center"/>
            <w:tcMar>
              <w:top w:w="60" w:type="dxa"/>
              <w:start w:w="70" w:type="dxa"/>
              <w:bottom w:w="60" w:type="dxa"/>
              <w:end w:w="70" w:type="dxa"/>
            </w:tcMar>
          </w:tcPr>
          <w:p>
            <w:pPr>
              <w:spacing w:after="0" w:line="240" w:lineRule="auto"/>
            </w:pPr>
            <w:r/>
            <w:r>
              <w:rPr>
                <w:rFonts w:ascii="Arial" w:hAnsi="Arial"/>
                <w:b w:val="0"/>
                <w:sz w:val="13"/>
              </w:rPr>
              <w:t>Digital device, peripheral, or external switching power supply falls within Part 15 Subpart B and is not exempt.</w:t>
            </w:r>
          </w:p>
        </w:tc>
        <w:tc>
          <w:tcPr>
            <w:tcW w:type="dxa" w:w="2376"/>
            <w:vAlign w:val="center"/>
            <w:tcMar>
              <w:top w:w="60" w:type="dxa"/>
              <w:start w:w="70" w:type="dxa"/>
              <w:bottom w:w="60" w:type="dxa"/>
              <w:end w:w="70" w:type="dxa"/>
            </w:tcMar>
          </w:tcPr>
          <w:p>
            <w:pPr>
              <w:spacing w:after="0" w:line="240" w:lineRule="auto"/>
            </w:pPr>
            <w:r/>
            <w:r>
              <w:rPr>
                <w:rFonts w:ascii="Arial" w:hAnsi="Arial"/>
                <w:b w:val="0"/>
                <w:sz w:val="13"/>
              </w:rPr>
              <w:t>SDoC compliance records or certification grant; test report; product compliance information.</w:t>
            </w:r>
          </w:p>
        </w:tc>
        <w:tc>
          <w:tcPr>
            <w:tcW w:type="dxa" w:w="1195"/>
            <w:vAlign w:val="center"/>
            <w:tcMar>
              <w:top w:w="60" w:type="dxa"/>
              <w:start w:w="70" w:type="dxa"/>
              <w:bottom w:w="60" w:type="dxa"/>
              <w:end w:w="70" w:type="dxa"/>
            </w:tcMar>
          </w:tcPr>
          <w:p>
            <w:pPr>
              <w:spacing w:after="0" w:line="240" w:lineRule="auto"/>
            </w:pPr>
            <w:r/>
            <w:r>
              <w:rPr>
                <w:rFonts w:ascii="Arial" w:hAnsi="Arial"/>
                <w:b w:val="0"/>
                <w:sz w:val="13"/>
              </w:rPr>
              <w:t>S020; S021; S022</w:t>
            </w:r>
          </w:p>
        </w:tc>
      </w:tr>
      <w:tr>
        <w:trPr>
          <w:cantSplit/>
        </w:trPr>
        <w:tc>
          <w:tcPr>
            <w:tcW w:type="dxa" w:w="1037"/>
            <w:vAlign w:val="center"/>
            <w:tcMar>
              <w:top w:w="60" w:type="dxa"/>
              <w:start w:w="70" w:type="dxa"/>
              <w:bottom w:w="60" w:type="dxa"/>
              <w:end w:w="70" w:type="dxa"/>
            </w:tcMar>
            <w:shd w:fill="F5F7F9"/>
          </w:tcPr>
          <w:p>
            <w:pPr>
              <w:spacing w:after="0" w:line="240" w:lineRule="auto"/>
            </w:pPr>
            <w:r/>
            <w:r>
              <w:rPr>
                <w:rFonts w:ascii="Arial" w:hAnsi="Arial"/>
                <w:b w:val="0"/>
                <w:sz w:val="13"/>
              </w:rPr>
              <w:t>R-ELEC-004</w:t>
            </w:r>
          </w:p>
        </w:tc>
        <w:tc>
          <w:tcPr>
            <w:tcW w:type="dxa" w:w="2088"/>
            <w:vAlign w:val="center"/>
            <w:tcMar>
              <w:top w:w="60" w:type="dxa"/>
              <w:start w:w="70" w:type="dxa"/>
              <w:bottom w:w="60" w:type="dxa"/>
              <w:end w:w="70" w:type="dxa"/>
            </w:tcMar>
            <w:shd w:fill="F5F7F9"/>
          </w:tcPr>
          <w:p>
            <w:pPr>
              <w:spacing w:after="0" w:line="240" w:lineRule="auto"/>
            </w:pPr>
            <w:r/>
            <w:r>
              <w:rPr>
                <w:rFonts w:ascii="Arial" w:hAnsi="Arial"/>
                <w:b w:val="0"/>
                <w:sz w:val="13"/>
              </w:rPr>
              <w:t>FCC unintentional-radiator exemption screen</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3"/>
              </w:rPr>
              <w:t>Potential exemption under 47 CFR 15.103, including a battery-only device whose highest generated/used frequency is below 1.705 MHz and that has no AC operating or charging connection.</w:t>
            </w:r>
          </w:p>
        </w:tc>
        <w:tc>
          <w:tcPr>
            <w:tcW w:type="dxa" w:w="2376"/>
            <w:vAlign w:val="center"/>
            <w:tcMar>
              <w:top w:w="60" w:type="dxa"/>
              <w:start w:w="70" w:type="dxa"/>
              <w:bottom w:w="60" w:type="dxa"/>
              <w:end w:w="70" w:type="dxa"/>
            </w:tcMar>
            <w:shd w:fill="F5F7F9"/>
          </w:tcPr>
          <w:p>
            <w:pPr>
              <w:spacing w:after="0" w:line="240" w:lineRule="auto"/>
            </w:pPr>
            <w:r/>
            <w:r>
              <w:rPr>
                <w:rFonts w:ascii="Arial" w:hAnsi="Arial"/>
                <w:b w:val="0"/>
                <w:sz w:val="13"/>
              </w:rPr>
              <w:t>Signed exemption rationale with block diagram, clocks, interfaces, and power modes.</w:t>
            </w:r>
          </w:p>
        </w:tc>
        <w:tc>
          <w:tcPr>
            <w:tcW w:type="dxa" w:w="1195"/>
            <w:vAlign w:val="center"/>
            <w:tcMar>
              <w:top w:w="60" w:type="dxa"/>
              <w:start w:w="70" w:type="dxa"/>
              <w:bottom w:w="60" w:type="dxa"/>
              <w:end w:w="70" w:type="dxa"/>
            </w:tcMar>
            <w:shd w:fill="F5F7F9"/>
          </w:tcPr>
          <w:p>
            <w:pPr>
              <w:spacing w:after="0" w:line="240" w:lineRule="auto"/>
            </w:pPr>
            <w:r/>
            <w:r>
              <w:rPr>
                <w:rFonts w:ascii="Arial" w:hAnsi="Arial"/>
                <w:b w:val="0"/>
                <w:sz w:val="13"/>
              </w:rPr>
              <w:t>S020</w:t>
            </w:r>
          </w:p>
        </w:tc>
      </w:tr>
      <w:tr>
        <w:trPr>
          <w:cantSplit/>
        </w:trPr>
        <w:tc>
          <w:tcPr>
            <w:tcW w:type="dxa" w:w="1037"/>
            <w:vAlign w:val="center"/>
            <w:tcMar>
              <w:top w:w="60" w:type="dxa"/>
              <w:start w:w="70" w:type="dxa"/>
              <w:bottom w:w="60" w:type="dxa"/>
              <w:end w:w="70" w:type="dxa"/>
            </w:tcMar>
          </w:tcPr>
          <w:p>
            <w:pPr>
              <w:spacing w:after="0" w:line="240" w:lineRule="auto"/>
            </w:pPr>
            <w:r/>
            <w:r>
              <w:rPr>
                <w:rFonts w:ascii="Arial" w:hAnsi="Arial"/>
                <w:b w:val="0"/>
                <w:sz w:val="13"/>
              </w:rPr>
              <w:t>R-ELEC-005</w:t>
            </w:r>
          </w:p>
        </w:tc>
        <w:tc>
          <w:tcPr>
            <w:tcW w:type="dxa" w:w="2088"/>
            <w:vAlign w:val="center"/>
            <w:tcMar>
              <w:top w:w="60" w:type="dxa"/>
              <w:start w:w="70" w:type="dxa"/>
              <w:bottom w:w="60" w:type="dxa"/>
              <w:end w:w="70" w:type="dxa"/>
            </w:tcMar>
          </w:tcPr>
          <w:p>
            <w:pPr>
              <w:spacing w:after="0" w:line="240" w:lineRule="auto"/>
            </w:pPr>
            <w:r/>
            <w:r>
              <w:rPr>
                <w:rFonts w:ascii="Arial" w:hAnsi="Arial"/>
                <w:b w:val="0"/>
                <w:sz w:val="13"/>
              </w:rPr>
              <w:t>FCC Supplier's Declaration of Conformity responsible party and compliance information</w:t>
            </w:r>
          </w:p>
        </w:tc>
        <w:tc>
          <w:tcPr>
            <w:tcW w:type="dxa" w:w="3384"/>
            <w:vAlign w:val="center"/>
            <w:tcMar>
              <w:top w:w="60" w:type="dxa"/>
              <w:start w:w="70" w:type="dxa"/>
              <w:bottom w:w="60" w:type="dxa"/>
              <w:end w:w="70" w:type="dxa"/>
            </w:tcMar>
          </w:tcPr>
          <w:p>
            <w:pPr>
              <w:spacing w:after="0" w:line="240" w:lineRule="auto"/>
            </w:pPr>
            <w:r/>
            <w:r>
              <w:rPr>
                <w:rFonts w:ascii="Arial" w:hAnsi="Arial"/>
                <w:b w:val="0"/>
                <w:sz w:val="13"/>
              </w:rPr>
              <w:t>Equipment uses the SDoC authorization procedure.</w:t>
            </w:r>
          </w:p>
        </w:tc>
        <w:tc>
          <w:tcPr>
            <w:tcW w:type="dxa" w:w="2376"/>
            <w:vAlign w:val="center"/>
            <w:tcMar>
              <w:top w:w="60" w:type="dxa"/>
              <w:start w:w="70" w:type="dxa"/>
              <w:bottom w:w="60" w:type="dxa"/>
              <w:end w:w="70" w:type="dxa"/>
            </w:tcMar>
          </w:tcPr>
          <w:p>
            <w:pPr>
              <w:spacing w:after="0" w:line="240" w:lineRule="auto"/>
            </w:pPr>
            <w:r/>
            <w:r>
              <w:rPr>
                <w:rFonts w:ascii="Arial" w:hAnsi="Arial"/>
                <w:b w:val="0"/>
                <w:sz w:val="13"/>
              </w:rPr>
              <w:t>Compliance information statement and underlying records.</w:t>
            </w:r>
          </w:p>
        </w:tc>
        <w:tc>
          <w:tcPr>
            <w:tcW w:type="dxa" w:w="1195"/>
            <w:vAlign w:val="center"/>
            <w:tcMar>
              <w:top w:w="60" w:type="dxa"/>
              <w:start w:w="70" w:type="dxa"/>
              <w:bottom w:w="60" w:type="dxa"/>
              <w:end w:w="70" w:type="dxa"/>
            </w:tcMar>
          </w:tcPr>
          <w:p>
            <w:pPr>
              <w:spacing w:after="0" w:line="240" w:lineRule="auto"/>
            </w:pPr>
            <w:r/>
            <w:r>
              <w:rPr>
                <w:rFonts w:ascii="Arial" w:hAnsi="Arial"/>
                <w:b w:val="0"/>
                <w:sz w:val="13"/>
              </w:rPr>
              <w:t>S022</w:t>
            </w:r>
          </w:p>
        </w:tc>
      </w:tr>
      <w:tr>
        <w:trPr>
          <w:cantSplit/>
        </w:trPr>
        <w:tc>
          <w:tcPr>
            <w:tcW w:type="dxa" w:w="1037"/>
            <w:vAlign w:val="center"/>
            <w:tcMar>
              <w:top w:w="60" w:type="dxa"/>
              <w:start w:w="70" w:type="dxa"/>
              <w:bottom w:w="60" w:type="dxa"/>
              <w:end w:w="70" w:type="dxa"/>
            </w:tcMar>
            <w:shd w:fill="F5F7F9"/>
          </w:tcPr>
          <w:p>
            <w:pPr>
              <w:spacing w:after="0" w:line="240" w:lineRule="auto"/>
            </w:pPr>
            <w:r/>
            <w:r>
              <w:rPr>
                <w:rFonts w:ascii="Arial" w:hAnsi="Arial"/>
                <w:b w:val="0"/>
                <w:sz w:val="13"/>
              </w:rPr>
              <w:t>R-ELEC-006</w:t>
            </w:r>
          </w:p>
        </w:tc>
        <w:tc>
          <w:tcPr>
            <w:tcW w:type="dxa" w:w="2088"/>
            <w:vAlign w:val="center"/>
            <w:tcMar>
              <w:top w:w="60" w:type="dxa"/>
              <w:start w:w="70" w:type="dxa"/>
              <w:bottom w:w="60" w:type="dxa"/>
              <w:end w:w="70" w:type="dxa"/>
            </w:tcMar>
            <w:shd w:fill="F5F7F9"/>
          </w:tcPr>
          <w:p>
            <w:pPr>
              <w:spacing w:after="0" w:line="240" w:lineRule="auto"/>
            </w:pPr>
            <w:r/>
            <w:r>
              <w:rPr>
                <w:rFonts w:ascii="Arial" w:hAnsi="Arial"/>
                <w:b w:val="0"/>
                <w:sz w:val="13"/>
              </w:rPr>
              <w:t>FCC product labels and user information</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3"/>
              </w:rPr>
              <w:t>Part 15 device is authorized; exact content depends on authorization type, size, and device class.</w:t>
            </w:r>
          </w:p>
        </w:tc>
        <w:tc>
          <w:tcPr>
            <w:tcW w:type="dxa" w:w="2376"/>
            <w:vAlign w:val="center"/>
            <w:tcMar>
              <w:top w:w="60" w:type="dxa"/>
              <w:start w:w="70" w:type="dxa"/>
              <w:bottom w:w="60" w:type="dxa"/>
              <w:end w:w="70" w:type="dxa"/>
            </w:tcMar>
            <w:shd w:fill="F5F7F9"/>
          </w:tcPr>
          <w:p>
            <w:pPr>
              <w:spacing w:after="0" w:line="240" w:lineRule="auto"/>
            </w:pPr>
            <w:r/>
            <w:r>
              <w:rPr>
                <w:rFonts w:ascii="Arial" w:hAnsi="Arial"/>
                <w:b w:val="0"/>
                <w:sz w:val="13"/>
              </w:rPr>
              <w:t>Final label artwork, photos, manual, electronic-label procedure if used.</w:t>
            </w:r>
          </w:p>
        </w:tc>
        <w:tc>
          <w:tcPr>
            <w:tcW w:type="dxa" w:w="1195"/>
            <w:vAlign w:val="center"/>
            <w:tcMar>
              <w:top w:w="60" w:type="dxa"/>
              <w:start w:w="70" w:type="dxa"/>
              <w:bottom w:w="60" w:type="dxa"/>
              <w:end w:w="70" w:type="dxa"/>
            </w:tcMar>
            <w:shd w:fill="F5F7F9"/>
          </w:tcPr>
          <w:p>
            <w:pPr>
              <w:spacing w:after="0" w:line="240" w:lineRule="auto"/>
            </w:pPr>
            <w:r/>
            <w:r>
              <w:rPr>
                <w:rFonts w:ascii="Arial" w:hAnsi="Arial"/>
                <w:b w:val="0"/>
                <w:sz w:val="13"/>
              </w:rPr>
              <w:t>S021; S039</w:t>
            </w:r>
          </w:p>
        </w:tc>
      </w:tr>
      <w:tr>
        <w:trPr>
          <w:cantSplit/>
        </w:trPr>
        <w:tc>
          <w:tcPr>
            <w:tcW w:type="dxa" w:w="1037"/>
            <w:vAlign w:val="center"/>
            <w:tcMar>
              <w:top w:w="60" w:type="dxa"/>
              <w:start w:w="70" w:type="dxa"/>
              <w:bottom w:w="60" w:type="dxa"/>
              <w:end w:w="70" w:type="dxa"/>
            </w:tcMar>
          </w:tcPr>
          <w:p>
            <w:pPr>
              <w:spacing w:after="0" w:line="240" w:lineRule="auto"/>
            </w:pPr>
            <w:r/>
            <w:r>
              <w:rPr>
                <w:rFonts w:ascii="Arial" w:hAnsi="Arial"/>
                <w:b w:val="0"/>
                <w:sz w:val="13"/>
              </w:rPr>
              <w:t>R-ELEC-007</w:t>
            </w:r>
          </w:p>
        </w:tc>
        <w:tc>
          <w:tcPr>
            <w:tcW w:type="dxa" w:w="2088"/>
            <w:vAlign w:val="center"/>
            <w:tcMar>
              <w:top w:w="60" w:type="dxa"/>
              <w:start w:w="70" w:type="dxa"/>
              <w:bottom w:w="60" w:type="dxa"/>
              <w:end w:w="70" w:type="dxa"/>
            </w:tcMar>
          </w:tcPr>
          <w:p>
            <w:pPr>
              <w:spacing w:after="0" w:line="240" w:lineRule="auto"/>
            </w:pPr>
            <w:r/>
            <w:r>
              <w:rPr>
                <w:rFonts w:ascii="Arial" w:hAnsi="Arial"/>
                <w:b w:val="0"/>
                <w:sz w:val="13"/>
              </w:rPr>
              <w:t>FCC RF exposure evaluation for portable devices</w:t>
            </w:r>
          </w:p>
        </w:tc>
        <w:tc>
          <w:tcPr>
            <w:tcW w:type="dxa" w:w="3384"/>
            <w:vAlign w:val="center"/>
            <w:tcMar>
              <w:top w:w="60" w:type="dxa"/>
              <w:start w:w="70" w:type="dxa"/>
              <w:bottom w:w="60" w:type="dxa"/>
              <w:end w:w="70" w:type="dxa"/>
            </w:tcMar>
          </w:tcPr>
          <w:p>
            <w:pPr>
              <w:spacing w:after="0" w:line="240" w:lineRule="auto"/>
            </w:pPr>
            <w:r/>
            <w:r>
              <w:rPr>
                <w:rFonts w:ascii="Arial" w:hAnsi="Arial"/>
                <w:b w:val="0"/>
                <w:sz w:val="13"/>
              </w:rPr>
              <w:t>Transmitting device is generally used with the radiating structure within 20 cm of the body and exceeds the applicable exemption threshold or has multiple RF sources whose exemption ratio exceeds one.</w:t>
            </w:r>
          </w:p>
        </w:tc>
        <w:tc>
          <w:tcPr>
            <w:tcW w:type="dxa" w:w="2376"/>
            <w:vAlign w:val="center"/>
            <w:tcMar>
              <w:top w:w="60" w:type="dxa"/>
              <w:start w:w="70" w:type="dxa"/>
              <w:bottom w:w="60" w:type="dxa"/>
              <w:end w:w="70" w:type="dxa"/>
            </w:tcMar>
          </w:tcPr>
          <w:p>
            <w:pPr>
              <w:spacing w:after="0" w:line="240" w:lineRule="auto"/>
            </w:pPr>
            <w:r/>
            <w:r>
              <w:rPr>
                <w:rFonts w:ascii="Arial" w:hAnsi="Arial"/>
                <w:b w:val="0"/>
                <w:sz w:val="13"/>
              </w:rPr>
              <w:t>RF exposure report/calculation and certification application statement.</w:t>
            </w:r>
          </w:p>
        </w:tc>
        <w:tc>
          <w:tcPr>
            <w:tcW w:type="dxa" w:w="1195"/>
            <w:vAlign w:val="center"/>
            <w:tcMar>
              <w:top w:w="60" w:type="dxa"/>
              <w:start w:w="70" w:type="dxa"/>
              <w:bottom w:w="60" w:type="dxa"/>
              <w:end w:w="70" w:type="dxa"/>
            </w:tcMar>
          </w:tcPr>
          <w:p>
            <w:pPr>
              <w:spacing w:after="0" w:line="240" w:lineRule="auto"/>
            </w:pPr>
            <w:r/>
            <w:r>
              <w:rPr>
                <w:rFonts w:ascii="Arial" w:hAnsi="Arial"/>
                <w:b w:val="0"/>
                <w:sz w:val="13"/>
              </w:rPr>
              <w:t>S023</w:t>
            </w:r>
          </w:p>
        </w:tc>
      </w:tr>
      <w:tr>
        <w:trPr>
          <w:cantSplit/>
        </w:trPr>
        <w:tc>
          <w:tcPr>
            <w:tcW w:type="dxa" w:w="1037"/>
            <w:vAlign w:val="center"/>
            <w:tcMar>
              <w:top w:w="60" w:type="dxa"/>
              <w:start w:w="70" w:type="dxa"/>
              <w:bottom w:w="60" w:type="dxa"/>
              <w:end w:w="70" w:type="dxa"/>
            </w:tcMar>
            <w:shd w:fill="F5F7F9"/>
          </w:tcPr>
          <w:p>
            <w:pPr>
              <w:spacing w:after="0" w:line="240" w:lineRule="auto"/>
            </w:pPr>
            <w:r/>
            <w:r>
              <w:rPr>
                <w:rFonts w:ascii="Arial" w:hAnsi="Arial"/>
                <w:b w:val="0"/>
                <w:sz w:val="13"/>
              </w:rPr>
              <w:t>R-ELEC-009</w:t>
            </w:r>
          </w:p>
        </w:tc>
        <w:tc>
          <w:tcPr>
            <w:tcW w:type="dxa" w:w="2088"/>
            <w:vAlign w:val="center"/>
            <w:tcMar>
              <w:top w:w="60" w:type="dxa"/>
              <w:start w:w="70" w:type="dxa"/>
              <w:bottom w:w="60" w:type="dxa"/>
              <w:end w:w="70" w:type="dxa"/>
            </w:tcMar>
            <w:shd w:fill="F5F7F9"/>
          </w:tcPr>
          <w:p>
            <w:pPr>
              <w:spacing w:after="0" w:line="240" w:lineRule="auto"/>
            </w:pPr>
            <w:r/>
            <w:r>
              <w:rPr>
                <w:rFonts w:ascii="Arial" w:hAnsi="Arial"/>
                <w:b w:val="0"/>
                <w:sz w:val="13"/>
              </w:rPr>
              <w:t>Certified RF module integration</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3"/>
              </w:rPr>
              <w:t>Host uses a certified or limited-modular transmitter.</w:t>
            </w:r>
          </w:p>
        </w:tc>
        <w:tc>
          <w:tcPr>
            <w:tcW w:type="dxa" w:w="2376"/>
            <w:vAlign w:val="center"/>
            <w:tcMar>
              <w:top w:w="60" w:type="dxa"/>
              <w:start w:w="70" w:type="dxa"/>
              <w:bottom w:w="60" w:type="dxa"/>
              <w:end w:w="70" w:type="dxa"/>
            </w:tcMar>
            <w:shd w:fill="F5F7F9"/>
          </w:tcPr>
          <w:p>
            <w:pPr>
              <w:spacing w:after="0" w:line="240" w:lineRule="auto"/>
            </w:pPr>
            <w:r/>
            <w:r>
              <w:rPr>
                <w:rFonts w:ascii="Arial" w:hAnsi="Arial"/>
                <w:b w:val="0"/>
                <w:sz w:val="13"/>
              </w:rPr>
              <w:t>Module FCC grant, OEM integration instructions, host test report, label/manual evidence.</w:t>
            </w:r>
          </w:p>
        </w:tc>
        <w:tc>
          <w:tcPr>
            <w:tcW w:type="dxa" w:w="1195"/>
            <w:vAlign w:val="center"/>
            <w:tcMar>
              <w:top w:w="60" w:type="dxa"/>
              <w:start w:w="70" w:type="dxa"/>
              <w:bottom w:w="60" w:type="dxa"/>
              <w:end w:w="70" w:type="dxa"/>
            </w:tcMar>
            <w:shd w:fill="F5F7F9"/>
          </w:tcPr>
          <w:p>
            <w:pPr>
              <w:spacing w:after="0" w:line="240" w:lineRule="auto"/>
            </w:pPr>
            <w:r/>
            <w:r>
              <w:rPr>
                <w:rFonts w:ascii="Arial" w:hAnsi="Arial"/>
                <w:b w:val="0"/>
                <w:sz w:val="13"/>
              </w:rPr>
              <w:t>S040</w:t>
            </w:r>
          </w:p>
        </w:tc>
      </w:tr>
      <w:tr>
        <w:trPr>
          <w:cantSplit/>
        </w:trPr>
        <w:tc>
          <w:tcPr>
            <w:tcW w:type="dxa" w:w="1037"/>
            <w:vAlign w:val="center"/>
            <w:tcMar>
              <w:top w:w="60" w:type="dxa"/>
              <w:start w:w="70" w:type="dxa"/>
              <w:bottom w:w="60" w:type="dxa"/>
              <w:end w:w="70" w:type="dxa"/>
            </w:tcMar>
          </w:tcPr>
          <w:p>
            <w:pPr>
              <w:spacing w:after="0" w:line="240" w:lineRule="auto"/>
            </w:pPr>
            <w:r/>
            <w:r>
              <w:rPr>
                <w:rFonts w:ascii="Arial" w:hAnsi="Arial"/>
                <w:b w:val="0"/>
                <w:sz w:val="13"/>
              </w:rPr>
              <w:t>R-ELEC-010</w:t>
            </w:r>
          </w:p>
        </w:tc>
        <w:tc>
          <w:tcPr>
            <w:tcW w:type="dxa" w:w="2088"/>
            <w:vAlign w:val="center"/>
            <w:tcMar>
              <w:top w:w="60" w:type="dxa"/>
              <w:start w:w="70" w:type="dxa"/>
              <w:bottom w:w="60" w:type="dxa"/>
              <w:end w:w="70" w:type="dxa"/>
            </w:tcMar>
          </w:tcPr>
          <w:p>
            <w:pPr>
              <w:spacing w:after="0" w:line="240" w:lineRule="auto"/>
            </w:pPr>
            <w:r/>
            <w:r>
              <w:rPr>
                <w:rFonts w:ascii="Arial" w:hAnsi="Arial"/>
                <w:b w:val="0"/>
                <w:sz w:val="13"/>
              </w:rPr>
              <w:t>DOE external power supply energy conservation</w:t>
            </w:r>
          </w:p>
        </w:tc>
        <w:tc>
          <w:tcPr>
            <w:tcW w:type="dxa" w:w="3384"/>
            <w:vAlign w:val="center"/>
            <w:tcMar>
              <w:top w:w="60" w:type="dxa"/>
              <w:start w:w="70" w:type="dxa"/>
              <w:bottom w:w="60" w:type="dxa"/>
              <w:end w:w="70" w:type="dxa"/>
            </w:tcMar>
          </w:tcPr>
          <w:p>
            <w:pPr>
              <w:spacing w:after="0" w:line="240" w:lineRule="auto"/>
            </w:pPr>
            <w:r/>
            <w:r>
              <w:rPr>
                <w:rFonts w:ascii="Arial" w:hAnsi="Arial"/>
                <w:b w:val="0"/>
                <w:sz w:val="13"/>
              </w:rPr>
              <w:t>Included or separately sold unit meets the federal external-power-supply definition and no exception applies.</w:t>
            </w:r>
          </w:p>
        </w:tc>
        <w:tc>
          <w:tcPr>
            <w:tcW w:type="dxa" w:w="2376"/>
            <w:vAlign w:val="center"/>
            <w:tcMar>
              <w:top w:w="60" w:type="dxa"/>
              <w:start w:w="70" w:type="dxa"/>
              <w:bottom w:w="60" w:type="dxa"/>
              <w:end w:w="70" w:type="dxa"/>
            </w:tcMar>
          </w:tcPr>
          <w:p>
            <w:pPr>
              <w:spacing w:after="0" w:line="240" w:lineRule="auto"/>
            </w:pPr>
            <w:r/>
            <w:r>
              <w:rPr>
                <w:rFonts w:ascii="Arial" w:hAnsi="Arial"/>
                <w:b w:val="0"/>
                <w:sz w:val="13"/>
              </w:rPr>
              <w:t>DOE CCMS certification report, test data, basic-model/design-family records.</w:t>
            </w:r>
          </w:p>
        </w:tc>
        <w:tc>
          <w:tcPr>
            <w:tcW w:type="dxa" w:w="1195"/>
            <w:vAlign w:val="center"/>
            <w:tcMar>
              <w:top w:w="60" w:type="dxa"/>
              <w:start w:w="70" w:type="dxa"/>
              <w:bottom w:w="60" w:type="dxa"/>
              <w:end w:w="70" w:type="dxa"/>
            </w:tcMar>
          </w:tcPr>
          <w:p>
            <w:pPr>
              <w:spacing w:after="0" w:line="240" w:lineRule="auto"/>
            </w:pPr>
            <w:r/>
            <w:r>
              <w:rPr>
                <w:rFonts w:ascii="Arial" w:hAnsi="Arial"/>
                <w:b w:val="0"/>
                <w:sz w:val="13"/>
              </w:rPr>
              <w:t>S027; S028; S043</w:t>
            </w:r>
          </w:p>
        </w:tc>
      </w:tr>
      <w:tr>
        <w:trPr>
          <w:cantSplit/>
        </w:trPr>
        <w:tc>
          <w:tcPr>
            <w:tcW w:type="dxa" w:w="1037"/>
            <w:vAlign w:val="center"/>
            <w:tcMar>
              <w:top w:w="60" w:type="dxa"/>
              <w:start w:w="70" w:type="dxa"/>
              <w:bottom w:w="60" w:type="dxa"/>
              <w:end w:w="70" w:type="dxa"/>
            </w:tcMar>
            <w:shd w:fill="F5F7F9"/>
          </w:tcPr>
          <w:p>
            <w:pPr>
              <w:spacing w:after="0" w:line="240" w:lineRule="auto"/>
            </w:pPr>
            <w:r/>
            <w:r>
              <w:rPr>
                <w:rFonts w:ascii="Arial" w:hAnsi="Arial"/>
                <w:b w:val="0"/>
                <w:sz w:val="13"/>
              </w:rPr>
              <w:t>R-ELEC-011</w:t>
            </w:r>
          </w:p>
        </w:tc>
        <w:tc>
          <w:tcPr>
            <w:tcW w:type="dxa" w:w="2088"/>
            <w:vAlign w:val="center"/>
            <w:tcMar>
              <w:top w:w="60" w:type="dxa"/>
              <w:start w:w="70" w:type="dxa"/>
              <w:bottom w:w="60" w:type="dxa"/>
              <w:end w:w="70" w:type="dxa"/>
            </w:tcMar>
            <w:shd w:fill="F5F7F9"/>
          </w:tcPr>
          <w:p>
            <w:pPr>
              <w:spacing w:after="0" w:line="240" w:lineRule="auto"/>
            </w:pPr>
            <w:r/>
            <w:r>
              <w:rPr>
                <w:rFonts w:ascii="Arial" w:hAnsi="Arial"/>
                <w:b w:val="0"/>
                <w:sz w:val="13"/>
              </w:rPr>
              <w:t>DOE battery charger energy conservation</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3"/>
              </w:rPr>
              <w:t>Product is a covered battery charger manufactured on or after 2018 and no medical-device exclusion applies.</w:t>
            </w:r>
          </w:p>
        </w:tc>
        <w:tc>
          <w:tcPr>
            <w:tcW w:type="dxa" w:w="2376"/>
            <w:vAlign w:val="center"/>
            <w:tcMar>
              <w:top w:w="60" w:type="dxa"/>
              <w:start w:w="70" w:type="dxa"/>
              <w:bottom w:w="60" w:type="dxa"/>
              <w:end w:w="70" w:type="dxa"/>
            </w:tcMar>
            <w:shd w:fill="F5F7F9"/>
          </w:tcPr>
          <w:p>
            <w:pPr>
              <w:spacing w:after="0" w:line="240" w:lineRule="auto"/>
            </w:pPr>
            <w:r/>
            <w:r>
              <w:rPr>
                <w:rFonts w:ascii="Arial" w:hAnsi="Arial"/>
                <w:b w:val="0"/>
                <w:sz w:val="13"/>
              </w:rPr>
              <w:t>DOE CCMS certification report, test data, basic-model records.</w:t>
            </w:r>
          </w:p>
        </w:tc>
        <w:tc>
          <w:tcPr>
            <w:tcW w:type="dxa" w:w="1195"/>
            <w:vAlign w:val="center"/>
            <w:tcMar>
              <w:top w:w="60" w:type="dxa"/>
              <w:start w:w="70" w:type="dxa"/>
              <w:bottom w:w="60" w:type="dxa"/>
              <w:end w:w="70" w:type="dxa"/>
            </w:tcMar>
            <w:shd w:fill="F5F7F9"/>
          </w:tcPr>
          <w:p>
            <w:pPr>
              <w:spacing w:after="0" w:line="240" w:lineRule="auto"/>
            </w:pPr>
            <w:r/>
            <w:r>
              <w:rPr>
                <w:rFonts w:ascii="Arial" w:hAnsi="Arial"/>
                <w:b w:val="0"/>
                <w:sz w:val="13"/>
              </w:rPr>
              <w:t>S043; S044</w:t>
            </w:r>
          </w:p>
        </w:tc>
      </w:tr>
      <w:tr>
        <w:trPr>
          <w:cantSplit/>
        </w:trPr>
        <w:tc>
          <w:tcPr>
            <w:tcW w:type="dxa" w:w="1037"/>
            <w:vAlign w:val="center"/>
            <w:tcMar>
              <w:top w:w="60" w:type="dxa"/>
              <w:start w:w="70" w:type="dxa"/>
              <w:bottom w:w="60" w:type="dxa"/>
              <w:end w:w="70" w:type="dxa"/>
            </w:tcMar>
          </w:tcPr>
          <w:p>
            <w:pPr>
              <w:spacing w:after="0" w:line="240" w:lineRule="auto"/>
            </w:pPr>
            <w:r/>
            <w:r>
              <w:rPr>
                <w:rFonts w:ascii="Arial" w:hAnsi="Arial"/>
                <w:b w:val="0"/>
                <w:sz w:val="13"/>
              </w:rPr>
              <w:t>R-ELEC-012</w:t>
            </w:r>
          </w:p>
        </w:tc>
        <w:tc>
          <w:tcPr>
            <w:tcW w:type="dxa" w:w="2088"/>
            <w:vAlign w:val="center"/>
            <w:tcMar>
              <w:top w:w="60" w:type="dxa"/>
              <w:start w:w="70" w:type="dxa"/>
              <w:bottom w:w="60" w:type="dxa"/>
              <w:end w:w="70" w:type="dxa"/>
            </w:tcMar>
          </w:tcPr>
          <w:p>
            <w:pPr>
              <w:spacing w:after="0" w:line="240" w:lineRule="auto"/>
            </w:pPr>
            <w:r/>
            <w:r>
              <w:rPr>
                <w:rFonts w:ascii="Arial" w:hAnsi="Arial"/>
                <w:b w:val="0"/>
                <w:sz w:val="13"/>
              </w:rPr>
              <w:t>Lithium battery UN 38.3 and US transport controls</w:t>
            </w:r>
          </w:p>
        </w:tc>
        <w:tc>
          <w:tcPr>
            <w:tcW w:type="dxa" w:w="3384"/>
            <w:vAlign w:val="center"/>
            <w:tcMar>
              <w:top w:w="60" w:type="dxa"/>
              <w:start w:w="70" w:type="dxa"/>
              <w:bottom w:w="60" w:type="dxa"/>
              <w:end w:w="70" w:type="dxa"/>
            </w:tcMar>
          </w:tcPr>
          <w:p>
            <w:pPr>
              <w:spacing w:after="0" w:line="240" w:lineRule="auto"/>
            </w:pPr>
            <w:r/>
            <w:r>
              <w:rPr>
                <w:rFonts w:ascii="Arial" w:hAnsi="Arial"/>
                <w:b w:val="0"/>
                <w:sz w:val="13"/>
              </w:rPr>
              <w:t>Lithium-ion or lithium-metal cell/battery is offered for transportation, whether standalone, packed with, or contained in equipment.</w:t>
            </w:r>
          </w:p>
        </w:tc>
        <w:tc>
          <w:tcPr>
            <w:tcW w:type="dxa" w:w="2376"/>
            <w:vAlign w:val="center"/>
            <w:tcMar>
              <w:top w:w="60" w:type="dxa"/>
              <w:start w:w="70" w:type="dxa"/>
              <w:bottom w:w="60" w:type="dxa"/>
              <w:end w:w="70" w:type="dxa"/>
            </w:tcMar>
          </w:tcPr>
          <w:p>
            <w:pPr>
              <w:spacing w:after="0" w:line="240" w:lineRule="auto"/>
            </w:pPr>
            <w:r/>
            <w:r>
              <w:rPr>
                <w:rFonts w:ascii="Arial" w:hAnsi="Arial"/>
                <w:b w:val="0"/>
                <w:sz w:val="13"/>
              </w:rPr>
              <w:t>UN 38.3 test summary; manufacturer test record; battery specification; shipping document where required.</w:t>
            </w:r>
          </w:p>
        </w:tc>
        <w:tc>
          <w:tcPr>
            <w:tcW w:type="dxa" w:w="1195"/>
            <w:vAlign w:val="center"/>
            <w:tcMar>
              <w:top w:w="60" w:type="dxa"/>
              <w:start w:w="70" w:type="dxa"/>
              <w:bottom w:w="60" w:type="dxa"/>
              <w:end w:w="70" w:type="dxa"/>
            </w:tcMar>
          </w:tcPr>
          <w:p>
            <w:pPr>
              <w:spacing w:after="0" w:line="240" w:lineRule="auto"/>
            </w:pPr>
            <w:r/>
            <w:r>
              <w:rPr>
                <w:rFonts w:ascii="Arial" w:hAnsi="Arial"/>
                <w:b w:val="0"/>
                <w:sz w:val="13"/>
              </w:rPr>
              <w:t>S025; S026</w:t>
            </w:r>
          </w:p>
        </w:tc>
      </w:tr>
      <w:tr>
        <w:trPr>
          <w:cantSplit/>
        </w:trPr>
        <w:tc>
          <w:tcPr>
            <w:tcW w:type="dxa" w:w="1037"/>
            <w:vAlign w:val="center"/>
            <w:tcMar>
              <w:top w:w="60" w:type="dxa"/>
              <w:start w:w="70" w:type="dxa"/>
              <w:bottom w:w="60" w:type="dxa"/>
              <w:end w:w="70" w:type="dxa"/>
            </w:tcMar>
            <w:shd w:fill="F5F7F9"/>
          </w:tcPr>
          <w:p>
            <w:pPr>
              <w:spacing w:after="0" w:line="240" w:lineRule="auto"/>
            </w:pPr>
            <w:r/>
            <w:r>
              <w:rPr>
                <w:rFonts w:ascii="Arial" w:hAnsi="Arial"/>
                <w:b w:val="0"/>
                <w:sz w:val="13"/>
              </w:rPr>
              <w:t>R-ELEC-017</w:t>
            </w:r>
          </w:p>
        </w:tc>
        <w:tc>
          <w:tcPr>
            <w:tcW w:type="dxa" w:w="2088"/>
            <w:vAlign w:val="center"/>
            <w:tcMar>
              <w:top w:w="60" w:type="dxa"/>
              <w:start w:w="70" w:type="dxa"/>
              <w:bottom w:w="60" w:type="dxa"/>
              <w:end w:w="70" w:type="dxa"/>
            </w:tcMar>
            <w:shd w:fill="F5F7F9"/>
          </w:tcPr>
          <w:p>
            <w:pPr>
              <w:spacing w:after="0" w:line="240" w:lineRule="auto"/>
            </w:pPr>
            <w:r/>
            <w:r>
              <w:rPr>
                <w:rFonts w:ascii="Arial" w:hAnsi="Arial"/>
                <w:b w:val="0"/>
                <w:sz w:val="13"/>
              </w:rPr>
              <w:t>Button/coin battery product performance and warnings</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3"/>
              </w:rPr>
              <w:t>Non-toy consumer product contains or is designed to use a button/coin cell with diameter greater than height; zinc-air cells are excluded.</w:t>
            </w:r>
          </w:p>
        </w:tc>
        <w:tc>
          <w:tcPr>
            <w:tcW w:type="dxa" w:w="2376"/>
            <w:vAlign w:val="center"/>
            <w:tcMar>
              <w:top w:w="60" w:type="dxa"/>
              <w:start w:w="70" w:type="dxa"/>
              <w:bottom w:w="60" w:type="dxa"/>
              <w:end w:w="70" w:type="dxa"/>
            </w:tcMar>
            <w:shd w:fill="F5F7F9"/>
          </w:tcPr>
          <w:p>
            <w:pPr>
              <w:spacing w:after="0" w:line="240" w:lineRule="auto"/>
            </w:pPr>
            <w:r/>
            <w:r>
              <w:rPr>
                <w:rFonts w:ascii="Arial" w:hAnsi="Arial"/>
                <w:b w:val="0"/>
                <w:sz w:val="13"/>
              </w:rPr>
              <w:t>GCC for non-children's products or CPC for children's products; test report; warning artwork.</w:t>
            </w:r>
          </w:p>
        </w:tc>
        <w:tc>
          <w:tcPr>
            <w:tcW w:type="dxa" w:w="1195"/>
            <w:vAlign w:val="center"/>
            <w:tcMar>
              <w:top w:w="60" w:type="dxa"/>
              <w:start w:w="70" w:type="dxa"/>
              <w:bottom w:w="60" w:type="dxa"/>
              <w:end w:w="70" w:type="dxa"/>
            </w:tcMar>
            <w:shd w:fill="F5F7F9"/>
          </w:tcPr>
          <w:p>
            <w:pPr>
              <w:spacing w:after="0" w:line="240" w:lineRule="auto"/>
            </w:pPr>
            <w:r/>
            <w:r>
              <w:rPr>
                <w:rFonts w:ascii="Arial" w:hAnsi="Arial"/>
                <w:b w:val="0"/>
                <w:sz w:val="13"/>
              </w:rPr>
              <w:t>S013; S014; S037</w:t>
            </w:r>
          </w:p>
        </w:tc>
      </w:tr>
    </w:tbl>
    <w:p>
      <w:pPr>
        <w:spacing w:after="0"/>
      </w:pPr>
    </w:p>
    <w:p>
      <w:pPr>
        <w:pStyle w:val="Heading2"/>
      </w:pPr>
      <w:r>
        <w:t>FCC authorization split</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168"/>
            <w:vAlign w:val="center"/>
            <w:tcMar>
              <w:top w:w="60" w:type="dxa"/>
              <w:start w:w="70" w:type="dxa"/>
              <w:bottom w:w="60" w:type="dxa"/>
              <w:end w:w="70" w:type="dxa"/>
            </w:tcMar>
            <w:shd w:fill="17324D"/>
          </w:tcPr>
          <w:p>
            <w:pPr>
              <w:spacing w:after="0" w:line="240" w:lineRule="auto"/>
            </w:pPr>
            <w:r/>
            <w:r>
              <w:rPr>
                <w:rFonts w:ascii="Arial" w:hAnsi="Arial"/>
                <w:b/>
                <w:color w:val="FFFFFF"/>
                <w:sz w:val="16"/>
              </w:rPr>
              <w:t>Attribute result</w:t>
            </w:r>
          </w:p>
        </w:tc>
        <w:tc>
          <w:tcPr>
            <w:tcW w:type="dxa" w:w="3600"/>
            <w:vAlign w:val="center"/>
            <w:tcMar>
              <w:top w:w="60" w:type="dxa"/>
              <w:start w:w="70" w:type="dxa"/>
              <w:bottom w:w="60" w:type="dxa"/>
              <w:end w:w="70" w:type="dxa"/>
            </w:tcMar>
            <w:shd w:fill="17324D"/>
          </w:tcPr>
          <w:p>
            <w:pPr>
              <w:spacing w:after="0" w:line="240" w:lineRule="auto"/>
            </w:pPr>
            <w:r/>
            <w:r>
              <w:rPr>
                <w:rFonts w:ascii="Arial" w:hAnsi="Arial"/>
                <w:b/>
                <w:color w:val="FFFFFF"/>
                <w:sz w:val="16"/>
              </w:rPr>
              <w:t>Likely route</w:t>
            </w:r>
          </w:p>
        </w:tc>
        <w:tc>
          <w:tcPr>
            <w:tcW w:type="dxa" w:w="3168"/>
            <w:vAlign w:val="center"/>
            <w:tcMar>
              <w:top w:w="60" w:type="dxa"/>
              <w:start w:w="70" w:type="dxa"/>
              <w:bottom w:w="60" w:type="dxa"/>
              <w:end w:w="70" w:type="dxa"/>
            </w:tcMar>
            <w:shd w:fill="17324D"/>
          </w:tcPr>
          <w:p>
            <w:pPr>
              <w:spacing w:after="0" w:line="240" w:lineRule="auto"/>
            </w:pPr>
            <w:r/>
            <w:r>
              <w:rPr>
                <w:rFonts w:ascii="Arial" w:hAnsi="Arial"/>
                <w:b/>
                <w:color w:val="FFFFFF"/>
                <w:sz w:val="16"/>
              </w:rPr>
              <w:t>Do not assume</w:t>
            </w:r>
          </w:p>
        </w:tc>
      </w:tr>
      <w:tr>
        <w:trPr>
          <w:cantSplit/>
        </w:trPr>
        <w:tc>
          <w:tcPr>
            <w:tcW w:type="dxa" w:w="3168"/>
            <w:vAlign w:val="center"/>
            <w:tcMar>
              <w:top w:w="60" w:type="dxa"/>
              <w:start w:w="70" w:type="dxa"/>
              <w:bottom w:w="60" w:type="dxa"/>
              <w:end w:w="70" w:type="dxa"/>
            </w:tcMar>
          </w:tcPr>
          <w:p>
            <w:pPr>
              <w:spacing w:after="0" w:line="240" w:lineRule="auto"/>
            </w:pPr>
            <w:r/>
            <w:r>
              <w:rPr>
                <w:rFonts w:ascii="Arial" w:hAnsi="Arial"/>
                <w:b w:val="0"/>
                <w:sz w:val="16"/>
              </w:rPr>
              <w:t>Bluetooth, Wi-Fi, or other transmitter</w:t>
            </w:r>
          </w:p>
        </w:tc>
        <w:tc>
          <w:tcPr>
            <w:tcW w:type="dxa" w:w="3600"/>
            <w:vAlign w:val="center"/>
            <w:tcMar>
              <w:top w:w="60" w:type="dxa"/>
              <w:start w:w="70" w:type="dxa"/>
              <w:bottom w:w="60" w:type="dxa"/>
              <w:end w:w="70" w:type="dxa"/>
            </w:tcMar>
          </w:tcPr>
          <w:p>
            <w:pPr>
              <w:spacing w:after="0" w:line="240" w:lineRule="auto"/>
            </w:pPr>
            <w:r/>
            <w:r>
              <w:rPr>
                <w:rFonts w:ascii="Arial" w:hAnsi="Arial"/>
                <w:b w:val="0"/>
                <w:sz w:val="16"/>
              </w:rPr>
              <w:t>FCC certification through a TCB before marketing</w:t>
            </w:r>
          </w:p>
        </w:tc>
        <w:tc>
          <w:tcPr>
            <w:tcW w:type="dxa" w:w="3168"/>
            <w:vAlign w:val="center"/>
            <w:tcMar>
              <w:top w:w="60" w:type="dxa"/>
              <w:start w:w="70" w:type="dxa"/>
              <w:bottom w:w="60" w:type="dxa"/>
              <w:end w:w="70" w:type="dxa"/>
            </w:tcMar>
          </w:tcPr>
          <w:p>
            <w:pPr>
              <w:spacing w:after="0" w:line="240" w:lineRule="auto"/>
            </w:pPr>
            <w:r/>
            <w:r>
              <w:rPr>
                <w:rFonts w:ascii="Arial" w:hAnsi="Arial"/>
                <w:b w:val="0"/>
                <w:sz w:val="16"/>
              </w:rPr>
              <w:t>Protocol qualification replaces FCC authorization</w:t>
            </w:r>
          </w:p>
        </w:tc>
      </w:tr>
      <w:tr>
        <w:trPr>
          <w:cantSplit/>
        </w:trPr>
        <w:tc>
          <w:tcPr>
            <w:tcW w:type="dxa" w:w="3168"/>
            <w:vAlign w:val="center"/>
            <w:tcMar>
              <w:top w:w="60" w:type="dxa"/>
              <w:start w:w="70" w:type="dxa"/>
              <w:bottom w:w="60" w:type="dxa"/>
              <w:end w:w="70" w:type="dxa"/>
            </w:tcMar>
            <w:shd w:fill="F5F7F9"/>
          </w:tcPr>
          <w:p>
            <w:pPr>
              <w:spacing w:after="0" w:line="240" w:lineRule="auto"/>
            </w:pPr>
            <w:r/>
            <w:r>
              <w:rPr>
                <w:rFonts w:ascii="Arial" w:hAnsi="Arial"/>
                <w:b w:val="0"/>
                <w:sz w:val="16"/>
              </w:rPr>
              <w:t>Digital circuitry but no transmitter</w:t>
            </w:r>
          </w:p>
        </w:tc>
        <w:tc>
          <w:tcPr>
            <w:tcW w:type="dxa" w:w="3600"/>
            <w:vAlign w:val="center"/>
            <w:tcMar>
              <w:top w:w="60" w:type="dxa"/>
              <w:start w:w="70" w:type="dxa"/>
              <w:bottom w:w="60" w:type="dxa"/>
              <w:end w:w="70" w:type="dxa"/>
            </w:tcMar>
            <w:shd w:fill="F5F7F9"/>
          </w:tcPr>
          <w:p>
            <w:pPr>
              <w:spacing w:after="0" w:line="240" w:lineRule="auto"/>
            </w:pPr>
            <w:r/>
            <w:r>
              <w:rPr>
                <w:rFonts w:ascii="Arial" w:hAnsi="Arial"/>
                <w:b w:val="0"/>
                <w:sz w:val="16"/>
              </w:rPr>
              <w:t>Part 15 Subpart B SDoC or certification</w:t>
            </w:r>
          </w:p>
        </w:tc>
        <w:tc>
          <w:tcPr>
            <w:tcW w:type="dxa" w:w="3168"/>
            <w:vAlign w:val="center"/>
            <w:tcMar>
              <w:top w:w="60" w:type="dxa"/>
              <w:start w:w="70" w:type="dxa"/>
              <w:bottom w:w="60" w:type="dxa"/>
              <w:end w:w="70" w:type="dxa"/>
            </w:tcMar>
            <w:shd w:fill="F5F7F9"/>
          </w:tcPr>
          <w:p>
            <w:pPr>
              <w:spacing w:after="0" w:line="240" w:lineRule="auto"/>
            </w:pPr>
            <w:r/>
            <w:r>
              <w:rPr>
                <w:rFonts w:ascii="Arial" w:hAnsi="Arial"/>
                <w:b w:val="0"/>
                <w:sz w:val="16"/>
              </w:rPr>
              <w:t>No radio means no FCC duty</w:t>
            </w:r>
          </w:p>
        </w:tc>
      </w:tr>
      <w:tr>
        <w:trPr>
          <w:cantSplit/>
        </w:trPr>
        <w:tc>
          <w:tcPr>
            <w:tcW w:type="dxa" w:w="3168"/>
            <w:vAlign w:val="center"/>
            <w:tcMar>
              <w:top w:w="60" w:type="dxa"/>
              <w:start w:w="70" w:type="dxa"/>
              <w:bottom w:w="60" w:type="dxa"/>
              <w:end w:w="70" w:type="dxa"/>
            </w:tcMar>
          </w:tcPr>
          <w:p>
            <w:pPr>
              <w:spacing w:after="0" w:line="240" w:lineRule="auto"/>
            </w:pPr>
            <w:r/>
            <w:r>
              <w:rPr>
                <w:rFonts w:ascii="Arial" w:hAnsi="Arial"/>
                <w:b w:val="0"/>
                <w:sz w:val="16"/>
              </w:rPr>
              <w:t>Battery-only and below 1.705 MHz</w:t>
            </w:r>
          </w:p>
        </w:tc>
        <w:tc>
          <w:tcPr>
            <w:tcW w:type="dxa" w:w="3600"/>
            <w:vAlign w:val="center"/>
            <w:tcMar>
              <w:top w:w="60" w:type="dxa"/>
              <w:start w:w="70" w:type="dxa"/>
              <w:bottom w:w="60" w:type="dxa"/>
              <w:end w:w="70" w:type="dxa"/>
            </w:tcMar>
          </w:tcPr>
          <w:p>
            <w:pPr>
              <w:spacing w:after="0" w:line="240" w:lineRule="auto"/>
            </w:pPr>
            <w:r/>
            <w:r>
              <w:rPr>
                <w:rFonts w:ascii="Arial" w:hAnsi="Arial"/>
                <w:b w:val="0"/>
                <w:sz w:val="16"/>
              </w:rPr>
              <w:t>Possible narrow exemption review</w:t>
            </w:r>
          </w:p>
        </w:tc>
        <w:tc>
          <w:tcPr>
            <w:tcW w:type="dxa" w:w="3168"/>
            <w:vAlign w:val="center"/>
            <w:tcMar>
              <w:top w:w="60" w:type="dxa"/>
              <w:start w:w="70" w:type="dxa"/>
              <w:bottom w:w="60" w:type="dxa"/>
              <w:end w:w="70" w:type="dxa"/>
            </w:tcMar>
          </w:tcPr>
          <w:p>
            <w:pPr>
              <w:spacing w:after="0" w:line="240" w:lineRule="auto"/>
            </w:pPr>
            <w:r/>
            <w:r>
              <w:rPr>
                <w:rFonts w:ascii="Arial" w:hAnsi="Arial"/>
                <w:b w:val="0"/>
                <w:sz w:val="16"/>
              </w:rPr>
              <w:t>Battery-only by itself creates an exemption</w:t>
            </w:r>
          </w:p>
        </w:tc>
      </w:tr>
      <w:tr>
        <w:trPr>
          <w:cantSplit/>
        </w:trPr>
        <w:tc>
          <w:tcPr>
            <w:tcW w:type="dxa" w:w="3168"/>
            <w:vAlign w:val="center"/>
            <w:tcMar>
              <w:top w:w="60" w:type="dxa"/>
              <w:start w:w="70" w:type="dxa"/>
              <w:bottom w:w="60" w:type="dxa"/>
              <w:end w:w="70" w:type="dxa"/>
            </w:tcMar>
            <w:shd w:fill="F5F7F9"/>
          </w:tcPr>
          <w:p>
            <w:pPr>
              <w:spacing w:after="0" w:line="240" w:lineRule="auto"/>
            </w:pPr>
            <w:r/>
            <w:r>
              <w:rPr>
                <w:rFonts w:ascii="Arial" w:hAnsi="Arial"/>
                <w:b w:val="0"/>
                <w:sz w:val="16"/>
              </w:rPr>
              <w:t>Certified module</w:t>
            </w:r>
          </w:p>
        </w:tc>
        <w:tc>
          <w:tcPr>
            <w:tcW w:type="dxa" w:w="3600"/>
            <w:vAlign w:val="center"/>
            <w:tcMar>
              <w:top w:w="60" w:type="dxa"/>
              <w:start w:w="70" w:type="dxa"/>
              <w:bottom w:w="60" w:type="dxa"/>
              <w:end w:w="70" w:type="dxa"/>
            </w:tcMar>
            <w:shd w:fill="F5F7F9"/>
          </w:tcPr>
          <w:p>
            <w:pPr>
              <w:spacing w:after="0" w:line="240" w:lineRule="auto"/>
            </w:pPr>
            <w:r/>
            <w:r>
              <w:rPr>
                <w:rFonts w:ascii="Arial" w:hAnsi="Arial"/>
                <w:b w:val="0"/>
                <w:sz w:val="16"/>
              </w:rPr>
              <w:t>Module-grant and host-integration review</w:t>
            </w:r>
          </w:p>
        </w:tc>
        <w:tc>
          <w:tcPr>
            <w:tcW w:type="dxa" w:w="3168"/>
            <w:vAlign w:val="center"/>
            <w:tcMar>
              <w:top w:w="60" w:type="dxa"/>
              <w:start w:w="70" w:type="dxa"/>
              <w:bottom w:w="60" w:type="dxa"/>
              <w:end w:w="70" w:type="dxa"/>
            </w:tcMar>
            <w:shd w:fill="F5F7F9"/>
          </w:tcPr>
          <w:p>
            <w:pPr>
              <w:spacing w:after="0" w:line="240" w:lineRule="auto"/>
            </w:pPr>
            <w:r/>
            <w:r>
              <w:rPr>
                <w:rFonts w:ascii="Arial" w:hAnsi="Arial"/>
                <w:b w:val="0"/>
                <w:sz w:val="16"/>
              </w:rPr>
              <w:t>The finished host is automatically compliant</w:t>
            </w:r>
          </w:p>
        </w:tc>
      </w:tr>
      <w:tr>
        <w:trPr>
          <w:cantSplit/>
        </w:trPr>
        <w:tc>
          <w:tcPr>
            <w:tcW w:type="dxa" w:w="3168"/>
            <w:vAlign w:val="center"/>
            <w:tcMar>
              <w:top w:w="60" w:type="dxa"/>
              <w:start w:w="70" w:type="dxa"/>
              <w:bottom w:w="60" w:type="dxa"/>
              <w:end w:w="70" w:type="dxa"/>
            </w:tcMar>
          </w:tcPr>
          <w:p>
            <w:pPr>
              <w:spacing w:after="0" w:line="240" w:lineRule="auto"/>
            </w:pPr>
            <w:r/>
            <w:r>
              <w:rPr>
                <w:rFonts w:ascii="Arial" w:hAnsi="Arial"/>
                <w:b w:val="0"/>
                <w:sz w:val="16"/>
              </w:rPr>
              <w:t>Body-worn or ear-worn transmitter</w:t>
            </w:r>
          </w:p>
        </w:tc>
        <w:tc>
          <w:tcPr>
            <w:tcW w:type="dxa" w:w="3600"/>
            <w:vAlign w:val="center"/>
            <w:tcMar>
              <w:top w:w="60" w:type="dxa"/>
              <w:start w:w="70" w:type="dxa"/>
              <w:bottom w:w="60" w:type="dxa"/>
              <w:end w:w="70" w:type="dxa"/>
            </w:tcMar>
          </w:tcPr>
          <w:p>
            <w:pPr>
              <w:spacing w:after="0" w:line="240" w:lineRule="auto"/>
            </w:pPr>
            <w:r/>
            <w:r>
              <w:rPr>
                <w:rFonts w:ascii="Arial" w:hAnsi="Arial"/>
                <w:b w:val="0"/>
                <w:sz w:val="16"/>
              </w:rPr>
              <w:t>Portable RF exposure analysis</w:t>
            </w:r>
          </w:p>
        </w:tc>
        <w:tc>
          <w:tcPr>
            <w:tcW w:type="dxa" w:w="3168"/>
            <w:vAlign w:val="center"/>
            <w:tcMar>
              <w:top w:w="60" w:type="dxa"/>
              <w:start w:w="70" w:type="dxa"/>
              <w:bottom w:w="60" w:type="dxa"/>
              <w:end w:w="70" w:type="dxa"/>
            </w:tcMar>
          </w:tcPr>
          <w:p>
            <w:pPr>
              <w:spacing w:after="0" w:line="240" w:lineRule="auto"/>
            </w:pPr>
            <w:r/>
            <w:r>
              <w:rPr>
                <w:rFonts w:ascii="Arial" w:hAnsi="Arial"/>
                <w:b w:val="0"/>
                <w:sz w:val="16"/>
              </w:rPr>
              <w:t>Low power always eliminates evaluation</w:t>
            </w:r>
          </w:p>
        </w:tc>
      </w:tr>
    </w:tbl>
    <w:p>
      <w:pPr>
        <w:spacing w:after="0"/>
      </w:pPr>
    </w:p>
    <w:p>
      <w:pPr>
        <w:pStyle w:val="Heading2"/>
      </w:pPr>
      <w:r>
        <w:t>Battery and power split</w:t>
      </w:r>
    </w:p>
    <w:p>
      <w:r>
        <w:t>The MVP should produce three independent outputs: product safety for button/coin cells, hazardous-material transport for lithium batteries, and DOE energy-conservation duties for covered battery chargers or external power supplies. A single battery certificate cannot satisfy all three.</w:t>
      </w:r>
    </w:p>
    <w:p>
      <w:r>
        <w:t>DOE requires covered external power supplies to meet efficiency standards and follow Appendix Z testing and part 429 certification. Covered battery chargers have product-class unit-energy-consumption limits and annual certification. </w:t>
      </w:r>
      <w:r>
        <w:footnoteReference w:id="8"/>
      </w:r>
    </w:p>
    <w:p>
      <w:pPr>
        <w:pStyle w:val="Heading2"/>
      </w:pPr>
      <w:r>
        <w:t>Platform controls</w:t>
      </w:r>
    </w:p>
    <w:p>
      <w:r>
        <w:t>Amazon requires RF-device listing attributes and routes specified rechargeable lithium battery products through approved providers. eBay prohibits devices that lack required FCC authorization and names additional product-safety restrictions. These are platform controls and should remain visibly separate from legal requirements. </w:t>
      </w:r>
      <w:r>
        <w:footnoteReference w:id="9"/>
      </w:r>
    </w:p>
    <w:p>
      <w:pPr>
        <w:pStyle w:val="Heading1"/>
      </w:pPr>
      <w:r>
        <w:t>State and import overlays</w:t>
      </w:r>
    </w:p>
    <w:p>
      <w:r>
        <w:t>Foreign-origin articles generally require a conspicuous, legible, indelible, and permanent English country-of-origin mark for the ultimate purchaser, subject to specific exceptions. California Proposition 65 requires an exposure analysis before deciding whether a warning is needed; chemical presence alone is not enough. Short-form safe-harbor warning content changed effective January 1, 2025 with a three-year transition. </w:t>
      </w:r>
      <w:r>
        <w:footnoteReference w:id="10"/>
      </w:r>
    </w:p>
    <w:p>
      <w:r>
        <w:br w:type="page"/>
      </w:r>
    </w:p>
    <w:p>
      <w:pPr>
        <w:pStyle w:val="Heading1"/>
      </w:pPr>
      <w:r>
        <w:t>Cost dataset</w:t>
      </w:r>
    </w:p>
    <w:p>
      <w:r>
        <w:t>The cost records below are the only amounts located in authoritative public sources that could be bounded without inventing a price. They should not be used as a supplier budget without current quotes.</w:t>
      </w:r>
    </w:p>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008"/>
            <w:vAlign w:val="center"/>
            <w:tcMar>
              <w:top w:w="60" w:type="dxa"/>
              <w:start w:w="70" w:type="dxa"/>
              <w:bottom w:w="60" w:type="dxa"/>
              <w:end w:w="70" w:type="dxa"/>
            </w:tcMar>
            <w:shd w:fill="17324D"/>
          </w:tcPr>
          <w:p>
            <w:pPr>
              <w:spacing w:after="0" w:line="240" w:lineRule="auto"/>
            </w:pPr>
            <w:r/>
            <w:r>
              <w:rPr>
                <w:rFonts w:ascii="Arial" w:hAnsi="Arial"/>
                <w:b/>
                <w:color w:val="FFFFFF"/>
                <w:sz w:val="14"/>
              </w:rPr>
              <w:t>ID</w:t>
            </w:r>
          </w:p>
        </w:tc>
        <w:tc>
          <w:tcPr>
            <w:tcW w:type="dxa" w:w="2880"/>
            <w:vAlign w:val="center"/>
            <w:tcMar>
              <w:top w:w="60" w:type="dxa"/>
              <w:start w:w="70" w:type="dxa"/>
              <w:bottom w:w="60" w:type="dxa"/>
              <w:end w:w="70" w:type="dxa"/>
            </w:tcMar>
            <w:shd w:fill="17324D"/>
          </w:tcPr>
          <w:p>
            <w:pPr>
              <w:spacing w:after="0" w:line="240" w:lineRule="auto"/>
            </w:pPr>
            <w:r/>
            <w:r>
              <w:rPr>
                <w:rFonts w:ascii="Arial" w:hAnsi="Arial"/>
                <w:b/>
                <w:color w:val="FFFFFF"/>
                <w:sz w:val="14"/>
              </w:rPr>
              <w:t>Action</w:t>
            </w:r>
          </w:p>
        </w:tc>
        <w:tc>
          <w:tcPr>
            <w:tcW w:type="dxa" w:w="1224"/>
            <w:vAlign w:val="center"/>
            <w:tcMar>
              <w:top w:w="60" w:type="dxa"/>
              <w:start w:w="70" w:type="dxa"/>
              <w:bottom w:w="60" w:type="dxa"/>
              <w:end w:w="70" w:type="dxa"/>
            </w:tcMar>
            <w:shd w:fill="17324D"/>
          </w:tcPr>
          <w:p>
            <w:pPr>
              <w:spacing w:after="0" w:line="240" w:lineRule="auto"/>
            </w:pPr>
            <w:r/>
            <w:r>
              <w:rPr>
                <w:rFonts w:ascii="Arial" w:hAnsi="Arial"/>
                <w:b/>
                <w:color w:val="FFFFFF"/>
                <w:sz w:val="14"/>
              </w:rPr>
              <w:t>Amount</w:t>
            </w:r>
          </w:p>
        </w:tc>
        <w:tc>
          <w:tcPr>
            <w:tcW w:type="dxa" w:w="1944"/>
            <w:vAlign w:val="center"/>
            <w:tcMar>
              <w:top w:w="60" w:type="dxa"/>
              <w:start w:w="70" w:type="dxa"/>
              <w:bottom w:w="60" w:type="dxa"/>
              <w:end w:w="70" w:type="dxa"/>
            </w:tcMar>
            <w:shd w:fill="17324D"/>
          </w:tcPr>
          <w:p>
            <w:pPr>
              <w:spacing w:after="0" w:line="240" w:lineRule="auto"/>
            </w:pPr>
            <w:r/>
            <w:r>
              <w:rPr>
                <w:rFonts w:ascii="Arial" w:hAnsi="Arial"/>
                <w:b/>
                <w:color w:val="FFFFFF"/>
                <w:sz w:val="14"/>
              </w:rPr>
              <w:t>Basis</w:t>
            </w:r>
          </w:p>
        </w:tc>
        <w:tc>
          <w:tcPr>
            <w:tcW w:type="dxa" w:w="1944"/>
            <w:vAlign w:val="center"/>
            <w:tcMar>
              <w:top w:w="60" w:type="dxa"/>
              <w:start w:w="70" w:type="dxa"/>
              <w:bottom w:w="60" w:type="dxa"/>
              <w:end w:w="70" w:type="dxa"/>
            </w:tcMar>
            <w:shd w:fill="17324D"/>
          </w:tcPr>
          <w:p>
            <w:pPr>
              <w:spacing w:after="0" w:line="240" w:lineRule="auto"/>
            </w:pPr>
            <w:r/>
            <w:r>
              <w:rPr>
                <w:rFonts w:ascii="Arial" w:hAnsi="Arial"/>
                <w:b/>
                <w:color w:val="FFFFFF"/>
                <w:sz w:val="14"/>
              </w:rPr>
              <w:t>Estimate status</w:t>
            </w:r>
          </w:p>
        </w:tc>
        <w:tc>
          <w:tcPr>
            <w:tcW w:type="dxa" w:w="1080"/>
            <w:vAlign w:val="center"/>
            <w:tcMar>
              <w:top w:w="60" w:type="dxa"/>
              <w:start w:w="70" w:type="dxa"/>
              <w:bottom w:w="60" w:type="dxa"/>
              <w:end w:w="70" w:type="dxa"/>
            </w:tcMar>
            <w:shd w:fill="17324D"/>
          </w:tcPr>
          <w:p>
            <w:pPr>
              <w:spacing w:after="0" w:line="240" w:lineRule="auto"/>
            </w:pPr>
            <w:r/>
            <w:r>
              <w:rPr>
                <w:rFonts w:ascii="Arial" w:hAnsi="Arial"/>
                <w:b/>
                <w:color w:val="FFFFFF"/>
                <w:sz w:val="14"/>
              </w:rPr>
              <w:t>Source</w:t>
            </w:r>
          </w:p>
        </w:tc>
      </w:tr>
      <w:tr>
        <w:trPr>
          <w:cantSplit/>
        </w:trPr>
        <w:tc>
          <w:tcPr>
            <w:tcW w:type="dxa" w:w="1008"/>
            <w:vAlign w:val="center"/>
            <w:tcMar>
              <w:top w:w="60" w:type="dxa"/>
              <w:start w:w="70" w:type="dxa"/>
              <w:bottom w:w="60" w:type="dxa"/>
              <w:end w:w="70" w:type="dxa"/>
            </w:tcMar>
          </w:tcPr>
          <w:p>
            <w:pPr>
              <w:spacing w:after="0" w:line="240" w:lineRule="auto"/>
            </w:pPr>
            <w:r/>
            <w:r>
              <w:rPr>
                <w:rFonts w:ascii="Arial" w:hAnsi="Arial"/>
                <w:b w:val="0"/>
                <w:sz w:val="14"/>
              </w:rPr>
              <w:t>COST-001</w:t>
            </w:r>
          </w:p>
        </w:tc>
        <w:tc>
          <w:tcPr>
            <w:tcW w:type="dxa" w:w="2880"/>
            <w:vAlign w:val="center"/>
            <w:tcMar>
              <w:top w:w="60" w:type="dxa"/>
              <w:start w:w="70" w:type="dxa"/>
              <w:bottom w:w="60" w:type="dxa"/>
              <w:end w:w="70" w:type="dxa"/>
            </w:tcMar>
          </w:tcPr>
          <w:p>
            <w:pPr>
              <w:spacing w:after="0" w:line="240" w:lineRule="auto"/>
            </w:pPr>
            <w:r/>
            <w:r>
              <w:rPr>
                <w:rFonts w:ascii="Arial" w:hAnsi="Arial"/>
                <w:b w:val="0"/>
                <w:sz w:val="14"/>
              </w:rPr>
              <w:t>Read-only access to ASTM F963-23 incorporated standard</w:t>
            </w:r>
          </w:p>
        </w:tc>
        <w:tc>
          <w:tcPr>
            <w:tcW w:type="dxa" w:w="1224"/>
            <w:vAlign w:val="center"/>
            <w:tcMar>
              <w:top w:w="60" w:type="dxa"/>
              <w:start w:w="70" w:type="dxa"/>
              <w:bottom w:w="60" w:type="dxa"/>
              <w:end w:w="70" w:type="dxa"/>
            </w:tcMar>
          </w:tcPr>
          <w:p>
            <w:pPr>
              <w:spacing w:after="0" w:line="240" w:lineRule="auto"/>
            </w:pPr>
            <w:r/>
            <w:r>
              <w:rPr>
                <w:rFonts w:ascii="Arial" w:hAnsi="Arial"/>
                <w:b w:val="0"/>
                <w:sz w:val="14"/>
              </w:rPr>
              <w:t>$0.00</w:t>
            </w:r>
          </w:p>
        </w:tc>
        <w:tc>
          <w:tcPr>
            <w:tcW w:type="dxa" w:w="1944"/>
            <w:vAlign w:val="center"/>
            <w:tcMar>
              <w:top w:w="60" w:type="dxa"/>
              <w:start w:w="70" w:type="dxa"/>
              <w:bottom w:w="60" w:type="dxa"/>
              <w:end w:w="70" w:type="dxa"/>
            </w:tcMar>
          </w:tcPr>
          <w:p>
            <w:pPr>
              <w:spacing w:after="0" w:line="240" w:lineRule="auto"/>
            </w:pPr>
            <w:r/>
            <w:r>
              <w:rPr>
                <w:rFonts w:ascii="Arial" w:hAnsi="Arial"/>
                <w:b w:val="0"/>
                <w:sz w:val="14"/>
              </w:rPr>
              <w:t>per online read-only access</w:t>
            </w:r>
          </w:p>
        </w:tc>
        <w:tc>
          <w:tcPr>
            <w:tcW w:type="dxa" w:w="1944"/>
            <w:vAlign w:val="center"/>
            <w:tcMar>
              <w:top w:w="60" w:type="dxa"/>
              <w:start w:w="70" w:type="dxa"/>
              <w:bottom w:w="60" w:type="dxa"/>
              <w:end w:w="70" w:type="dxa"/>
            </w:tcMar>
          </w:tcPr>
          <w:p>
            <w:pPr>
              <w:spacing w:after="0" w:line="240" w:lineRule="auto"/>
            </w:pPr>
            <w:r/>
            <w:r>
              <w:rPr>
                <w:rFonts w:ascii="Arial" w:hAnsi="Arial"/>
                <w:b w:val="0"/>
                <w:sz w:val="14"/>
              </w:rPr>
              <w:t>EXACT PUBLIC ACCESS COST</w:t>
            </w:r>
          </w:p>
        </w:tc>
        <w:tc>
          <w:tcPr>
            <w:tcW w:type="dxa" w:w="1080"/>
            <w:vAlign w:val="center"/>
            <w:tcMar>
              <w:top w:w="60" w:type="dxa"/>
              <w:start w:w="70" w:type="dxa"/>
              <w:bottom w:w="60" w:type="dxa"/>
              <w:end w:w="70" w:type="dxa"/>
            </w:tcMar>
          </w:tcPr>
          <w:p>
            <w:pPr>
              <w:spacing w:after="0" w:line="240" w:lineRule="auto"/>
            </w:pPr>
            <w:r/>
            <w:r>
              <w:rPr>
                <w:rFonts w:ascii="Arial" w:hAnsi="Arial"/>
                <w:b w:val="0"/>
                <w:sz w:val="14"/>
              </w:rPr>
              <w:t>S018</w:t>
            </w:r>
          </w:p>
        </w:tc>
      </w:tr>
      <w:tr>
        <w:trPr>
          <w:cantSplit/>
        </w:trPr>
        <w:tc>
          <w:tcPr>
            <w:tcW w:type="dxa" w:w="1008"/>
            <w:vAlign w:val="center"/>
            <w:tcMar>
              <w:top w:w="60" w:type="dxa"/>
              <w:start w:w="70" w:type="dxa"/>
              <w:bottom w:w="60" w:type="dxa"/>
              <w:end w:w="70" w:type="dxa"/>
            </w:tcMar>
            <w:shd w:fill="F5F7F9"/>
          </w:tcPr>
          <w:p>
            <w:pPr>
              <w:spacing w:after="0" w:line="240" w:lineRule="auto"/>
            </w:pPr>
            <w:r/>
            <w:r>
              <w:rPr>
                <w:rFonts w:ascii="Arial" w:hAnsi="Arial"/>
                <w:b w:val="0"/>
                <w:sz w:val="14"/>
              </w:rPr>
              <w:t>COST-002</w:t>
            </w:r>
          </w:p>
        </w:tc>
        <w:tc>
          <w:tcPr>
            <w:tcW w:type="dxa" w:w="2880"/>
            <w:vAlign w:val="center"/>
            <w:tcMar>
              <w:top w:w="60" w:type="dxa"/>
              <w:start w:w="70" w:type="dxa"/>
              <w:bottom w:w="60" w:type="dxa"/>
              <w:end w:w="70" w:type="dxa"/>
            </w:tcMar>
            <w:shd w:fill="F5F7F9"/>
          </w:tcPr>
          <w:p>
            <w:pPr>
              <w:spacing w:after="0" w:line="240" w:lineRule="auto"/>
            </w:pPr>
            <w:r/>
            <w:r>
              <w:rPr>
                <w:rFonts w:ascii="Arial" w:hAnsi="Arial"/>
                <w:b w:val="0"/>
                <w:sz w:val="14"/>
              </w:rPr>
              <w:t>FCC assignment of applicant/grantee code</w:t>
            </w:r>
          </w:p>
        </w:tc>
        <w:tc>
          <w:tcPr>
            <w:tcW w:type="dxa" w:w="1224"/>
            <w:vAlign w:val="center"/>
            <w:tcMar>
              <w:top w:w="60" w:type="dxa"/>
              <w:start w:w="70" w:type="dxa"/>
              <w:bottom w:w="60" w:type="dxa"/>
              <w:end w:w="70" w:type="dxa"/>
            </w:tcMar>
            <w:shd w:fill="F5F7F9"/>
          </w:tcPr>
          <w:p>
            <w:pPr>
              <w:spacing w:after="0" w:line="240" w:lineRule="auto"/>
            </w:pPr>
            <w:r/>
            <w:r>
              <w:rPr>
                <w:rFonts w:ascii="Arial" w:hAnsi="Arial"/>
                <w:b w:val="0"/>
                <w:sz w:val="14"/>
              </w:rPr>
              <w:t>$35.00</w:t>
            </w:r>
          </w:p>
        </w:tc>
        <w:tc>
          <w:tcPr>
            <w:tcW w:type="dxa" w:w="1944"/>
            <w:vAlign w:val="center"/>
            <w:tcMar>
              <w:top w:w="60" w:type="dxa"/>
              <w:start w:w="70" w:type="dxa"/>
              <w:bottom w:w="60" w:type="dxa"/>
              <w:end w:w="70" w:type="dxa"/>
            </w:tcMar>
            <w:shd w:fill="F5F7F9"/>
          </w:tcPr>
          <w:p>
            <w:pPr>
              <w:spacing w:after="0" w:line="240" w:lineRule="auto"/>
            </w:pPr>
            <w:r/>
            <w:r>
              <w:rPr>
                <w:rFonts w:ascii="Arial" w:hAnsi="Arial"/>
                <w:b w:val="0"/>
                <w:sz w:val="14"/>
              </w:rPr>
              <w:t>one-time grantee code assignment</w:t>
            </w:r>
          </w:p>
        </w:tc>
        <w:tc>
          <w:tcPr>
            <w:tcW w:type="dxa" w:w="1944"/>
            <w:vAlign w:val="center"/>
            <w:tcMar>
              <w:top w:w="60" w:type="dxa"/>
              <w:start w:w="70" w:type="dxa"/>
              <w:bottom w:w="60" w:type="dxa"/>
              <w:end w:w="70" w:type="dxa"/>
            </w:tcMar>
            <w:shd w:fill="F5F7F9"/>
          </w:tcPr>
          <w:p>
            <w:pPr>
              <w:spacing w:after="0" w:line="240" w:lineRule="auto"/>
            </w:pPr>
            <w:r/>
            <w:r>
              <w:rPr>
                <w:rFonts w:ascii="Arial" w:hAnsi="Arial"/>
                <w:b w:val="0"/>
                <w:sz w:val="14"/>
              </w:rPr>
              <w:t>EXACT GOVERNMENT FEE</w:t>
            </w:r>
          </w:p>
        </w:tc>
        <w:tc>
          <w:tcPr>
            <w:tcW w:type="dxa" w:w="1080"/>
            <w:vAlign w:val="center"/>
            <w:tcMar>
              <w:top w:w="60" w:type="dxa"/>
              <w:start w:w="70" w:type="dxa"/>
              <w:bottom w:w="60" w:type="dxa"/>
              <w:end w:w="70" w:type="dxa"/>
            </w:tcMar>
            <w:shd w:fill="F5F7F9"/>
          </w:tcPr>
          <w:p>
            <w:pPr>
              <w:spacing w:after="0" w:line="240" w:lineRule="auto"/>
            </w:pPr>
            <w:r/>
            <w:r>
              <w:rPr>
                <w:rFonts w:ascii="Arial" w:hAnsi="Arial"/>
                <w:b w:val="0"/>
                <w:sz w:val="14"/>
              </w:rPr>
              <w:t>S047</w:t>
            </w:r>
          </w:p>
        </w:tc>
      </w:tr>
      <w:tr>
        <w:trPr>
          <w:cantSplit/>
        </w:trPr>
        <w:tc>
          <w:tcPr>
            <w:tcW w:type="dxa" w:w="1008"/>
            <w:vAlign w:val="center"/>
            <w:tcMar>
              <w:top w:w="60" w:type="dxa"/>
              <w:start w:w="70" w:type="dxa"/>
              <w:bottom w:w="60" w:type="dxa"/>
              <w:end w:w="70" w:type="dxa"/>
            </w:tcMar>
          </w:tcPr>
          <w:p>
            <w:pPr>
              <w:spacing w:after="0" w:line="240" w:lineRule="auto"/>
            </w:pPr>
            <w:r/>
            <w:r>
              <w:rPr>
                <w:rFonts w:ascii="Arial" w:hAnsi="Arial"/>
                <w:b w:val="0"/>
                <w:sz w:val="14"/>
              </w:rPr>
              <w:t>COST-003</w:t>
            </w:r>
          </w:p>
        </w:tc>
        <w:tc>
          <w:tcPr>
            <w:tcW w:type="dxa" w:w="2880"/>
            <w:vAlign w:val="center"/>
            <w:tcMar>
              <w:top w:w="60" w:type="dxa"/>
              <w:start w:w="70" w:type="dxa"/>
              <w:bottom w:w="60" w:type="dxa"/>
              <w:end w:w="70" w:type="dxa"/>
            </w:tcMar>
          </w:tcPr>
          <w:p>
            <w:pPr>
              <w:spacing w:after="0" w:line="240" w:lineRule="auto"/>
            </w:pPr>
            <w:r/>
            <w:r>
              <w:rPr>
                <w:rFonts w:ascii="Arial" w:hAnsi="Arial"/>
                <w:b w:val="0"/>
                <w:sz w:val="14"/>
              </w:rPr>
              <w:t>Button/coin battery third-party testing</w:t>
            </w:r>
          </w:p>
        </w:tc>
        <w:tc>
          <w:tcPr>
            <w:tcW w:type="dxa" w:w="1224"/>
            <w:vAlign w:val="center"/>
            <w:tcMar>
              <w:top w:w="60" w:type="dxa"/>
              <w:start w:w="70" w:type="dxa"/>
              <w:bottom w:w="60" w:type="dxa"/>
              <w:end w:w="70" w:type="dxa"/>
            </w:tcMar>
          </w:tcPr>
          <w:p>
            <w:pPr>
              <w:spacing w:after="0" w:line="240" w:lineRule="auto"/>
            </w:pPr>
            <w:r/>
            <w:r>
              <w:rPr>
                <w:rFonts w:ascii="Arial" w:hAnsi="Arial"/>
                <w:b w:val="0"/>
                <w:sz w:val="14"/>
              </w:rPr>
              <w:t>$261.72</w:t>
            </w:r>
          </w:p>
        </w:tc>
        <w:tc>
          <w:tcPr>
            <w:tcW w:type="dxa" w:w="1944"/>
            <w:vAlign w:val="center"/>
            <w:tcMar>
              <w:top w:w="60" w:type="dxa"/>
              <w:start w:w="70" w:type="dxa"/>
              <w:bottom w:w="60" w:type="dxa"/>
              <w:end w:w="70" w:type="dxa"/>
            </w:tcMar>
          </w:tcPr>
          <w:p>
            <w:pPr>
              <w:spacing w:after="0" w:line="240" w:lineRule="auto"/>
            </w:pPr>
            <w:r/>
            <w:r>
              <w:rPr>
                <w:rFonts w:ascii="Arial" w:hAnsi="Arial"/>
                <w:b w:val="0"/>
                <w:sz w:val="14"/>
              </w:rPr>
              <w:t>per response in CPSC economic estimate</w:t>
            </w:r>
          </w:p>
        </w:tc>
        <w:tc>
          <w:tcPr>
            <w:tcW w:type="dxa" w:w="1944"/>
            <w:vAlign w:val="center"/>
            <w:tcMar>
              <w:top w:w="60" w:type="dxa"/>
              <w:start w:w="70" w:type="dxa"/>
              <w:bottom w:w="60" w:type="dxa"/>
              <w:end w:w="70" w:type="dxa"/>
            </w:tcMar>
          </w:tcPr>
          <w:p>
            <w:pPr>
              <w:spacing w:after="0" w:line="240" w:lineRule="auto"/>
            </w:pPr>
            <w:r/>
            <w:r>
              <w:rPr>
                <w:rFonts w:ascii="Arial" w:hAnsi="Arial"/>
                <w:b w:val="0"/>
                <w:sz w:val="14"/>
              </w:rPr>
              <w:t>REGULATORY ESTIMATE</w:t>
            </w:r>
          </w:p>
        </w:tc>
        <w:tc>
          <w:tcPr>
            <w:tcW w:type="dxa" w:w="1080"/>
            <w:vAlign w:val="center"/>
            <w:tcMar>
              <w:top w:w="60" w:type="dxa"/>
              <w:start w:w="70" w:type="dxa"/>
              <w:bottom w:w="60" w:type="dxa"/>
              <w:end w:w="70" w:type="dxa"/>
            </w:tcMar>
          </w:tcPr>
          <w:p>
            <w:pPr>
              <w:spacing w:after="0" w:line="240" w:lineRule="auto"/>
            </w:pPr>
            <w:r/>
            <w:r>
              <w:rPr>
                <w:rFonts w:ascii="Arial" w:hAnsi="Arial"/>
                <w:b w:val="0"/>
                <w:sz w:val="14"/>
              </w:rPr>
              <w:t>S037</w:t>
            </w:r>
          </w:p>
        </w:tc>
      </w:tr>
      <w:tr>
        <w:trPr>
          <w:cantSplit/>
        </w:trPr>
        <w:tc>
          <w:tcPr>
            <w:tcW w:type="dxa" w:w="1008"/>
            <w:vAlign w:val="center"/>
            <w:tcMar>
              <w:top w:w="60" w:type="dxa"/>
              <w:start w:w="70" w:type="dxa"/>
              <w:bottom w:w="60" w:type="dxa"/>
              <w:end w:w="70" w:type="dxa"/>
            </w:tcMar>
            <w:shd w:fill="F5F7F9"/>
          </w:tcPr>
          <w:p>
            <w:pPr>
              <w:spacing w:after="0" w:line="240" w:lineRule="auto"/>
            </w:pPr>
            <w:r/>
            <w:r>
              <w:rPr>
                <w:rFonts w:ascii="Arial" w:hAnsi="Arial"/>
                <w:b w:val="0"/>
                <w:sz w:val="14"/>
              </w:rPr>
              <w:t>COST-004</w:t>
            </w:r>
          </w:p>
        </w:tc>
        <w:tc>
          <w:tcPr>
            <w:tcW w:type="dxa" w:w="2880"/>
            <w:vAlign w:val="center"/>
            <w:tcMar>
              <w:top w:w="60" w:type="dxa"/>
              <w:start w:w="70" w:type="dxa"/>
              <w:bottom w:w="60" w:type="dxa"/>
              <w:end w:w="70" w:type="dxa"/>
            </w:tcMar>
            <w:shd w:fill="F5F7F9"/>
          </w:tcPr>
          <w:p>
            <w:pPr>
              <w:spacing w:after="0" w:line="240" w:lineRule="auto"/>
            </w:pPr>
            <w:r/>
            <w:r>
              <w:rPr>
                <w:rFonts w:ascii="Arial" w:hAnsi="Arial"/>
                <w:b w:val="0"/>
                <w:sz w:val="14"/>
              </w:rPr>
              <w:t>Button/coin battery testing, labeling, and recordkeeping labor input</w:t>
            </w:r>
          </w:p>
        </w:tc>
        <w:tc>
          <w:tcPr>
            <w:tcW w:type="dxa" w:w="1224"/>
            <w:vAlign w:val="center"/>
            <w:tcMar>
              <w:top w:w="60" w:type="dxa"/>
              <w:start w:w="70" w:type="dxa"/>
              <w:bottom w:w="60" w:type="dxa"/>
              <w:end w:w="70" w:type="dxa"/>
            </w:tcMar>
            <w:shd w:fill="F5F7F9"/>
          </w:tcPr>
          <w:p>
            <w:pPr>
              <w:spacing w:after="0" w:line="240" w:lineRule="auto"/>
            </w:pPr>
            <w:r/>
            <w:r>
              <w:rPr>
                <w:rFonts w:ascii="Arial" w:hAnsi="Arial"/>
                <w:b w:val="0"/>
                <w:sz w:val="14"/>
              </w:rPr>
              <w:t>$43.62</w:t>
            </w:r>
          </w:p>
        </w:tc>
        <w:tc>
          <w:tcPr>
            <w:tcW w:type="dxa" w:w="1944"/>
            <w:vAlign w:val="center"/>
            <w:tcMar>
              <w:top w:w="60" w:type="dxa"/>
              <w:start w:w="70" w:type="dxa"/>
              <w:bottom w:w="60" w:type="dxa"/>
              <w:end w:w="70" w:type="dxa"/>
            </w:tcMar>
            <w:shd w:fill="F5F7F9"/>
          </w:tcPr>
          <w:p>
            <w:pPr>
              <w:spacing w:after="0" w:line="240" w:lineRule="auto"/>
            </w:pPr>
            <w:r/>
            <w:r>
              <w:rPr>
                <w:rFonts w:ascii="Arial" w:hAnsi="Arial"/>
                <w:b w:val="0"/>
                <w:sz w:val="14"/>
              </w:rPr>
              <w:t>labor cost per hour used by CPSC</w:t>
            </w:r>
          </w:p>
        </w:tc>
        <w:tc>
          <w:tcPr>
            <w:tcW w:type="dxa" w:w="1944"/>
            <w:vAlign w:val="center"/>
            <w:tcMar>
              <w:top w:w="60" w:type="dxa"/>
              <w:start w:w="70" w:type="dxa"/>
              <w:bottom w:w="60" w:type="dxa"/>
              <w:end w:w="70" w:type="dxa"/>
            </w:tcMar>
            <w:shd w:fill="F5F7F9"/>
          </w:tcPr>
          <w:p>
            <w:pPr>
              <w:spacing w:after="0" w:line="240" w:lineRule="auto"/>
            </w:pPr>
            <w:r/>
            <w:r>
              <w:rPr>
                <w:rFonts w:ascii="Arial" w:hAnsi="Arial"/>
                <w:b w:val="0"/>
                <w:sz w:val="14"/>
              </w:rPr>
              <w:t>REGULATORY LABOR ASSUMPTION</w:t>
            </w:r>
          </w:p>
        </w:tc>
        <w:tc>
          <w:tcPr>
            <w:tcW w:type="dxa" w:w="1080"/>
            <w:vAlign w:val="center"/>
            <w:tcMar>
              <w:top w:w="60" w:type="dxa"/>
              <w:start w:w="70" w:type="dxa"/>
              <w:bottom w:w="60" w:type="dxa"/>
              <w:end w:w="70" w:type="dxa"/>
            </w:tcMar>
            <w:shd w:fill="F5F7F9"/>
          </w:tcPr>
          <w:p>
            <w:pPr>
              <w:spacing w:after="0" w:line="240" w:lineRule="auto"/>
            </w:pPr>
            <w:r/>
            <w:r>
              <w:rPr>
                <w:rFonts w:ascii="Arial" w:hAnsi="Arial"/>
                <w:b w:val="0"/>
                <w:sz w:val="14"/>
              </w:rPr>
              <w:t>S037</w:t>
            </w:r>
          </w:p>
        </w:tc>
      </w:tr>
      <w:tr>
        <w:trPr>
          <w:cantSplit/>
        </w:trPr>
        <w:tc>
          <w:tcPr>
            <w:tcW w:type="dxa" w:w="1008"/>
            <w:vAlign w:val="center"/>
            <w:tcMar>
              <w:top w:w="60" w:type="dxa"/>
              <w:start w:w="70" w:type="dxa"/>
              <w:bottom w:w="60" w:type="dxa"/>
              <w:end w:w="70" w:type="dxa"/>
            </w:tcMar>
          </w:tcPr>
          <w:p>
            <w:pPr>
              <w:spacing w:after="0" w:line="240" w:lineRule="auto"/>
            </w:pPr>
            <w:r/>
            <w:r>
              <w:rPr>
                <w:rFonts w:ascii="Arial" w:hAnsi="Arial"/>
                <w:b w:val="0"/>
                <w:sz w:val="14"/>
              </w:rPr>
              <w:t>COST-005</w:t>
            </w:r>
          </w:p>
        </w:tc>
        <w:tc>
          <w:tcPr>
            <w:tcW w:type="dxa" w:w="2880"/>
            <w:vAlign w:val="center"/>
            <w:tcMar>
              <w:top w:w="60" w:type="dxa"/>
              <w:start w:w="70" w:type="dxa"/>
              <w:bottom w:w="60" w:type="dxa"/>
              <w:end w:w="70" w:type="dxa"/>
            </w:tcMar>
          </w:tcPr>
          <w:p>
            <w:pPr>
              <w:spacing w:after="0" w:line="240" w:lineRule="auto"/>
            </w:pPr>
            <w:r/>
            <w:r>
              <w:rPr>
                <w:rFonts w:ascii="Arial" w:hAnsi="Arial"/>
                <w:b w:val="0"/>
                <w:sz w:val="14"/>
              </w:rPr>
              <w:t>Non-toy children's button-battery recordkeeping/certification labor input</w:t>
            </w:r>
          </w:p>
        </w:tc>
        <w:tc>
          <w:tcPr>
            <w:tcW w:type="dxa" w:w="1224"/>
            <w:vAlign w:val="center"/>
            <w:tcMar>
              <w:top w:w="60" w:type="dxa"/>
              <w:start w:w="70" w:type="dxa"/>
              <w:bottom w:w="60" w:type="dxa"/>
              <w:end w:w="70" w:type="dxa"/>
            </w:tcMar>
          </w:tcPr>
          <w:p>
            <w:pPr>
              <w:spacing w:after="0" w:line="240" w:lineRule="auto"/>
            </w:pPr>
            <w:r/>
            <w:r>
              <w:rPr>
                <w:rFonts w:ascii="Arial" w:hAnsi="Arial"/>
                <w:b w:val="0"/>
                <w:sz w:val="14"/>
              </w:rPr>
              <w:t>$36.80</w:t>
            </w:r>
          </w:p>
        </w:tc>
        <w:tc>
          <w:tcPr>
            <w:tcW w:type="dxa" w:w="1944"/>
            <w:vAlign w:val="center"/>
            <w:tcMar>
              <w:top w:w="60" w:type="dxa"/>
              <w:start w:w="70" w:type="dxa"/>
              <w:bottom w:w="60" w:type="dxa"/>
              <w:end w:w="70" w:type="dxa"/>
            </w:tcMar>
          </w:tcPr>
          <w:p>
            <w:pPr>
              <w:spacing w:after="0" w:line="240" w:lineRule="auto"/>
            </w:pPr>
            <w:r/>
            <w:r>
              <w:rPr>
                <w:rFonts w:ascii="Arial" w:hAnsi="Arial"/>
                <w:b w:val="0"/>
                <w:sz w:val="14"/>
              </w:rPr>
              <w:t>labor cost per hour used by CPSC</w:t>
            </w:r>
          </w:p>
        </w:tc>
        <w:tc>
          <w:tcPr>
            <w:tcW w:type="dxa" w:w="1944"/>
            <w:vAlign w:val="center"/>
            <w:tcMar>
              <w:top w:w="60" w:type="dxa"/>
              <w:start w:w="70" w:type="dxa"/>
              <w:bottom w:w="60" w:type="dxa"/>
              <w:end w:w="70" w:type="dxa"/>
            </w:tcMar>
          </w:tcPr>
          <w:p>
            <w:pPr>
              <w:spacing w:after="0" w:line="240" w:lineRule="auto"/>
            </w:pPr>
            <w:r/>
            <w:r>
              <w:rPr>
                <w:rFonts w:ascii="Arial" w:hAnsi="Arial"/>
                <w:b w:val="0"/>
                <w:sz w:val="14"/>
              </w:rPr>
              <w:t>REGULATORY LABOR ASSUMPTION</w:t>
            </w:r>
          </w:p>
        </w:tc>
        <w:tc>
          <w:tcPr>
            <w:tcW w:type="dxa" w:w="1080"/>
            <w:vAlign w:val="center"/>
            <w:tcMar>
              <w:top w:w="60" w:type="dxa"/>
              <w:start w:w="70" w:type="dxa"/>
              <w:bottom w:w="60" w:type="dxa"/>
              <w:end w:w="70" w:type="dxa"/>
            </w:tcMar>
          </w:tcPr>
          <w:p>
            <w:pPr>
              <w:spacing w:after="0" w:line="240" w:lineRule="auto"/>
            </w:pPr>
            <w:r/>
            <w:r>
              <w:rPr>
                <w:rFonts w:ascii="Arial" w:hAnsi="Arial"/>
                <w:b w:val="0"/>
                <w:sz w:val="14"/>
              </w:rPr>
              <w:t>S037</w:t>
            </w:r>
          </w:p>
        </w:tc>
      </w:tr>
      <w:tr>
        <w:trPr>
          <w:cantSplit/>
        </w:trPr>
        <w:tc>
          <w:tcPr>
            <w:tcW w:type="dxa" w:w="1008"/>
            <w:vAlign w:val="center"/>
            <w:tcMar>
              <w:top w:w="60" w:type="dxa"/>
              <w:start w:w="70" w:type="dxa"/>
              <w:bottom w:w="60" w:type="dxa"/>
              <w:end w:w="70" w:type="dxa"/>
            </w:tcMar>
            <w:shd w:fill="F5F7F9"/>
          </w:tcPr>
          <w:p>
            <w:pPr>
              <w:spacing w:after="0" w:line="240" w:lineRule="auto"/>
            </w:pPr>
            <w:r/>
            <w:r>
              <w:rPr>
                <w:rFonts w:ascii="Arial" w:hAnsi="Arial"/>
                <w:b w:val="0"/>
                <w:sz w:val="14"/>
              </w:rPr>
              <w:t>COST-006</w:t>
            </w:r>
          </w:p>
        </w:tc>
        <w:tc>
          <w:tcPr>
            <w:tcW w:type="dxa" w:w="2880"/>
            <w:vAlign w:val="center"/>
            <w:tcMar>
              <w:top w:w="60" w:type="dxa"/>
              <w:start w:w="70" w:type="dxa"/>
              <w:bottom w:w="60" w:type="dxa"/>
              <w:end w:w="70" w:type="dxa"/>
            </w:tcMar>
            <w:shd w:fill="F5F7F9"/>
          </w:tcPr>
          <w:p>
            <w:pPr>
              <w:spacing w:after="0" w:line="240" w:lineRule="auto"/>
            </w:pPr>
            <w:r/>
            <w:r>
              <w:rPr>
                <w:rFonts w:ascii="Arial" w:hAnsi="Arial"/>
                <w:b w:val="0"/>
                <w:sz w:val="14"/>
              </w:rPr>
              <w:t>Neck-float certification testing for all new requirements</w:t>
            </w:r>
          </w:p>
        </w:tc>
        <w:tc>
          <w:tcPr>
            <w:tcW w:type="dxa" w:w="1224"/>
            <w:vAlign w:val="center"/>
            <w:tcMar>
              <w:top w:w="60" w:type="dxa"/>
              <w:start w:w="70" w:type="dxa"/>
              <w:bottom w:w="60" w:type="dxa"/>
              <w:end w:w="70" w:type="dxa"/>
            </w:tcMar>
            <w:shd w:fill="F5F7F9"/>
          </w:tcPr>
          <w:p>
            <w:pPr>
              <w:spacing w:after="0" w:line="240" w:lineRule="auto"/>
            </w:pPr>
            <w:r/>
            <w:r>
              <w:rPr>
                <w:rFonts w:ascii="Arial" w:hAnsi="Arial"/>
                <w:b w:val="0"/>
                <w:sz w:val="14"/>
              </w:rPr>
              <w:t>$2,767.00</w:t>
            </w:r>
          </w:p>
        </w:tc>
        <w:tc>
          <w:tcPr>
            <w:tcW w:type="dxa" w:w="1944"/>
            <w:vAlign w:val="center"/>
            <w:tcMar>
              <w:top w:w="60" w:type="dxa"/>
              <w:start w:w="70" w:type="dxa"/>
              <w:bottom w:w="60" w:type="dxa"/>
              <w:end w:w="70" w:type="dxa"/>
            </w:tcMar>
            <w:shd w:fill="F5F7F9"/>
          </w:tcPr>
          <w:p>
            <w:pPr>
              <w:spacing w:after="0" w:line="240" w:lineRule="auto"/>
            </w:pPr>
            <w:r/>
            <w:r>
              <w:rPr>
                <w:rFonts w:ascii="Arial" w:hAnsi="Arial"/>
                <w:b w:val="0"/>
                <w:sz w:val="14"/>
              </w:rPr>
              <w:t>per product sample</w:t>
            </w:r>
          </w:p>
        </w:tc>
        <w:tc>
          <w:tcPr>
            <w:tcW w:type="dxa" w:w="1944"/>
            <w:vAlign w:val="center"/>
            <w:tcMar>
              <w:top w:w="60" w:type="dxa"/>
              <w:start w:w="70" w:type="dxa"/>
              <w:bottom w:w="60" w:type="dxa"/>
              <w:end w:w="70" w:type="dxa"/>
            </w:tcMar>
            <w:shd w:fill="F5F7F9"/>
          </w:tcPr>
          <w:p>
            <w:pPr>
              <w:spacing w:after="0" w:line="240" w:lineRule="auto"/>
            </w:pPr>
            <w:r/>
            <w:r>
              <w:rPr>
                <w:rFonts w:ascii="Arial" w:hAnsi="Arial"/>
                <w:b w:val="0"/>
                <w:sz w:val="14"/>
              </w:rPr>
              <w:t>REGULATORY ESTIMATE BASED ON LAB QUOTE</w:t>
            </w:r>
          </w:p>
        </w:tc>
        <w:tc>
          <w:tcPr>
            <w:tcW w:type="dxa" w:w="1080"/>
            <w:vAlign w:val="center"/>
            <w:tcMar>
              <w:top w:w="60" w:type="dxa"/>
              <w:start w:w="70" w:type="dxa"/>
              <w:bottom w:w="60" w:type="dxa"/>
              <w:end w:w="70" w:type="dxa"/>
            </w:tcMar>
            <w:shd w:fill="F5F7F9"/>
          </w:tcPr>
          <w:p>
            <w:pPr>
              <w:spacing w:after="0" w:line="240" w:lineRule="auto"/>
            </w:pPr>
            <w:r/>
            <w:r>
              <w:rPr>
                <w:rFonts w:ascii="Arial" w:hAnsi="Arial"/>
                <w:b w:val="0"/>
                <w:sz w:val="14"/>
              </w:rPr>
              <w:t>S038</w:t>
            </w:r>
          </w:p>
        </w:tc>
      </w:tr>
      <w:tr>
        <w:trPr>
          <w:cantSplit/>
        </w:trPr>
        <w:tc>
          <w:tcPr>
            <w:tcW w:type="dxa" w:w="1008"/>
            <w:vAlign w:val="center"/>
            <w:tcMar>
              <w:top w:w="60" w:type="dxa"/>
              <w:start w:w="70" w:type="dxa"/>
              <w:bottom w:w="60" w:type="dxa"/>
              <w:end w:w="70" w:type="dxa"/>
            </w:tcMar>
          </w:tcPr>
          <w:p>
            <w:pPr>
              <w:spacing w:after="0" w:line="240" w:lineRule="auto"/>
            </w:pPr>
            <w:r/>
            <w:r>
              <w:rPr>
                <w:rFonts w:ascii="Arial" w:hAnsi="Arial"/>
                <w:b w:val="0"/>
                <w:sz w:val="14"/>
              </w:rPr>
              <w:t>COST-007</w:t>
            </w:r>
          </w:p>
        </w:tc>
        <w:tc>
          <w:tcPr>
            <w:tcW w:type="dxa" w:w="2880"/>
            <w:vAlign w:val="center"/>
            <w:tcMar>
              <w:top w:w="60" w:type="dxa"/>
              <w:start w:w="70" w:type="dxa"/>
              <w:bottom w:w="60" w:type="dxa"/>
              <w:end w:w="70" w:type="dxa"/>
            </w:tcMar>
          </w:tcPr>
          <w:p>
            <w:pPr>
              <w:spacing w:after="0" w:line="240" w:lineRule="auto"/>
            </w:pPr>
            <w:r/>
            <w:r>
              <w:rPr>
                <w:rFonts w:ascii="Arial" w:hAnsi="Arial"/>
                <w:b w:val="0"/>
                <w:sz w:val="14"/>
              </w:rPr>
              <w:t>Individual neck-float test service</w:t>
            </w:r>
          </w:p>
        </w:tc>
        <w:tc>
          <w:tcPr>
            <w:tcW w:type="dxa" w:w="1224"/>
            <w:vAlign w:val="center"/>
            <w:tcMar>
              <w:top w:w="60" w:type="dxa"/>
              <w:start w:w="70" w:type="dxa"/>
              <w:bottom w:w="60" w:type="dxa"/>
              <w:end w:w="70" w:type="dxa"/>
            </w:tcMar>
          </w:tcPr>
          <w:p>
            <w:pPr>
              <w:spacing w:after="0" w:line="240" w:lineRule="auto"/>
            </w:pPr>
            <w:r/>
            <w:r>
              <w:rPr>
                <w:rFonts w:ascii="Arial" w:hAnsi="Arial"/>
                <w:b w:val="0"/>
                <w:sz w:val="14"/>
              </w:rPr>
              <w:t>$2,000.00</w:t>
            </w:r>
          </w:p>
        </w:tc>
        <w:tc>
          <w:tcPr>
            <w:tcW w:type="dxa" w:w="1944"/>
            <w:vAlign w:val="center"/>
            <w:tcMar>
              <w:top w:w="60" w:type="dxa"/>
              <w:start w:w="70" w:type="dxa"/>
              <w:bottom w:w="60" w:type="dxa"/>
              <w:end w:w="70" w:type="dxa"/>
            </w:tcMar>
          </w:tcPr>
          <w:p>
            <w:pPr>
              <w:spacing w:after="0" w:line="240" w:lineRule="auto"/>
            </w:pPr>
            <w:r/>
            <w:r>
              <w:rPr>
                <w:rFonts w:ascii="Arial" w:hAnsi="Arial"/>
                <w:b w:val="0"/>
                <w:sz w:val="14"/>
              </w:rPr>
              <w:t>approximately per individual test</w:t>
            </w:r>
          </w:p>
        </w:tc>
        <w:tc>
          <w:tcPr>
            <w:tcW w:type="dxa" w:w="1944"/>
            <w:vAlign w:val="center"/>
            <w:tcMar>
              <w:top w:w="60" w:type="dxa"/>
              <w:start w:w="70" w:type="dxa"/>
              <w:bottom w:w="60" w:type="dxa"/>
              <w:end w:w="70" w:type="dxa"/>
            </w:tcMar>
          </w:tcPr>
          <w:p>
            <w:pPr>
              <w:spacing w:after="0" w:line="240" w:lineRule="auto"/>
            </w:pPr>
            <w:r/>
            <w:r>
              <w:rPr>
                <w:rFonts w:ascii="Arial" w:hAnsi="Arial"/>
                <w:b w:val="0"/>
                <w:sz w:val="14"/>
              </w:rPr>
              <w:t>REGULATORY DESCRIPTION OF QUOTE</w:t>
            </w:r>
          </w:p>
        </w:tc>
        <w:tc>
          <w:tcPr>
            <w:tcW w:type="dxa" w:w="1080"/>
            <w:vAlign w:val="center"/>
            <w:tcMar>
              <w:top w:w="60" w:type="dxa"/>
              <w:start w:w="70" w:type="dxa"/>
              <w:bottom w:w="60" w:type="dxa"/>
              <w:end w:w="70" w:type="dxa"/>
            </w:tcMar>
          </w:tcPr>
          <w:p>
            <w:pPr>
              <w:spacing w:after="0" w:line="240" w:lineRule="auto"/>
            </w:pPr>
            <w:r/>
            <w:r>
              <w:rPr>
                <w:rFonts w:ascii="Arial" w:hAnsi="Arial"/>
                <w:b w:val="0"/>
                <w:sz w:val="14"/>
              </w:rPr>
              <w:t>S038</w:t>
            </w:r>
          </w:p>
        </w:tc>
      </w:tr>
      <w:tr>
        <w:trPr>
          <w:cantSplit/>
        </w:trPr>
        <w:tc>
          <w:tcPr>
            <w:tcW w:type="dxa" w:w="1008"/>
            <w:vAlign w:val="center"/>
            <w:tcMar>
              <w:top w:w="60" w:type="dxa"/>
              <w:start w:w="70" w:type="dxa"/>
              <w:bottom w:w="60" w:type="dxa"/>
              <w:end w:w="70" w:type="dxa"/>
            </w:tcMar>
            <w:shd w:fill="F5F7F9"/>
          </w:tcPr>
          <w:p>
            <w:pPr>
              <w:spacing w:after="0" w:line="240" w:lineRule="auto"/>
            </w:pPr>
            <w:r/>
            <w:r>
              <w:rPr>
                <w:rFonts w:ascii="Arial" w:hAnsi="Arial"/>
                <w:b w:val="0"/>
                <w:sz w:val="14"/>
              </w:rPr>
              <w:t>COST-008</w:t>
            </w:r>
          </w:p>
        </w:tc>
        <w:tc>
          <w:tcPr>
            <w:tcW w:type="dxa" w:w="2880"/>
            <w:vAlign w:val="center"/>
            <w:tcMar>
              <w:top w:w="60" w:type="dxa"/>
              <w:start w:w="70" w:type="dxa"/>
              <w:bottom w:w="60" w:type="dxa"/>
              <w:end w:w="70" w:type="dxa"/>
            </w:tcMar>
            <w:shd w:fill="F5F7F9"/>
          </w:tcPr>
          <w:p>
            <w:pPr>
              <w:spacing w:after="0" w:line="240" w:lineRule="auto"/>
            </w:pPr>
            <w:r/>
            <w:r>
              <w:rPr>
                <w:rFonts w:ascii="Arial" w:hAnsi="Arial"/>
                <w:b w:val="0"/>
                <w:sz w:val="14"/>
              </w:rPr>
              <w:t>Neck-float labeling and instructions labor input</w:t>
            </w:r>
          </w:p>
        </w:tc>
        <w:tc>
          <w:tcPr>
            <w:tcW w:type="dxa" w:w="1224"/>
            <w:vAlign w:val="center"/>
            <w:tcMar>
              <w:top w:w="60" w:type="dxa"/>
              <w:start w:w="70" w:type="dxa"/>
              <w:bottom w:w="60" w:type="dxa"/>
              <w:end w:w="70" w:type="dxa"/>
            </w:tcMar>
            <w:shd w:fill="F5F7F9"/>
          </w:tcPr>
          <w:p>
            <w:pPr>
              <w:spacing w:after="0" w:line="240" w:lineRule="auto"/>
            </w:pPr>
            <w:r/>
            <w:r>
              <w:rPr>
                <w:rFonts w:ascii="Arial" w:hAnsi="Arial"/>
                <w:b w:val="0"/>
                <w:sz w:val="14"/>
              </w:rPr>
              <w:t>$41.76</w:t>
            </w:r>
          </w:p>
        </w:tc>
        <w:tc>
          <w:tcPr>
            <w:tcW w:type="dxa" w:w="1944"/>
            <w:vAlign w:val="center"/>
            <w:tcMar>
              <w:top w:w="60" w:type="dxa"/>
              <w:start w:w="70" w:type="dxa"/>
              <w:bottom w:w="60" w:type="dxa"/>
              <w:end w:w="70" w:type="dxa"/>
            </w:tcMar>
            <w:shd w:fill="F5F7F9"/>
          </w:tcPr>
          <w:p>
            <w:pPr>
              <w:spacing w:after="0" w:line="240" w:lineRule="auto"/>
            </w:pPr>
            <w:r/>
            <w:r>
              <w:rPr>
                <w:rFonts w:ascii="Arial" w:hAnsi="Arial"/>
                <w:b w:val="0"/>
                <w:sz w:val="14"/>
              </w:rPr>
              <w:t>labor cost per hour used by CPSC</w:t>
            </w:r>
          </w:p>
        </w:tc>
        <w:tc>
          <w:tcPr>
            <w:tcW w:type="dxa" w:w="1944"/>
            <w:vAlign w:val="center"/>
            <w:tcMar>
              <w:top w:w="60" w:type="dxa"/>
              <w:start w:w="70" w:type="dxa"/>
              <w:bottom w:w="60" w:type="dxa"/>
              <w:end w:w="70" w:type="dxa"/>
            </w:tcMar>
            <w:shd w:fill="F5F7F9"/>
          </w:tcPr>
          <w:p>
            <w:pPr>
              <w:spacing w:after="0" w:line="240" w:lineRule="auto"/>
            </w:pPr>
            <w:r/>
            <w:r>
              <w:rPr>
                <w:rFonts w:ascii="Arial" w:hAnsi="Arial"/>
                <w:b w:val="0"/>
                <w:sz w:val="14"/>
              </w:rPr>
              <w:t>REGULATORY LABOR ASSUMPTION</w:t>
            </w:r>
          </w:p>
        </w:tc>
        <w:tc>
          <w:tcPr>
            <w:tcW w:type="dxa" w:w="1080"/>
            <w:vAlign w:val="center"/>
            <w:tcMar>
              <w:top w:w="60" w:type="dxa"/>
              <w:start w:w="70" w:type="dxa"/>
              <w:bottom w:w="60" w:type="dxa"/>
              <w:end w:w="70" w:type="dxa"/>
            </w:tcMar>
            <w:shd w:fill="F5F7F9"/>
          </w:tcPr>
          <w:p>
            <w:pPr>
              <w:spacing w:after="0" w:line="240" w:lineRule="auto"/>
            </w:pPr>
            <w:r/>
            <w:r>
              <w:rPr>
                <w:rFonts w:ascii="Arial" w:hAnsi="Arial"/>
                <w:b w:val="0"/>
                <w:sz w:val="14"/>
              </w:rPr>
              <w:t>S038</w:t>
            </w:r>
          </w:p>
        </w:tc>
      </w:tr>
    </w:tbl>
    <w:p>
      <w:pPr>
        <w:spacing w:after="0"/>
      </w:pPr>
    </w:p>
    <w:p>
      <w:pPr>
        <w:pStyle w:val="ListBullet"/>
        <w:spacing w:after="40"/>
      </w:pPr>
      <w:r>
        <w:t>ASTM F963-23 can be viewed read-only at no cost through the ASTM Reading Library; downloadable or printed copies can cost extra.</w:t>
      </w:r>
    </w:p>
    <w:p>
      <w:pPr>
        <w:pStyle w:val="ListBullet"/>
        <w:spacing w:after="40"/>
      </w:pPr>
      <w:r>
        <w:t>The current FCC applicant/grantee-code assignment fee is $35. It excludes testing, TCB review, engineering, confidentiality, and consulting. </w:t>
      </w:r>
      <w:r>
        <w:footnoteReference w:id="11"/>
      </w:r>
    </w:p>
    <w:p>
      <w:pPr>
        <w:pStyle w:val="ListBullet"/>
        <w:spacing w:after="40"/>
      </w:pPr>
      <w:r>
        <w:t>CPSC's 2023 button-cell rule analysis used $261.72 per third-party testing response and labor assumptions of $43.62 per hour. These are regulatory estimates, not current lab quotes. </w:t>
      </w:r>
      <w:r>
        <w:footnoteReference w:id="12"/>
      </w:r>
    </w:p>
    <w:p>
      <w:pPr>
        <w:pStyle w:val="ListBullet"/>
        <w:spacing w:after="40"/>
      </w:pPr>
      <w:r>
        <w:t>CPSC's neck-float final rule used approximately $2,767 per sample for certification testing, based on a commenter-provided accredited-lab quote. That specialty estimate should not be generalized to ordinary toys. </w:t>
      </w:r>
      <w:r>
        <w:footnoteReference w:id="13"/>
      </w:r>
    </w:p>
    <w:p>
      <w:pPr>
        <w:pStyle w:val="Heading2"/>
      </w:pPr>
      <w:r>
        <w:t>Cost gaps</w:t>
      </w:r>
    </w:p>
    <w:p>
      <w:r>
        <w:t>Current public prices were not found for an ordinary ASTM F963/lead/phthalates test program, an FCC transmitter plus TCB program, UN 38.3 testing, or Amazon-approved provider verification. Each should be quoted against a fixed model, bill of materials, sample count, shipping configuration, and required report age. NOT FOUND is a procurement task, not a zero-cost assumption.</w:t>
      </w:r>
    </w:p>
    <w:p>
      <w:pPr>
        <w:pStyle w:val="Heading1"/>
      </w:pPr>
      <w:r>
        <w:t>Gaps conflicts and uncertainties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936"/>
            <w:vAlign w:val="center"/>
            <w:tcMar>
              <w:top w:w="60" w:type="dxa"/>
              <w:start w:w="70" w:type="dxa"/>
              <w:bottom w:w="60" w:type="dxa"/>
              <w:end w:w="70" w:type="dxa"/>
            </w:tcMar>
            <w:shd w:fill="17324D"/>
          </w:tcPr>
          <w:p>
            <w:pPr>
              <w:spacing w:after="0" w:line="240" w:lineRule="auto"/>
            </w:pPr>
            <w:r/>
            <w:r>
              <w:rPr>
                <w:rFonts w:ascii="Arial" w:hAnsi="Arial"/>
                <w:b/>
                <w:color w:val="FFFFFF"/>
                <w:sz w:val="14"/>
              </w:rPr>
              <w:t>ID</w:t>
            </w:r>
          </w:p>
        </w:tc>
        <w:tc>
          <w:tcPr>
            <w:tcW w:type="dxa" w:w="1296"/>
            <w:vAlign w:val="center"/>
            <w:tcMar>
              <w:top w:w="60" w:type="dxa"/>
              <w:start w:w="70" w:type="dxa"/>
              <w:bottom w:w="60" w:type="dxa"/>
              <w:end w:w="70" w:type="dxa"/>
            </w:tcMar>
            <w:shd w:fill="17324D"/>
          </w:tcPr>
          <w:p>
            <w:pPr>
              <w:spacing w:after="0" w:line="240" w:lineRule="auto"/>
            </w:pPr>
            <w:r/>
            <w:r>
              <w:rPr>
                <w:rFonts w:ascii="Arial" w:hAnsi="Arial"/>
                <w:b/>
                <w:color w:val="FFFFFF"/>
                <w:sz w:val="14"/>
              </w:rPr>
              <w:t>Area</w:t>
            </w:r>
          </w:p>
        </w:tc>
        <w:tc>
          <w:tcPr>
            <w:tcW w:type="dxa" w:w="3024"/>
            <w:vAlign w:val="center"/>
            <w:tcMar>
              <w:top w:w="60" w:type="dxa"/>
              <w:start w:w="70" w:type="dxa"/>
              <w:bottom w:w="60" w:type="dxa"/>
              <w:end w:w="70" w:type="dxa"/>
            </w:tcMar>
            <w:shd w:fill="17324D"/>
          </w:tcPr>
          <w:p>
            <w:pPr>
              <w:spacing w:after="0" w:line="240" w:lineRule="auto"/>
            </w:pPr>
            <w:r/>
            <w:r>
              <w:rPr>
                <w:rFonts w:ascii="Arial" w:hAnsi="Arial"/>
                <w:b/>
                <w:color w:val="FFFFFF"/>
                <w:sz w:val="14"/>
              </w:rPr>
              <w:t>Issue</w:t>
            </w:r>
          </w:p>
        </w:tc>
        <w:tc>
          <w:tcPr>
            <w:tcW w:type="dxa" w:w="1224"/>
            <w:vAlign w:val="center"/>
            <w:tcMar>
              <w:top w:w="60" w:type="dxa"/>
              <w:start w:w="70" w:type="dxa"/>
              <w:bottom w:w="60" w:type="dxa"/>
              <w:end w:w="70" w:type="dxa"/>
            </w:tcMar>
            <w:shd w:fill="17324D"/>
          </w:tcPr>
          <w:p>
            <w:pPr>
              <w:spacing w:after="0" w:line="240" w:lineRule="auto"/>
            </w:pPr>
            <w:r/>
            <w:r>
              <w:rPr>
                <w:rFonts w:ascii="Arial" w:hAnsi="Arial"/>
                <w:b/>
                <w:color w:val="FFFFFF"/>
                <w:sz w:val="14"/>
              </w:rPr>
              <w:t>Status</w:t>
            </w:r>
          </w:p>
        </w:tc>
        <w:tc>
          <w:tcPr>
            <w:tcW w:type="dxa" w:w="3600"/>
            <w:vAlign w:val="center"/>
            <w:tcMar>
              <w:top w:w="60" w:type="dxa"/>
              <w:start w:w="70" w:type="dxa"/>
              <w:bottom w:w="60" w:type="dxa"/>
              <w:end w:w="70" w:type="dxa"/>
            </w:tcMar>
            <w:shd w:fill="17324D"/>
          </w:tcPr>
          <w:p>
            <w:pPr>
              <w:spacing w:after="0" w:line="240" w:lineRule="auto"/>
            </w:pPr>
            <w:r/>
            <w:r>
              <w:rPr>
                <w:rFonts w:ascii="Arial" w:hAnsi="Arial"/>
                <w:b/>
                <w:color w:val="FFFFFF"/>
                <w:sz w:val="14"/>
              </w:rPr>
              <w:t>Resolution</w:t>
            </w:r>
          </w:p>
        </w:tc>
      </w:tr>
      <w:tr>
        <w:trPr>
          <w:cantSplit/>
        </w:trPr>
        <w:tc>
          <w:tcPr>
            <w:tcW w:type="dxa" w:w="936"/>
            <w:vAlign w:val="center"/>
            <w:tcMar>
              <w:top w:w="60" w:type="dxa"/>
              <w:start w:w="70" w:type="dxa"/>
              <w:bottom w:w="60" w:type="dxa"/>
              <w:end w:w="70" w:type="dxa"/>
            </w:tcMar>
          </w:tcPr>
          <w:p>
            <w:pPr>
              <w:spacing w:after="0" w:line="240" w:lineRule="auto"/>
            </w:pPr>
            <w:r/>
            <w:r>
              <w:rPr>
                <w:rFonts w:ascii="Arial" w:hAnsi="Arial"/>
                <w:b w:val="0"/>
                <w:sz w:val="14"/>
              </w:rPr>
              <w:t>GAP-001</w:t>
            </w:r>
          </w:p>
        </w:tc>
        <w:tc>
          <w:tcPr>
            <w:tcW w:type="dxa" w:w="1296"/>
            <w:vAlign w:val="center"/>
            <w:tcMar>
              <w:top w:w="60" w:type="dxa"/>
              <w:start w:w="70" w:type="dxa"/>
              <w:bottom w:w="60" w:type="dxa"/>
              <w:end w:w="70" w:type="dxa"/>
            </w:tcMar>
          </w:tcPr>
          <w:p>
            <w:pPr>
              <w:spacing w:after="0" w:line="240" w:lineRule="auto"/>
            </w:pPr>
            <w:r/>
            <w:r>
              <w:rPr>
                <w:rFonts w:ascii="Arial" w:hAnsi="Arial"/>
                <w:b w:val="0"/>
                <w:sz w:val="14"/>
              </w:rPr>
              <w:t>Cost</w:t>
            </w:r>
          </w:p>
        </w:tc>
        <w:tc>
          <w:tcPr>
            <w:tcW w:type="dxa" w:w="3024"/>
            <w:vAlign w:val="center"/>
            <w:tcMar>
              <w:top w:w="60" w:type="dxa"/>
              <w:start w:w="70" w:type="dxa"/>
              <w:bottom w:w="60" w:type="dxa"/>
              <w:end w:w="70" w:type="dxa"/>
            </w:tcMar>
          </w:tcPr>
          <w:p>
            <w:pPr>
              <w:spacing w:after="0" w:line="240" w:lineRule="auto"/>
            </w:pPr>
            <w:r/>
            <w:r>
              <w:rPr>
                <w:rFonts w:ascii="Arial" w:hAnsi="Arial"/>
                <w:b w:val="0"/>
                <w:sz w:val="14"/>
              </w:rPr>
              <w:t>ASTM F963/lead/phthalates/small-parts laboratory prices</w:t>
            </w:r>
          </w:p>
        </w:tc>
        <w:tc>
          <w:tcPr>
            <w:tcW w:type="dxa" w:w="1224"/>
            <w:vAlign w:val="center"/>
            <w:tcMar>
              <w:top w:w="60" w:type="dxa"/>
              <w:start w:w="70" w:type="dxa"/>
              <w:bottom w:w="60" w:type="dxa"/>
              <w:end w:w="70" w:type="dxa"/>
            </w:tcMar>
          </w:tcPr>
          <w:p>
            <w:pPr>
              <w:spacing w:after="0" w:line="240" w:lineRule="auto"/>
            </w:pPr>
            <w:r/>
            <w:r>
              <w:rPr>
                <w:rFonts w:ascii="Arial" w:hAnsi="Arial"/>
                <w:b w:val="0"/>
                <w:sz w:val="14"/>
              </w:rPr>
              <w:t>NOT FOUND</w:t>
            </w:r>
          </w:p>
        </w:tc>
        <w:tc>
          <w:tcPr>
            <w:tcW w:type="dxa" w:w="3600"/>
            <w:vAlign w:val="center"/>
            <w:tcMar>
              <w:top w:w="60" w:type="dxa"/>
              <w:start w:w="70" w:type="dxa"/>
              <w:bottom w:w="60" w:type="dxa"/>
              <w:end w:w="70" w:type="dxa"/>
            </w:tcMar>
          </w:tcPr>
          <w:p>
            <w:pPr>
              <w:spacing w:after="0" w:line="240" w:lineRule="auto"/>
            </w:pPr>
            <w:r/>
            <w:r>
              <w:rPr>
                <w:rFonts w:ascii="Arial" w:hAnsi="Arial"/>
                <w:b w:val="0"/>
                <w:sz w:val="14"/>
              </w:rPr>
              <w:t>Obtain three scoped quotes using a fixed bill of materials and section-level test plan before budgeting.</w:t>
            </w:r>
          </w:p>
        </w:tc>
      </w:tr>
      <w:tr>
        <w:trPr>
          <w:cantSplit/>
        </w:trPr>
        <w:tc>
          <w:tcPr>
            <w:tcW w:type="dxa" w:w="936"/>
            <w:vAlign w:val="center"/>
            <w:tcMar>
              <w:top w:w="60" w:type="dxa"/>
              <w:start w:w="70" w:type="dxa"/>
              <w:bottom w:w="60" w:type="dxa"/>
              <w:end w:w="70" w:type="dxa"/>
            </w:tcMar>
            <w:shd w:fill="F5F7F9"/>
          </w:tcPr>
          <w:p>
            <w:pPr>
              <w:spacing w:after="0" w:line="240" w:lineRule="auto"/>
            </w:pPr>
            <w:r/>
            <w:r>
              <w:rPr>
                <w:rFonts w:ascii="Arial" w:hAnsi="Arial"/>
                <w:b w:val="0"/>
                <w:sz w:val="14"/>
              </w:rPr>
              <w:t>GAP-002</w:t>
            </w:r>
          </w:p>
        </w:tc>
        <w:tc>
          <w:tcPr>
            <w:tcW w:type="dxa" w:w="1296"/>
            <w:vAlign w:val="center"/>
            <w:tcMar>
              <w:top w:w="60" w:type="dxa"/>
              <w:start w:w="70" w:type="dxa"/>
              <w:bottom w:w="60" w:type="dxa"/>
              <w:end w:w="70" w:type="dxa"/>
            </w:tcMar>
            <w:shd w:fill="F5F7F9"/>
          </w:tcPr>
          <w:p>
            <w:pPr>
              <w:spacing w:after="0" w:line="240" w:lineRule="auto"/>
            </w:pPr>
            <w:r/>
            <w:r>
              <w:rPr>
                <w:rFonts w:ascii="Arial" w:hAnsi="Arial"/>
                <w:b w:val="0"/>
                <w:sz w:val="14"/>
              </w:rPr>
              <w:t>Cost</w:t>
            </w:r>
          </w:p>
        </w:tc>
        <w:tc>
          <w:tcPr>
            <w:tcW w:type="dxa" w:w="3024"/>
            <w:vAlign w:val="center"/>
            <w:tcMar>
              <w:top w:w="60" w:type="dxa"/>
              <w:start w:w="70" w:type="dxa"/>
              <w:bottom w:w="60" w:type="dxa"/>
              <w:end w:w="70" w:type="dxa"/>
            </w:tcMar>
            <w:shd w:fill="F5F7F9"/>
          </w:tcPr>
          <w:p>
            <w:pPr>
              <w:spacing w:after="0" w:line="240" w:lineRule="auto"/>
            </w:pPr>
            <w:r/>
            <w:r>
              <w:rPr>
                <w:rFonts w:ascii="Arial" w:hAnsi="Arial"/>
                <w:b w:val="0"/>
                <w:sz w:val="14"/>
              </w:rPr>
              <w:t>FCC Part 15 transmitter and digital-device lab/TCB prices</w:t>
            </w:r>
          </w:p>
        </w:tc>
        <w:tc>
          <w:tcPr>
            <w:tcW w:type="dxa" w:w="1224"/>
            <w:vAlign w:val="center"/>
            <w:tcMar>
              <w:top w:w="60" w:type="dxa"/>
              <w:start w:w="70" w:type="dxa"/>
              <w:bottom w:w="60" w:type="dxa"/>
              <w:end w:w="70" w:type="dxa"/>
            </w:tcMar>
            <w:shd w:fill="F5F7F9"/>
          </w:tcPr>
          <w:p>
            <w:pPr>
              <w:spacing w:after="0" w:line="240" w:lineRule="auto"/>
            </w:pPr>
            <w:r/>
            <w:r>
              <w:rPr>
                <w:rFonts w:ascii="Arial" w:hAnsi="Arial"/>
                <w:b w:val="0"/>
                <w:sz w:val="14"/>
              </w:rPr>
              <w:t>NOT FOUND</w:t>
            </w:r>
          </w:p>
        </w:tc>
        <w:tc>
          <w:tcPr>
            <w:tcW w:type="dxa" w:w="3600"/>
            <w:vAlign w:val="center"/>
            <w:tcMar>
              <w:top w:w="60" w:type="dxa"/>
              <w:start w:w="70" w:type="dxa"/>
              <w:bottom w:w="60" w:type="dxa"/>
              <w:end w:w="70" w:type="dxa"/>
            </w:tcMar>
            <w:shd w:fill="F5F7F9"/>
          </w:tcPr>
          <w:p>
            <w:pPr>
              <w:spacing w:after="0" w:line="240" w:lineRule="auto"/>
            </w:pPr>
            <w:r/>
            <w:r>
              <w:rPr>
                <w:rFonts w:ascii="Arial" w:hAnsi="Arial"/>
                <w:b w:val="0"/>
                <w:sz w:val="14"/>
              </w:rPr>
              <w:t>Quote lab testing, RF exposure, TCB review, confidentiality, and module/host permutations separately.</w:t>
            </w:r>
          </w:p>
        </w:tc>
      </w:tr>
      <w:tr>
        <w:trPr>
          <w:cantSplit/>
        </w:trPr>
        <w:tc>
          <w:tcPr>
            <w:tcW w:type="dxa" w:w="936"/>
            <w:vAlign w:val="center"/>
            <w:tcMar>
              <w:top w:w="60" w:type="dxa"/>
              <w:start w:w="70" w:type="dxa"/>
              <w:bottom w:w="60" w:type="dxa"/>
              <w:end w:w="70" w:type="dxa"/>
            </w:tcMar>
          </w:tcPr>
          <w:p>
            <w:pPr>
              <w:spacing w:after="0" w:line="240" w:lineRule="auto"/>
            </w:pPr>
            <w:r/>
            <w:r>
              <w:rPr>
                <w:rFonts w:ascii="Arial" w:hAnsi="Arial"/>
                <w:b w:val="0"/>
                <w:sz w:val="14"/>
              </w:rPr>
              <w:t>GAP-003</w:t>
            </w:r>
          </w:p>
        </w:tc>
        <w:tc>
          <w:tcPr>
            <w:tcW w:type="dxa" w:w="1296"/>
            <w:vAlign w:val="center"/>
            <w:tcMar>
              <w:top w:w="60" w:type="dxa"/>
              <w:start w:w="70" w:type="dxa"/>
              <w:bottom w:w="60" w:type="dxa"/>
              <w:end w:w="70" w:type="dxa"/>
            </w:tcMar>
          </w:tcPr>
          <w:p>
            <w:pPr>
              <w:spacing w:after="0" w:line="240" w:lineRule="auto"/>
            </w:pPr>
            <w:r/>
            <w:r>
              <w:rPr>
                <w:rFonts w:ascii="Arial" w:hAnsi="Arial"/>
                <w:b w:val="0"/>
                <w:sz w:val="14"/>
              </w:rPr>
              <w:t>Cost</w:t>
            </w:r>
          </w:p>
        </w:tc>
        <w:tc>
          <w:tcPr>
            <w:tcW w:type="dxa" w:w="3024"/>
            <w:vAlign w:val="center"/>
            <w:tcMar>
              <w:top w:w="60" w:type="dxa"/>
              <w:start w:w="70" w:type="dxa"/>
              <w:bottom w:w="60" w:type="dxa"/>
              <w:end w:w="70" w:type="dxa"/>
            </w:tcMar>
          </w:tcPr>
          <w:p>
            <w:pPr>
              <w:spacing w:after="0" w:line="240" w:lineRule="auto"/>
            </w:pPr>
            <w:r/>
            <w:r>
              <w:rPr>
                <w:rFonts w:ascii="Arial" w:hAnsi="Arial"/>
                <w:b w:val="0"/>
                <w:sz w:val="14"/>
              </w:rPr>
              <w:t>UN 38.3 battery test and test-summary prices</w:t>
            </w:r>
          </w:p>
        </w:tc>
        <w:tc>
          <w:tcPr>
            <w:tcW w:type="dxa" w:w="1224"/>
            <w:vAlign w:val="center"/>
            <w:tcMar>
              <w:top w:w="60" w:type="dxa"/>
              <w:start w:w="70" w:type="dxa"/>
              <w:bottom w:w="60" w:type="dxa"/>
              <w:end w:w="70" w:type="dxa"/>
            </w:tcMar>
          </w:tcPr>
          <w:p>
            <w:pPr>
              <w:spacing w:after="0" w:line="240" w:lineRule="auto"/>
            </w:pPr>
            <w:r/>
            <w:r>
              <w:rPr>
                <w:rFonts w:ascii="Arial" w:hAnsi="Arial"/>
                <w:b w:val="0"/>
                <w:sz w:val="14"/>
              </w:rPr>
              <w:t>NOT FOUND</w:t>
            </w:r>
          </w:p>
        </w:tc>
        <w:tc>
          <w:tcPr>
            <w:tcW w:type="dxa" w:w="3600"/>
            <w:vAlign w:val="center"/>
            <w:tcMar>
              <w:top w:w="60" w:type="dxa"/>
              <w:start w:w="70" w:type="dxa"/>
              <w:bottom w:w="60" w:type="dxa"/>
              <w:end w:w="70" w:type="dxa"/>
            </w:tcMar>
          </w:tcPr>
          <w:p>
            <w:pPr>
              <w:spacing w:after="0" w:line="240" w:lineRule="auto"/>
            </w:pPr>
            <w:r/>
            <w:r>
              <w:rPr>
                <w:rFonts w:ascii="Arial" w:hAnsi="Arial"/>
                <w:b w:val="0"/>
                <w:sz w:val="14"/>
              </w:rPr>
              <w:t>Request the battery model's existing UN 38.3 report/summary before commissioning new tests; then obtain lab quotes if the exact design is not covered.</w:t>
            </w:r>
          </w:p>
        </w:tc>
      </w:tr>
      <w:tr>
        <w:trPr>
          <w:cantSplit/>
        </w:trPr>
        <w:tc>
          <w:tcPr>
            <w:tcW w:type="dxa" w:w="936"/>
            <w:vAlign w:val="center"/>
            <w:tcMar>
              <w:top w:w="60" w:type="dxa"/>
              <w:start w:w="70" w:type="dxa"/>
              <w:bottom w:w="60" w:type="dxa"/>
              <w:end w:w="70" w:type="dxa"/>
            </w:tcMar>
            <w:shd w:fill="F5F7F9"/>
          </w:tcPr>
          <w:p>
            <w:pPr>
              <w:spacing w:after="0" w:line="240" w:lineRule="auto"/>
            </w:pPr>
            <w:r/>
            <w:r>
              <w:rPr>
                <w:rFonts w:ascii="Arial" w:hAnsi="Arial"/>
                <w:b w:val="0"/>
                <w:sz w:val="14"/>
              </w:rPr>
              <w:t>GAP-004</w:t>
            </w:r>
          </w:p>
        </w:tc>
        <w:tc>
          <w:tcPr>
            <w:tcW w:type="dxa" w:w="1296"/>
            <w:vAlign w:val="center"/>
            <w:tcMar>
              <w:top w:w="60" w:type="dxa"/>
              <w:start w:w="70" w:type="dxa"/>
              <w:bottom w:w="60" w:type="dxa"/>
              <w:end w:w="70" w:type="dxa"/>
            </w:tcMar>
            <w:shd w:fill="F5F7F9"/>
          </w:tcPr>
          <w:p>
            <w:pPr>
              <w:spacing w:after="0" w:line="240" w:lineRule="auto"/>
            </w:pPr>
            <w:r/>
            <w:r>
              <w:rPr>
                <w:rFonts w:ascii="Arial" w:hAnsi="Arial"/>
                <w:b w:val="0"/>
                <w:sz w:val="14"/>
              </w:rPr>
              <w:t>Cost</w:t>
            </w:r>
          </w:p>
        </w:tc>
        <w:tc>
          <w:tcPr>
            <w:tcW w:type="dxa" w:w="3024"/>
            <w:vAlign w:val="center"/>
            <w:tcMar>
              <w:top w:w="60" w:type="dxa"/>
              <w:start w:w="70" w:type="dxa"/>
              <w:bottom w:w="60" w:type="dxa"/>
              <w:end w:w="70" w:type="dxa"/>
            </w:tcMar>
            <w:shd w:fill="F5F7F9"/>
          </w:tcPr>
          <w:p>
            <w:pPr>
              <w:spacing w:after="0" w:line="240" w:lineRule="auto"/>
            </w:pPr>
            <w:r/>
            <w:r>
              <w:rPr>
                <w:rFonts w:ascii="Arial" w:hAnsi="Arial"/>
                <w:b w:val="0"/>
                <w:sz w:val="14"/>
              </w:rPr>
              <w:t>Amazon-approved testing provider prices</w:t>
            </w:r>
          </w:p>
        </w:tc>
        <w:tc>
          <w:tcPr>
            <w:tcW w:type="dxa" w:w="1224"/>
            <w:vAlign w:val="center"/>
            <w:tcMar>
              <w:top w:w="60" w:type="dxa"/>
              <w:start w:w="70" w:type="dxa"/>
              <w:bottom w:w="60" w:type="dxa"/>
              <w:end w:w="70" w:type="dxa"/>
            </w:tcMar>
            <w:shd w:fill="F5F7F9"/>
          </w:tcPr>
          <w:p>
            <w:pPr>
              <w:spacing w:after="0" w:line="240" w:lineRule="auto"/>
            </w:pPr>
            <w:r/>
            <w:r>
              <w:rPr>
                <w:rFonts w:ascii="Arial" w:hAnsi="Arial"/>
                <w:b w:val="0"/>
                <w:sz w:val="14"/>
              </w:rPr>
              <w:t>NOT FOUND</w:t>
            </w:r>
          </w:p>
        </w:tc>
        <w:tc>
          <w:tcPr>
            <w:tcW w:type="dxa" w:w="3600"/>
            <w:vAlign w:val="center"/>
            <w:tcMar>
              <w:top w:w="60" w:type="dxa"/>
              <w:start w:w="70" w:type="dxa"/>
              <w:bottom w:w="60" w:type="dxa"/>
              <w:end w:w="70" w:type="dxa"/>
            </w:tcMar>
            <w:shd w:fill="F5F7F9"/>
          </w:tcPr>
          <w:p>
            <w:pPr>
              <w:spacing w:after="0" w:line="240" w:lineRule="auto"/>
            </w:pPr>
            <w:r/>
            <w:r>
              <w:rPr>
                <w:rFonts w:ascii="Arial" w:hAnsi="Arial"/>
                <w:b w:val="0"/>
                <w:sz w:val="14"/>
              </w:rPr>
              <w:t>Treat marketplace verification as quote-based and store quote date, ASIN scope, sample count, and renewal term.</w:t>
            </w:r>
          </w:p>
        </w:tc>
      </w:tr>
      <w:tr>
        <w:trPr>
          <w:cantSplit/>
        </w:trPr>
        <w:tc>
          <w:tcPr>
            <w:tcW w:type="dxa" w:w="936"/>
            <w:vAlign w:val="center"/>
            <w:tcMar>
              <w:top w:w="60" w:type="dxa"/>
              <w:start w:w="70" w:type="dxa"/>
              <w:bottom w:w="60" w:type="dxa"/>
              <w:end w:w="70" w:type="dxa"/>
            </w:tcMar>
          </w:tcPr>
          <w:p>
            <w:pPr>
              <w:spacing w:after="0" w:line="240" w:lineRule="auto"/>
            </w:pPr>
            <w:r/>
            <w:r>
              <w:rPr>
                <w:rFonts w:ascii="Arial" w:hAnsi="Arial"/>
                <w:b w:val="0"/>
                <w:sz w:val="14"/>
              </w:rPr>
              <w:t>GAP-005</w:t>
            </w:r>
          </w:p>
        </w:tc>
        <w:tc>
          <w:tcPr>
            <w:tcW w:type="dxa" w:w="1296"/>
            <w:vAlign w:val="center"/>
            <w:tcMar>
              <w:top w:w="60" w:type="dxa"/>
              <w:start w:w="70" w:type="dxa"/>
              <w:bottom w:w="60" w:type="dxa"/>
              <w:end w:w="70" w:type="dxa"/>
            </w:tcMar>
          </w:tcPr>
          <w:p>
            <w:pPr>
              <w:spacing w:after="0" w:line="240" w:lineRule="auto"/>
            </w:pPr>
            <w:r/>
            <w:r>
              <w:rPr>
                <w:rFonts w:ascii="Arial" w:hAnsi="Arial"/>
                <w:b w:val="0"/>
                <w:sz w:val="14"/>
              </w:rPr>
              <w:t>Platform evidence</w:t>
            </w:r>
          </w:p>
        </w:tc>
        <w:tc>
          <w:tcPr>
            <w:tcW w:type="dxa" w:w="3024"/>
            <w:vAlign w:val="center"/>
            <w:tcMar>
              <w:top w:w="60" w:type="dxa"/>
              <w:start w:w="70" w:type="dxa"/>
              <w:bottom w:w="60" w:type="dxa"/>
              <w:end w:w="70" w:type="dxa"/>
            </w:tcMar>
          </w:tcPr>
          <w:p>
            <w:pPr>
              <w:spacing w:after="0" w:line="240" w:lineRule="auto"/>
            </w:pPr>
            <w:r/>
            <w:r>
              <w:rPr>
                <w:rFonts w:ascii="Arial" w:hAnsi="Arial"/>
                <w:b w:val="0"/>
                <w:sz w:val="14"/>
              </w:rPr>
              <w:t>Amazon help-page detailed document age and evidence list</w:t>
            </w:r>
          </w:p>
        </w:tc>
        <w:tc>
          <w:tcPr>
            <w:tcW w:type="dxa" w:w="1224"/>
            <w:vAlign w:val="center"/>
            <w:tcMar>
              <w:top w:w="60" w:type="dxa"/>
              <w:start w:w="70" w:type="dxa"/>
              <w:bottom w:w="60" w:type="dxa"/>
              <w:end w:w="70" w:type="dxa"/>
            </w:tcMar>
          </w:tcPr>
          <w:p>
            <w:pPr>
              <w:spacing w:after="0" w:line="240" w:lineRule="auto"/>
            </w:pPr>
            <w:r/>
            <w:r>
              <w:rPr>
                <w:rFonts w:ascii="Arial" w:hAnsi="Arial"/>
                <w:b w:val="0"/>
                <w:sz w:val="14"/>
              </w:rPr>
              <w:t>UNVERIFIED</w:t>
            </w:r>
          </w:p>
        </w:tc>
        <w:tc>
          <w:tcPr>
            <w:tcW w:type="dxa" w:w="3600"/>
            <w:vAlign w:val="center"/>
            <w:tcMar>
              <w:top w:w="60" w:type="dxa"/>
              <w:start w:w="70" w:type="dxa"/>
              <w:bottom w:w="60" w:type="dxa"/>
              <w:end w:w="70" w:type="dxa"/>
            </w:tcMar>
          </w:tcPr>
          <w:p>
            <w:pPr>
              <w:spacing w:after="0" w:line="240" w:lineRule="auto"/>
            </w:pPr>
            <w:r/>
            <w:r>
              <w:rPr>
                <w:rFonts w:ascii="Arial" w:hAnsi="Arial"/>
                <w:b w:val="0"/>
                <w:sz w:val="14"/>
              </w:rPr>
              <w:t>Verify exact current requirements in Seller Central when implementing the update-check workflow.</w:t>
            </w:r>
          </w:p>
        </w:tc>
      </w:tr>
      <w:tr>
        <w:trPr>
          <w:cantSplit/>
        </w:trPr>
        <w:tc>
          <w:tcPr>
            <w:tcW w:type="dxa" w:w="936"/>
            <w:vAlign w:val="center"/>
            <w:tcMar>
              <w:top w:w="60" w:type="dxa"/>
              <w:start w:w="70" w:type="dxa"/>
              <w:bottom w:w="60" w:type="dxa"/>
              <w:end w:w="70" w:type="dxa"/>
            </w:tcMar>
            <w:shd w:fill="F5F7F9"/>
          </w:tcPr>
          <w:p>
            <w:pPr>
              <w:spacing w:after="0" w:line="240" w:lineRule="auto"/>
            </w:pPr>
            <w:r/>
            <w:r>
              <w:rPr>
                <w:rFonts w:ascii="Arial" w:hAnsi="Arial"/>
                <w:b w:val="0"/>
                <w:sz w:val="14"/>
              </w:rPr>
              <w:t>GAP-006</w:t>
            </w:r>
          </w:p>
        </w:tc>
        <w:tc>
          <w:tcPr>
            <w:tcW w:type="dxa" w:w="1296"/>
            <w:vAlign w:val="center"/>
            <w:tcMar>
              <w:top w:w="60" w:type="dxa"/>
              <w:start w:w="70" w:type="dxa"/>
              <w:bottom w:w="60" w:type="dxa"/>
              <w:end w:w="70" w:type="dxa"/>
            </w:tcMar>
            <w:shd w:fill="F5F7F9"/>
          </w:tcPr>
          <w:p>
            <w:pPr>
              <w:spacing w:after="0" w:line="240" w:lineRule="auto"/>
            </w:pPr>
            <w:r/>
            <w:r>
              <w:rPr>
                <w:rFonts w:ascii="Arial" w:hAnsi="Arial"/>
                <w:b w:val="0"/>
                <w:sz w:val="14"/>
              </w:rPr>
              <w:t>Federal applicability</w:t>
            </w:r>
          </w:p>
        </w:tc>
        <w:tc>
          <w:tcPr>
            <w:tcW w:type="dxa" w:w="3024"/>
            <w:vAlign w:val="center"/>
            <w:tcMar>
              <w:top w:w="60" w:type="dxa"/>
              <w:start w:w="70" w:type="dxa"/>
              <w:bottom w:w="60" w:type="dxa"/>
              <w:end w:w="70" w:type="dxa"/>
            </w:tcMar>
            <w:shd w:fill="F5F7F9"/>
          </w:tcPr>
          <w:p>
            <w:pPr>
              <w:spacing w:after="0" w:line="240" w:lineRule="auto"/>
            </w:pPr>
            <w:r/>
            <w:r>
              <w:rPr>
                <w:rFonts w:ascii="Arial" w:hAnsi="Arial"/>
                <w:b w:val="0"/>
                <w:sz w:val="14"/>
              </w:rPr>
              <w:t>Exact ASTM F963 sections for an arbitrary toy</w:t>
            </w:r>
          </w:p>
        </w:tc>
        <w:tc>
          <w:tcPr>
            <w:tcW w:type="dxa" w:w="1224"/>
            <w:vAlign w:val="center"/>
            <w:tcMar>
              <w:top w:w="60" w:type="dxa"/>
              <w:start w:w="70" w:type="dxa"/>
              <w:bottom w:w="60" w:type="dxa"/>
              <w:end w:w="70" w:type="dxa"/>
            </w:tcMar>
            <w:shd w:fill="F5F7F9"/>
          </w:tcPr>
          <w:p>
            <w:pPr>
              <w:spacing w:after="0" w:line="240" w:lineRule="auto"/>
            </w:pPr>
            <w:r/>
            <w:r>
              <w:rPr>
                <w:rFonts w:ascii="Arial" w:hAnsi="Arial"/>
                <w:b w:val="0"/>
                <w:sz w:val="14"/>
              </w:rPr>
              <w:t>UNVERIFIED</w:t>
            </w:r>
          </w:p>
        </w:tc>
        <w:tc>
          <w:tcPr>
            <w:tcW w:type="dxa" w:w="3600"/>
            <w:vAlign w:val="center"/>
            <w:tcMar>
              <w:top w:w="60" w:type="dxa"/>
              <w:start w:w="70" w:type="dxa"/>
              <w:bottom w:w="60" w:type="dxa"/>
              <w:end w:w="70" w:type="dxa"/>
            </w:tcMar>
            <w:shd w:fill="F5F7F9"/>
          </w:tcPr>
          <w:p>
            <w:pPr>
              <w:spacing w:after="0" w:line="240" w:lineRule="auto"/>
            </w:pPr>
            <w:r/>
            <w:r>
              <w:rPr>
                <w:rFonts w:ascii="Arial" w:hAnsi="Arial"/>
                <w:b w:val="0"/>
                <w:sz w:val="14"/>
              </w:rPr>
              <w:t>Use the attribute checklist to generate a candidate section list, then require laboratory/compliance review before marking applicable.</w:t>
            </w:r>
          </w:p>
        </w:tc>
      </w:tr>
      <w:tr>
        <w:trPr>
          <w:cantSplit/>
        </w:trPr>
        <w:tc>
          <w:tcPr>
            <w:tcW w:type="dxa" w:w="936"/>
            <w:vAlign w:val="center"/>
            <w:tcMar>
              <w:top w:w="60" w:type="dxa"/>
              <w:start w:w="70" w:type="dxa"/>
              <w:bottom w:w="60" w:type="dxa"/>
              <w:end w:w="70" w:type="dxa"/>
            </w:tcMar>
          </w:tcPr>
          <w:p>
            <w:pPr>
              <w:spacing w:after="0" w:line="240" w:lineRule="auto"/>
            </w:pPr>
            <w:r/>
            <w:r>
              <w:rPr>
                <w:rFonts w:ascii="Arial" w:hAnsi="Arial"/>
                <w:b w:val="0"/>
                <w:sz w:val="14"/>
              </w:rPr>
              <w:t>GAP-007</w:t>
            </w:r>
          </w:p>
        </w:tc>
        <w:tc>
          <w:tcPr>
            <w:tcW w:type="dxa" w:w="1296"/>
            <w:vAlign w:val="center"/>
            <w:tcMar>
              <w:top w:w="60" w:type="dxa"/>
              <w:start w:w="70" w:type="dxa"/>
              <w:bottom w:w="60" w:type="dxa"/>
              <w:end w:w="70" w:type="dxa"/>
            </w:tcMar>
          </w:tcPr>
          <w:p>
            <w:pPr>
              <w:spacing w:after="0" w:line="240" w:lineRule="auto"/>
            </w:pPr>
            <w:r/>
            <w:r>
              <w:rPr>
                <w:rFonts w:ascii="Arial" w:hAnsi="Arial"/>
                <w:b w:val="0"/>
                <w:sz w:val="14"/>
              </w:rPr>
              <w:t>Federal applicability</w:t>
            </w:r>
          </w:p>
        </w:tc>
        <w:tc>
          <w:tcPr>
            <w:tcW w:type="dxa" w:w="3024"/>
            <w:vAlign w:val="center"/>
            <w:tcMar>
              <w:top w:w="60" w:type="dxa"/>
              <w:start w:w="70" w:type="dxa"/>
              <w:bottom w:w="60" w:type="dxa"/>
              <w:end w:w="70" w:type="dxa"/>
            </w:tcMar>
          </w:tcPr>
          <w:p>
            <w:pPr>
              <w:spacing w:after="0" w:line="240" w:lineRule="auto"/>
            </w:pPr>
            <w:r/>
            <w:r>
              <w:rPr>
                <w:rFonts w:ascii="Arial" w:hAnsi="Arial"/>
                <w:b w:val="0"/>
                <w:sz w:val="14"/>
              </w:rPr>
              <w:t>FCC rule part and test modes for an arbitrary radio</w:t>
            </w:r>
          </w:p>
        </w:tc>
        <w:tc>
          <w:tcPr>
            <w:tcW w:type="dxa" w:w="1224"/>
            <w:vAlign w:val="center"/>
            <w:tcMar>
              <w:top w:w="60" w:type="dxa"/>
              <w:start w:w="70" w:type="dxa"/>
              <w:bottom w:w="60" w:type="dxa"/>
              <w:end w:w="70" w:type="dxa"/>
            </w:tcMar>
          </w:tcPr>
          <w:p>
            <w:pPr>
              <w:spacing w:after="0" w:line="240" w:lineRule="auto"/>
            </w:pPr>
            <w:r/>
            <w:r>
              <w:rPr>
                <w:rFonts w:ascii="Arial" w:hAnsi="Arial"/>
                <w:b w:val="0"/>
                <w:sz w:val="14"/>
              </w:rPr>
              <w:t>UNVERIFIED</w:t>
            </w:r>
          </w:p>
        </w:tc>
        <w:tc>
          <w:tcPr>
            <w:tcW w:type="dxa" w:w="3600"/>
            <w:vAlign w:val="center"/>
            <w:tcMar>
              <w:top w:w="60" w:type="dxa"/>
              <w:start w:w="70" w:type="dxa"/>
              <w:bottom w:w="60" w:type="dxa"/>
              <w:end w:w="70" w:type="dxa"/>
            </w:tcMar>
          </w:tcPr>
          <w:p>
            <w:pPr>
              <w:spacing w:after="0" w:line="240" w:lineRule="auto"/>
            </w:pPr>
            <w:r/>
            <w:r>
              <w:rPr>
                <w:rFonts w:ascii="Arial" w:hAnsi="Arial"/>
                <w:b w:val="0"/>
                <w:sz w:val="14"/>
              </w:rPr>
              <w:t>Require band, antenna, power, simultaneous-transmission, module-grant, and body-separation fields before lab scoping.</w:t>
            </w:r>
          </w:p>
        </w:tc>
      </w:tr>
      <w:tr>
        <w:trPr>
          <w:cantSplit/>
        </w:trPr>
        <w:tc>
          <w:tcPr>
            <w:tcW w:type="dxa" w:w="936"/>
            <w:vAlign w:val="center"/>
            <w:tcMar>
              <w:top w:w="60" w:type="dxa"/>
              <w:start w:w="70" w:type="dxa"/>
              <w:bottom w:w="60" w:type="dxa"/>
              <w:end w:w="70" w:type="dxa"/>
            </w:tcMar>
            <w:shd w:fill="F5F7F9"/>
          </w:tcPr>
          <w:p>
            <w:pPr>
              <w:spacing w:after="0" w:line="240" w:lineRule="auto"/>
            </w:pPr>
            <w:r/>
            <w:r>
              <w:rPr>
                <w:rFonts w:ascii="Arial" w:hAnsi="Arial"/>
                <w:b w:val="0"/>
                <w:sz w:val="14"/>
              </w:rPr>
              <w:t>GAP-008</w:t>
            </w:r>
          </w:p>
        </w:tc>
        <w:tc>
          <w:tcPr>
            <w:tcW w:type="dxa" w:w="1296"/>
            <w:vAlign w:val="center"/>
            <w:tcMar>
              <w:top w:w="60" w:type="dxa"/>
              <w:start w:w="70" w:type="dxa"/>
              <w:bottom w:w="60" w:type="dxa"/>
              <w:end w:w="70" w:type="dxa"/>
            </w:tcMar>
            <w:shd w:fill="F5F7F9"/>
          </w:tcPr>
          <w:p>
            <w:pPr>
              <w:spacing w:after="0" w:line="240" w:lineRule="auto"/>
            </w:pPr>
            <w:r/>
            <w:r>
              <w:rPr>
                <w:rFonts w:ascii="Arial" w:hAnsi="Arial"/>
                <w:b w:val="0"/>
                <w:sz w:val="14"/>
              </w:rPr>
              <w:t>Federal versus industry</w:t>
            </w:r>
          </w:p>
        </w:tc>
        <w:tc>
          <w:tcPr>
            <w:tcW w:type="dxa" w:w="3024"/>
            <w:vAlign w:val="center"/>
            <w:tcMar>
              <w:top w:w="60" w:type="dxa"/>
              <w:start w:w="70" w:type="dxa"/>
              <w:bottom w:w="60" w:type="dxa"/>
              <w:end w:w="70" w:type="dxa"/>
            </w:tcMar>
            <w:shd w:fill="F5F7F9"/>
          </w:tcPr>
          <w:p>
            <w:pPr>
              <w:spacing w:after="0" w:line="240" w:lineRule="auto"/>
            </w:pPr>
            <w:r/>
            <w:r>
              <w:rPr>
                <w:rFonts w:ascii="Arial" w:hAnsi="Arial"/>
                <w:b w:val="0"/>
                <w:sz w:val="14"/>
              </w:rPr>
              <w:t>Universal UL listing for small consumer electronics</w:t>
            </w:r>
          </w:p>
        </w:tc>
        <w:tc>
          <w:tcPr>
            <w:tcW w:type="dxa" w:w="1224"/>
            <w:vAlign w:val="center"/>
            <w:tcMar>
              <w:top w:w="60" w:type="dxa"/>
              <w:start w:w="70" w:type="dxa"/>
              <w:bottom w:w="60" w:type="dxa"/>
              <w:end w:w="70" w:type="dxa"/>
            </w:tcMar>
            <w:shd w:fill="F5F7F9"/>
          </w:tcPr>
          <w:p>
            <w:pPr>
              <w:spacing w:after="0" w:line="240" w:lineRule="auto"/>
            </w:pPr>
            <w:r/>
            <w:r>
              <w:rPr>
                <w:rFonts w:ascii="Arial" w:hAnsi="Arial"/>
                <w:b w:val="0"/>
                <w:sz w:val="14"/>
              </w:rPr>
              <w:t>NOT FOUND</w:t>
            </w:r>
          </w:p>
        </w:tc>
        <w:tc>
          <w:tcPr>
            <w:tcW w:type="dxa" w:w="3600"/>
            <w:vAlign w:val="center"/>
            <w:tcMar>
              <w:top w:w="60" w:type="dxa"/>
              <w:start w:w="70" w:type="dxa"/>
              <w:bottom w:w="60" w:type="dxa"/>
              <w:end w:w="70" w:type="dxa"/>
            </w:tcMar>
            <w:shd w:fill="F5F7F9"/>
          </w:tcPr>
          <w:p>
            <w:pPr>
              <w:spacing w:after="0" w:line="240" w:lineRule="auto"/>
            </w:pPr>
            <w:r/>
            <w:r>
              <w:rPr>
                <w:rFonts w:ascii="Arial" w:hAnsi="Arial"/>
                <w:b w:val="0"/>
                <w:sz w:val="14"/>
              </w:rPr>
              <w:t>Classify UL/NRTL as conditional or recommended until a product/channel-specific authority is linked.</w:t>
            </w:r>
          </w:p>
        </w:tc>
      </w:tr>
      <w:tr>
        <w:trPr>
          <w:cantSplit/>
        </w:trPr>
        <w:tc>
          <w:tcPr>
            <w:tcW w:type="dxa" w:w="936"/>
            <w:vAlign w:val="center"/>
            <w:tcMar>
              <w:top w:w="60" w:type="dxa"/>
              <w:start w:w="70" w:type="dxa"/>
              <w:bottom w:w="60" w:type="dxa"/>
              <w:end w:w="70" w:type="dxa"/>
            </w:tcMar>
          </w:tcPr>
          <w:p>
            <w:pPr>
              <w:spacing w:after="0" w:line="240" w:lineRule="auto"/>
            </w:pPr>
            <w:r/>
            <w:r>
              <w:rPr>
                <w:rFonts w:ascii="Arial" w:hAnsi="Arial"/>
                <w:b w:val="0"/>
                <w:sz w:val="14"/>
              </w:rPr>
              <w:t>GAP-009</w:t>
            </w:r>
          </w:p>
        </w:tc>
        <w:tc>
          <w:tcPr>
            <w:tcW w:type="dxa" w:w="1296"/>
            <w:vAlign w:val="center"/>
            <w:tcMar>
              <w:top w:w="60" w:type="dxa"/>
              <w:start w:w="70" w:type="dxa"/>
              <w:bottom w:w="60" w:type="dxa"/>
              <w:end w:w="70" w:type="dxa"/>
            </w:tcMar>
          </w:tcPr>
          <w:p>
            <w:pPr>
              <w:spacing w:after="0" w:line="240" w:lineRule="auto"/>
            </w:pPr>
            <w:r/>
            <w:r>
              <w:rPr>
                <w:rFonts w:ascii="Arial" w:hAnsi="Arial"/>
                <w:b w:val="0"/>
                <w:sz w:val="14"/>
              </w:rPr>
              <w:t>State law</w:t>
            </w:r>
          </w:p>
        </w:tc>
        <w:tc>
          <w:tcPr>
            <w:tcW w:type="dxa" w:w="3024"/>
            <w:vAlign w:val="center"/>
            <w:tcMar>
              <w:top w:w="60" w:type="dxa"/>
              <w:start w:w="70" w:type="dxa"/>
              <w:bottom w:w="60" w:type="dxa"/>
              <w:end w:w="70" w:type="dxa"/>
            </w:tcMar>
          </w:tcPr>
          <w:p>
            <w:pPr>
              <w:spacing w:after="0" w:line="240" w:lineRule="auto"/>
            </w:pPr>
            <w:r/>
            <w:r>
              <w:rPr>
                <w:rFonts w:ascii="Arial" w:hAnsi="Arial"/>
                <w:b w:val="0"/>
                <w:sz w:val="14"/>
              </w:rPr>
              <w:t>State chemical, battery EPR, children's-product, privacy, and connected-device overlays outside California Proposition 65</w:t>
            </w:r>
          </w:p>
        </w:tc>
        <w:tc>
          <w:tcPr>
            <w:tcW w:type="dxa" w:w="1224"/>
            <w:vAlign w:val="center"/>
            <w:tcMar>
              <w:top w:w="60" w:type="dxa"/>
              <w:start w:w="70" w:type="dxa"/>
              <w:bottom w:w="60" w:type="dxa"/>
              <w:end w:w="70" w:type="dxa"/>
            </w:tcMar>
          </w:tcPr>
          <w:p>
            <w:pPr>
              <w:spacing w:after="0" w:line="240" w:lineRule="auto"/>
            </w:pPr>
            <w:r/>
            <w:r>
              <w:rPr>
                <w:rFonts w:ascii="Arial" w:hAnsi="Arial"/>
                <w:b w:val="0"/>
                <w:sz w:val="14"/>
              </w:rPr>
              <w:t>NOT FOUND</w:t>
            </w:r>
          </w:p>
        </w:tc>
        <w:tc>
          <w:tcPr>
            <w:tcW w:type="dxa" w:w="3600"/>
            <w:vAlign w:val="center"/>
            <w:tcMar>
              <w:top w:w="60" w:type="dxa"/>
              <w:start w:w="70" w:type="dxa"/>
              <w:bottom w:w="60" w:type="dxa"/>
              <w:end w:w="70" w:type="dxa"/>
            </w:tcMar>
          </w:tcPr>
          <w:p>
            <w:pPr>
              <w:spacing w:after="0" w:line="240" w:lineRule="auto"/>
            </w:pPr>
            <w:r/>
            <w:r>
              <w:rPr>
                <w:rFonts w:ascii="Arial" w:hAnsi="Arial"/>
                <w:b w:val="0"/>
                <w:sz w:val="14"/>
              </w:rPr>
              <w:t>MVP should ask sales states and show a state-law review flag outside California; do not display NOT FOUND as not required.</w:t>
            </w:r>
          </w:p>
        </w:tc>
      </w:tr>
      <w:tr>
        <w:trPr>
          <w:cantSplit/>
        </w:trPr>
        <w:tc>
          <w:tcPr>
            <w:tcW w:type="dxa" w:w="936"/>
            <w:vAlign w:val="center"/>
            <w:tcMar>
              <w:top w:w="60" w:type="dxa"/>
              <w:start w:w="70" w:type="dxa"/>
              <w:bottom w:w="60" w:type="dxa"/>
              <w:end w:w="70" w:type="dxa"/>
            </w:tcMar>
            <w:shd w:fill="F5F7F9"/>
          </w:tcPr>
          <w:p>
            <w:pPr>
              <w:spacing w:after="0" w:line="240" w:lineRule="auto"/>
            </w:pPr>
            <w:r/>
            <w:r>
              <w:rPr>
                <w:rFonts w:ascii="Arial" w:hAnsi="Arial"/>
                <w:b w:val="0"/>
                <w:sz w:val="14"/>
              </w:rPr>
              <w:t>GAP-010</w:t>
            </w:r>
          </w:p>
        </w:tc>
        <w:tc>
          <w:tcPr>
            <w:tcW w:type="dxa" w:w="1296"/>
            <w:vAlign w:val="center"/>
            <w:tcMar>
              <w:top w:w="60" w:type="dxa"/>
              <w:start w:w="70" w:type="dxa"/>
              <w:bottom w:w="60" w:type="dxa"/>
              <w:end w:w="70" w:type="dxa"/>
            </w:tcMar>
            <w:shd w:fill="F5F7F9"/>
          </w:tcPr>
          <w:p>
            <w:pPr>
              <w:spacing w:after="0" w:line="240" w:lineRule="auto"/>
            </w:pPr>
            <w:r/>
            <w:r>
              <w:rPr>
                <w:rFonts w:ascii="Arial" w:hAnsi="Arial"/>
                <w:b w:val="0"/>
                <w:sz w:val="14"/>
              </w:rPr>
              <w:t>Transport</w:t>
            </w:r>
          </w:p>
        </w:tc>
        <w:tc>
          <w:tcPr>
            <w:tcW w:type="dxa" w:w="3024"/>
            <w:vAlign w:val="center"/>
            <w:tcMar>
              <w:top w:w="60" w:type="dxa"/>
              <w:start w:w="70" w:type="dxa"/>
              <w:bottom w:w="60" w:type="dxa"/>
              <w:end w:w="70" w:type="dxa"/>
            </w:tcMar>
            <w:shd w:fill="F5F7F9"/>
          </w:tcPr>
          <w:p>
            <w:pPr>
              <w:spacing w:after="0" w:line="240" w:lineRule="auto"/>
            </w:pPr>
            <w:r/>
            <w:r>
              <w:rPr>
                <w:rFonts w:ascii="Arial" w:hAnsi="Arial"/>
                <w:b w:val="0"/>
                <w:sz w:val="14"/>
              </w:rPr>
              <w:t>Carrier-specific air/sea/parcel lithium battery rules</w:t>
            </w:r>
          </w:p>
        </w:tc>
        <w:tc>
          <w:tcPr>
            <w:tcW w:type="dxa" w:w="1224"/>
            <w:vAlign w:val="center"/>
            <w:tcMar>
              <w:top w:w="60" w:type="dxa"/>
              <w:start w:w="70" w:type="dxa"/>
              <w:bottom w:w="60" w:type="dxa"/>
              <w:end w:w="70" w:type="dxa"/>
            </w:tcMar>
            <w:shd w:fill="F5F7F9"/>
          </w:tcPr>
          <w:p>
            <w:pPr>
              <w:spacing w:after="0" w:line="240" w:lineRule="auto"/>
            </w:pPr>
            <w:r/>
            <w:r>
              <w:rPr>
                <w:rFonts w:ascii="Arial" w:hAnsi="Arial"/>
                <w:b w:val="0"/>
                <w:sz w:val="14"/>
              </w:rPr>
              <w:t>NOT FOUND</w:t>
            </w:r>
          </w:p>
        </w:tc>
        <w:tc>
          <w:tcPr>
            <w:tcW w:type="dxa" w:w="3600"/>
            <w:vAlign w:val="center"/>
            <w:tcMar>
              <w:top w:w="60" w:type="dxa"/>
              <w:start w:w="70" w:type="dxa"/>
              <w:bottom w:w="60" w:type="dxa"/>
              <w:end w:w="70" w:type="dxa"/>
            </w:tcMar>
            <w:shd w:fill="F5F7F9"/>
          </w:tcPr>
          <w:p>
            <w:pPr>
              <w:spacing w:after="0" w:line="240" w:lineRule="auto"/>
            </w:pPr>
            <w:r/>
            <w:r>
              <w:rPr>
                <w:rFonts w:ascii="Arial" w:hAnsi="Arial"/>
                <w:b w:val="0"/>
                <w:sz w:val="14"/>
              </w:rPr>
              <w:t>Add carrier, mode, origin, battery configuration, and quantity to a later transport module.</w:t>
            </w:r>
          </w:p>
        </w:tc>
      </w:tr>
      <w:tr>
        <w:trPr>
          <w:cantSplit/>
        </w:trPr>
        <w:tc>
          <w:tcPr>
            <w:tcW w:type="dxa" w:w="936"/>
            <w:vAlign w:val="center"/>
            <w:tcMar>
              <w:top w:w="60" w:type="dxa"/>
              <w:start w:w="70" w:type="dxa"/>
              <w:bottom w:w="60" w:type="dxa"/>
              <w:end w:w="70" w:type="dxa"/>
            </w:tcMar>
          </w:tcPr>
          <w:p>
            <w:pPr>
              <w:spacing w:after="0" w:line="240" w:lineRule="auto"/>
            </w:pPr>
            <w:r/>
            <w:r>
              <w:rPr>
                <w:rFonts w:ascii="Arial" w:hAnsi="Arial"/>
                <w:b w:val="0"/>
                <w:sz w:val="14"/>
              </w:rPr>
              <w:t>GAP-011</w:t>
            </w:r>
          </w:p>
        </w:tc>
        <w:tc>
          <w:tcPr>
            <w:tcW w:type="dxa" w:w="1296"/>
            <w:vAlign w:val="center"/>
            <w:tcMar>
              <w:top w:w="60" w:type="dxa"/>
              <w:start w:w="70" w:type="dxa"/>
              <w:bottom w:w="60" w:type="dxa"/>
              <w:end w:w="70" w:type="dxa"/>
            </w:tcMar>
          </w:tcPr>
          <w:p>
            <w:pPr>
              <w:spacing w:after="0" w:line="240" w:lineRule="auto"/>
            </w:pPr>
            <w:r/>
            <w:r>
              <w:rPr>
                <w:rFonts w:ascii="Arial" w:hAnsi="Arial"/>
                <w:b w:val="0"/>
                <w:sz w:val="14"/>
              </w:rPr>
              <w:t>Classification</w:t>
            </w:r>
          </w:p>
        </w:tc>
        <w:tc>
          <w:tcPr>
            <w:tcW w:type="dxa" w:w="3024"/>
            <w:vAlign w:val="center"/>
            <w:tcMar>
              <w:top w:w="60" w:type="dxa"/>
              <w:start w:w="70" w:type="dxa"/>
              <w:bottom w:w="60" w:type="dxa"/>
              <w:end w:w="70" w:type="dxa"/>
            </w:tcMar>
          </w:tcPr>
          <w:p>
            <w:pPr>
              <w:spacing w:after="0" w:line="240" w:lineRule="auto"/>
            </w:pPr>
            <w:r/>
            <w:r>
              <w:rPr>
                <w:rFonts w:ascii="Arial" w:hAnsi="Arial"/>
                <w:b w:val="0"/>
                <w:sz w:val="14"/>
              </w:rPr>
              <w:t>Hybrid child-targeted electronic toy</w:t>
            </w:r>
          </w:p>
        </w:tc>
        <w:tc>
          <w:tcPr>
            <w:tcW w:type="dxa" w:w="1224"/>
            <w:vAlign w:val="center"/>
            <w:tcMar>
              <w:top w:w="60" w:type="dxa"/>
              <w:start w:w="70" w:type="dxa"/>
              <w:bottom w:w="60" w:type="dxa"/>
              <w:end w:w="70" w:type="dxa"/>
            </w:tcMar>
          </w:tcPr>
          <w:p>
            <w:pPr>
              <w:spacing w:after="0" w:line="240" w:lineRule="auto"/>
            </w:pPr>
            <w:r/>
            <w:r>
              <w:rPr>
                <w:rFonts w:ascii="Arial" w:hAnsi="Arial"/>
                <w:b w:val="0"/>
                <w:sz w:val="14"/>
              </w:rPr>
              <w:t>CONFLICT</w:t>
            </w:r>
          </w:p>
        </w:tc>
        <w:tc>
          <w:tcPr>
            <w:tcW w:type="dxa" w:w="3600"/>
            <w:vAlign w:val="center"/>
            <w:tcMar>
              <w:top w:w="60" w:type="dxa"/>
              <w:start w:w="70" w:type="dxa"/>
              <w:bottom w:w="60" w:type="dxa"/>
              <w:end w:w="70" w:type="dxa"/>
            </w:tcMar>
          </w:tcPr>
          <w:p>
            <w:pPr>
              <w:spacing w:after="0" w:line="240" w:lineRule="auto"/>
            </w:pPr>
            <w:r/>
            <w:r>
              <w:rPr>
                <w:rFonts w:ascii="Arial" w:hAnsi="Arial"/>
                <w:b w:val="0"/>
                <w:sz w:val="14"/>
              </w:rPr>
              <w:t>Allow dual routing and merge requirements by rule ID; de-duplicate documents only after confirming they cover the same model/configuration.</w:t>
            </w:r>
          </w:p>
        </w:tc>
      </w:tr>
      <w:tr>
        <w:trPr>
          <w:cantSplit/>
        </w:trPr>
        <w:tc>
          <w:tcPr>
            <w:tcW w:type="dxa" w:w="936"/>
            <w:vAlign w:val="center"/>
            <w:tcMar>
              <w:top w:w="60" w:type="dxa"/>
              <w:start w:w="70" w:type="dxa"/>
              <w:bottom w:w="60" w:type="dxa"/>
              <w:end w:w="70" w:type="dxa"/>
            </w:tcMar>
            <w:shd w:fill="F5F7F9"/>
          </w:tcPr>
          <w:p>
            <w:pPr>
              <w:spacing w:after="0" w:line="240" w:lineRule="auto"/>
            </w:pPr>
            <w:r/>
            <w:r>
              <w:rPr>
                <w:rFonts w:ascii="Arial" w:hAnsi="Arial"/>
                <w:b w:val="0"/>
                <w:sz w:val="14"/>
              </w:rPr>
              <w:t>GAP-012</w:t>
            </w:r>
          </w:p>
        </w:tc>
        <w:tc>
          <w:tcPr>
            <w:tcW w:type="dxa" w:w="1296"/>
            <w:vAlign w:val="center"/>
            <w:tcMar>
              <w:top w:w="60" w:type="dxa"/>
              <w:start w:w="70" w:type="dxa"/>
              <w:bottom w:w="60" w:type="dxa"/>
              <w:end w:w="70" w:type="dxa"/>
            </w:tcMar>
            <w:shd w:fill="F5F7F9"/>
          </w:tcPr>
          <w:p>
            <w:pPr>
              <w:spacing w:after="0" w:line="240" w:lineRule="auto"/>
            </w:pPr>
            <w:r/>
            <w:r>
              <w:rPr>
                <w:rFonts w:ascii="Arial" w:hAnsi="Arial"/>
                <w:b w:val="0"/>
                <w:sz w:val="14"/>
              </w:rPr>
              <w:t>Regulatory change</w:t>
            </w:r>
          </w:p>
        </w:tc>
        <w:tc>
          <w:tcPr>
            <w:tcW w:type="dxa" w:w="3024"/>
            <w:vAlign w:val="center"/>
            <w:tcMar>
              <w:top w:w="60" w:type="dxa"/>
              <w:start w:w="70" w:type="dxa"/>
              <w:bottom w:w="60" w:type="dxa"/>
              <w:end w:w="70" w:type="dxa"/>
            </w:tcMar>
            <w:shd w:fill="F5F7F9"/>
          </w:tcPr>
          <w:p>
            <w:pPr>
              <w:spacing w:after="0" w:line="240" w:lineRule="auto"/>
            </w:pPr>
            <w:r/>
            <w:r>
              <w:rPr>
                <w:rFonts w:ascii="Arial" w:hAnsi="Arial"/>
                <w:b w:val="0"/>
                <w:sz w:val="14"/>
              </w:rPr>
              <w:t>FCC 2026 equipment-authorization security proposal</w:t>
            </w:r>
          </w:p>
        </w:tc>
        <w:tc>
          <w:tcPr>
            <w:tcW w:type="dxa" w:w="1224"/>
            <w:vAlign w:val="center"/>
            <w:tcMar>
              <w:top w:w="60" w:type="dxa"/>
              <w:start w:w="70" w:type="dxa"/>
              <w:bottom w:w="60" w:type="dxa"/>
              <w:end w:w="70" w:type="dxa"/>
            </w:tcMar>
            <w:shd w:fill="F5F7F9"/>
          </w:tcPr>
          <w:p>
            <w:pPr>
              <w:spacing w:after="0" w:line="240" w:lineRule="auto"/>
            </w:pPr>
            <w:r/>
            <w:r>
              <w:rPr>
                <w:rFonts w:ascii="Arial" w:hAnsi="Arial"/>
                <w:b w:val="0"/>
                <w:sz w:val="14"/>
              </w:rPr>
              <w:t>UNVERIFIED</w:t>
            </w:r>
          </w:p>
        </w:tc>
        <w:tc>
          <w:tcPr>
            <w:tcW w:type="dxa" w:w="3600"/>
            <w:vAlign w:val="center"/>
            <w:tcMar>
              <w:top w:w="60" w:type="dxa"/>
              <w:start w:w="70" w:type="dxa"/>
              <w:bottom w:w="60" w:type="dxa"/>
              <w:end w:w="70" w:type="dxa"/>
            </w:tcMar>
            <w:shd w:fill="F5F7F9"/>
          </w:tcPr>
          <w:p>
            <w:pPr>
              <w:spacing w:after="0" w:line="240" w:lineRule="auto"/>
            </w:pPr>
            <w:r/>
            <w:r>
              <w:rPr>
                <w:rFonts w:ascii="Arial" w:hAnsi="Arial"/>
                <w:b w:val="0"/>
                <w:sz w:val="14"/>
              </w:rPr>
              <w:t>Store as a watchlist source and exclude from current pass/fail logic until a final rule and effective date are verified.</w:t>
            </w:r>
          </w:p>
        </w:tc>
      </w:tr>
      <w:tr>
        <w:trPr>
          <w:cantSplit/>
        </w:trPr>
        <w:tc>
          <w:tcPr>
            <w:tcW w:type="dxa" w:w="936"/>
            <w:vAlign w:val="center"/>
            <w:tcMar>
              <w:top w:w="60" w:type="dxa"/>
              <w:start w:w="70" w:type="dxa"/>
              <w:bottom w:w="60" w:type="dxa"/>
              <w:end w:w="70" w:type="dxa"/>
            </w:tcMar>
          </w:tcPr>
          <w:p>
            <w:pPr>
              <w:spacing w:after="0" w:line="240" w:lineRule="auto"/>
            </w:pPr>
            <w:r/>
            <w:r>
              <w:rPr>
                <w:rFonts w:ascii="Arial" w:hAnsi="Arial"/>
                <w:b w:val="0"/>
                <w:sz w:val="14"/>
              </w:rPr>
              <w:t>GAP-013</w:t>
            </w:r>
          </w:p>
        </w:tc>
        <w:tc>
          <w:tcPr>
            <w:tcW w:type="dxa" w:w="1296"/>
            <w:vAlign w:val="center"/>
            <w:tcMar>
              <w:top w:w="60" w:type="dxa"/>
              <w:start w:w="70" w:type="dxa"/>
              <w:bottom w:w="60" w:type="dxa"/>
              <w:end w:w="70" w:type="dxa"/>
            </w:tcMar>
          </w:tcPr>
          <w:p>
            <w:pPr>
              <w:spacing w:after="0" w:line="240" w:lineRule="auto"/>
            </w:pPr>
            <w:r/>
            <w:r>
              <w:rPr>
                <w:rFonts w:ascii="Arial" w:hAnsi="Arial"/>
                <w:b w:val="0"/>
                <w:sz w:val="14"/>
              </w:rPr>
              <w:t>Verification model</w:t>
            </w:r>
          </w:p>
        </w:tc>
        <w:tc>
          <w:tcPr>
            <w:tcW w:type="dxa" w:w="3024"/>
            <w:vAlign w:val="center"/>
            <w:tcMar>
              <w:top w:w="60" w:type="dxa"/>
              <w:start w:w="70" w:type="dxa"/>
              <w:bottom w:w="60" w:type="dxa"/>
              <w:end w:w="70" w:type="dxa"/>
            </w:tcMar>
          </w:tcPr>
          <w:p>
            <w:pPr>
              <w:spacing w:after="0" w:line="240" w:lineRule="auto"/>
            </w:pPr>
            <w:r/>
            <w:r>
              <w:rPr>
                <w:rFonts w:ascii="Arial" w:hAnsi="Arial"/>
                <w:b w:val="0"/>
                <w:sz w:val="14"/>
              </w:rPr>
              <w:t>Negative conclusions</w:t>
            </w:r>
          </w:p>
        </w:tc>
        <w:tc>
          <w:tcPr>
            <w:tcW w:type="dxa" w:w="1224"/>
            <w:vAlign w:val="center"/>
            <w:tcMar>
              <w:top w:w="60" w:type="dxa"/>
              <w:start w:w="70" w:type="dxa"/>
              <w:bottom w:w="60" w:type="dxa"/>
              <w:end w:w="70" w:type="dxa"/>
            </w:tcMar>
          </w:tcPr>
          <w:p>
            <w:pPr>
              <w:spacing w:after="0" w:line="240" w:lineRule="auto"/>
            </w:pPr>
            <w:r/>
            <w:r>
              <w:rPr>
                <w:rFonts w:ascii="Arial" w:hAnsi="Arial"/>
                <w:b w:val="0"/>
                <w:sz w:val="14"/>
              </w:rPr>
              <w:t>CONFLICT</w:t>
            </w:r>
          </w:p>
        </w:tc>
        <w:tc>
          <w:tcPr>
            <w:tcW w:type="dxa" w:w="3600"/>
            <w:vAlign w:val="center"/>
            <w:tcMar>
              <w:top w:w="60" w:type="dxa"/>
              <w:start w:w="70" w:type="dxa"/>
              <w:bottom w:w="60" w:type="dxa"/>
              <w:end w:w="70" w:type="dxa"/>
            </w:tcMar>
          </w:tcPr>
          <w:p>
            <w:pPr>
              <w:spacing w:after="0" w:line="240" w:lineRule="auto"/>
            </w:pPr>
            <w:r/>
            <w:r>
              <w:rPr>
                <w:rFonts w:ascii="Arial" w:hAnsi="Arial"/>
                <w:b w:val="0"/>
                <w:sz w:val="14"/>
              </w:rPr>
              <w:t>UI and exports must preserve status and show a review task instead of converting missing evidence to a green result.</w:t>
            </w:r>
          </w:p>
        </w:tc>
      </w:tr>
      <w:tr>
        <w:trPr>
          <w:cantSplit/>
        </w:trPr>
        <w:tc>
          <w:tcPr>
            <w:tcW w:type="dxa" w:w="936"/>
            <w:vAlign w:val="center"/>
            <w:tcMar>
              <w:top w:w="60" w:type="dxa"/>
              <w:start w:w="70" w:type="dxa"/>
              <w:bottom w:w="60" w:type="dxa"/>
              <w:end w:w="70" w:type="dxa"/>
            </w:tcMar>
            <w:shd w:fill="F5F7F9"/>
          </w:tcPr>
          <w:p>
            <w:pPr>
              <w:spacing w:after="0" w:line="240" w:lineRule="auto"/>
            </w:pPr>
            <w:r/>
            <w:r>
              <w:rPr>
                <w:rFonts w:ascii="Arial" w:hAnsi="Arial"/>
                <w:b w:val="0"/>
                <w:sz w:val="14"/>
              </w:rPr>
              <w:t>GAP-014</w:t>
            </w:r>
          </w:p>
        </w:tc>
        <w:tc>
          <w:tcPr>
            <w:tcW w:type="dxa" w:w="1296"/>
            <w:vAlign w:val="center"/>
            <w:tcMar>
              <w:top w:w="60" w:type="dxa"/>
              <w:start w:w="70" w:type="dxa"/>
              <w:bottom w:w="60" w:type="dxa"/>
              <w:end w:w="70" w:type="dxa"/>
            </w:tcMar>
            <w:shd w:fill="F5F7F9"/>
          </w:tcPr>
          <w:p>
            <w:pPr>
              <w:spacing w:after="0" w:line="240" w:lineRule="auto"/>
            </w:pPr>
            <w:r/>
            <w:r>
              <w:rPr>
                <w:rFonts w:ascii="Arial" w:hAnsi="Arial"/>
                <w:b w:val="0"/>
                <w:sz w:val="14"/>
              </w:rPr>
              <w:t>Jurisdiction</w:t>
            </w:r>
          </w:p>
        </w:tc>
        <w:tc>
          <w:tcPr>
            <w:tcW w:type="dxa" w:w="3024"/>
            <w:vAlign w:val="center"/>
            <w:tcMar>
              <w:top w:w="60" w:type="dxa"/>
              <w:start w:w="70" w:type="dxa"/>
              <w:bottom w:w="60" w:type="dxa"/>
              <w:end w:w="70" w:type="dxa"/>
            </w:tcMar>
            <w:shd w:fill="F5F7F9"/>
          </w:tcPr>
          <w:p>
            <w:pPr>
              <w:spacing w:after="0" w:line="240" w:lineRule="auto"/>
            </w:pPr>
            <w:r/>
            <w:r>
              <w:rPr>
                <w:rFonts w:ascii="Arial" w:hAnsi="Arial"/>
                <w:b w:val="0"/>
                <w:sz w:val="14"/>
              </w:rPr>
              <w:t>EU GPSR disclosure content on eBay</w:t>
            </w:r>
          </w:p>
        </w:tc>
        <w:tc>
          <w:tcPr>
            <w:tcW w:type="dxa" w:w="1224"/>
            <w:vAlign w:val="center"/>
            <w:tcMar>
              <w:top w:w="60" w:type="dxa"/>
              <w:start w:w="70" w:type="dxa"/>
              <w:bottom w:w="60" w:type="dxa"/>
              <w:end w:w="70" w:type="dxa"/>
            </w:tcMar>
            <w:shd w:fill="F5F7F9"/>
          </w:tcPr>
          <w:p>
            <w:pPr>
              <w:spacing w:after="0" w:line="240" w:lineRule="auto"/>
            </w:pPr>
            <w:r/>
            <w:r>
              <w:rPr>
                <w:rFonts w:ascii="Arial" w:hAnsi="Arial"/>
                <w:b w:val="0"/>
                <w:sz w:val="14"/>
              </w:rPr>
              <w:t>VERIFIED</w:t>
            </w:r>
          </w:p>
        </w:tc>
        <w:tc>
          <w:tcPr>
            <w:tcW w:type="dxa" w:w="3600"/>
            <w:vAlign w:val="center"/>
            <w:tcMar>
              <w:top w:w="60" w:type="dxa"/>
              <w:start w:w="70" w:type="dxa"/>
              <w:bottom w:w="60" w:type="dxa"/>
              <w:end w:w="70" w:type="dxa"/>
            </w:tcMar>
            <w:shd w:fill="F5F7F9"/>
          </w:tcPr>
          <w:p>
            <w:pPr>
              <w:spacing w:after="0" w:line="240" w:lineRule="auto"/>
            </w:pPr>
            <w:r/>
            <w:r>
              <w:rPr>
                <w:rFonts w:ascii="Arial" w:hAnsi="Arial"/>
                <w:b w:val="0"/>
                <w:sz w:val="14"/>
              </w:rPr>
              <w:t>Keep jurisdiction filters mandatory so EU platform content cannot leak into US compliance decisions.</w:t>
            </w:r>
          </w:p>
        </w:tc>
      </w:tr>
    </w:tbl>
    <w:p>
      <w:pPr>
        <w:spacing w:after="0"/>
      </w:pPr>
    </w:p>
    <w:p>
      <w:r>
        <w:br w:type="page"/>
      </w:r>
    </w:p>
    <w:p>
      <w:pPr>
        <w:pStyle w:val="Heading1"/>
      </w:pPr>
      <w:r>
        <w:t>Recommended verified subset for the four day MVP</w:t>
      </w:r>
    </w:p>
    <w:p>
      <w:r>
        <w:t>The P0 subset covers the highest-consequence routing decisions and preserves uncertainty. P1 rules remain visible escalation flags whenever a triggering attribute is true.</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vAlign w:val="center"/>
            <w:tcMar>
              <w:top w:w="60" w:type="dxa"/>
              <w:start w:w="70" w:type="dxa"/>
              <w:bottom w:w="60" w:type="dxa"/>
              <w:end w:w="70" w:type="dxa"/>
            </w:tcMar>
            <w:shd w:fill="17324D"/>
          </w:tcPr>
          <w:p>
            <w:pPr>
              <w:spacing w:after="0" w:line="240" w:lineRule="auto"/>
            </w:pPr>
            <w:r/>
            <w:r>
              <w:rPr>
                <w:rFonts w:ascii="Arial" w:hAnsi="Arial"/>
                <w:b/>
                <w:color w:val="FFFFFF"/>
                <w:sz w:val="16"/>
              </w:rPr>
              <w:t>Module</w:t>
            </w:r>
          </w:p>
        </w:tc>
        <w:tc>
          <w:tcPr>
            <w:tcW w:type="dxa" w:w="6192"/>
            <w:vAlign w:val="center"/>
            <w:tcMar>
              <w:top w:w="60" w:type="dxa"/>
              <w:start w:w="70" w:type="dxa"/>
              <w:bottom w:w="60" w:type="dxa"/>
              <w:end w:w="70" w:type="dxa"/>
            </w:tcMar>
            <w:shd w:fill="17324D"/>
          </w:tcPr>
          <w:p>
            <w:pPr>
              <w:spacing w:after="0" w:line="240" w:lineRule="auto"/>
            </w:pPr>
            <w:r/>
            <w:r>
              <w:rPr>
                <w:rFonts w:ascii="Arial" w:hAnsi="Arial"/>
                <w:b/>
                <w:color w:val="FFFFFF"/>
                <w:sz w:val="16"/>
              </w:rPr>
              <w:t>Ship in four days</w:t>
            </w:r>
          </w:p>
        </w:tc>
        <w:tc>
          <w:tcPr>
            <w:tcW w:type="dxa" w:w="2088"/>
            <w:vAlign w:val="center"/>
            <w:tcMar>
              <w:top w:w="60" w:type="dxa"/>
              <w:start w:w="70" w:type="dxa"/>
              <w:bottom w:w="60" w:type="dxa"/>
              <w:end w:w="70" w:type="dxa"/>
            </w:tcMar>
            <w:shd w:fill="17324D"/>
          </w:tcPr>
          <w:p>
            <w:pPr>
              <w:spacing w:after="0" w:line="240" w:lineRule="auto"/>
            </w:pPr>
            <w:r/>
            <w:r>
              <w:rPr>
                <w:rFonts w:ascii="Arial" w:hAnsi="Arial"/>
                <w:b/>
                <w:color w:val="FFFFFF"/>
                <w:sz w:val="16"/>
              </w:rPr>
              <w:t>Key rule IDs</w:t>
            </w:r>
          </w:p>
        </w:tc>
      </w:tr>
      <w:tr>
        <w:trPr>
          <w:cantSplit/>
        </w:trPr>
        <w:tc>
          <w:tcPr>
            <w:tcW w:type="dxa" w:w="1800"/>
            <w:vAlign w:val="center"/>
            <w:tcMar>
              <w:top w:w="60" w:type="dxa"/>
              <w:start w:w="70" w:type="dxa"/>
              <w:bottom w:w="60" w:type="dxa"/>
              <w:end w:w="70" w:type="dxa"/>
            </w:tcMar>
          </w:tcPr>
          <w:p>
            <w:pPr>
              <w:spacing w:after="0" w:line="240" w:lineRule="auto"/>
            </w:pPr>
            <w:r/>
            <w:r>
              <w:rPr>
                <w:rFonts w:ascii="Arial" w:hAnsi="Arial"/>
                <w:b w:val="0"/>
                <w:sz w:val="16"/>
              </w:rPr>
              <w:t>Shared intake</w:t>
            </w:r>
          </w:p>
        </w:tc>
        <w:tc>
          <w:tcPr>
            <w:tcW w:type="dxa" w:w="6192"/>
            <w:vAlign w:val="center"/>
            <w:tcMar>
              <w:top w:w="60" w:type="dxa"/>
              <w:start w:w="70" w:type="dxa"/>
              <w:bottom w:w="60" w:type="dxa"/>
              <w:end w:w="70" w:type="dxa"/>
            </w:tcMar>
          </w:tcPr>
          <w:p>
            <w:pPr>
              <w:spacing w:after="0" w:line="240" w:lineRule="auto"/>
            </w:pPr>
            <w:r/>
            <w:r>
              <w:rPr>
                <w:rFonts w:ascii="Arial" w:hAnsi="Arial"/>
                <w:b w:val="0"/>
                <w:sz w:val="16"/>
              </w:rPr>
              <w:t>Category, child-targeted flag, age, marketplace, sales states, origin, importer/responsible party</w:t>
            </w:r>
          </w:p>
        </w:tc>
        <w:tc>
          <w:tcPr>
            <w:tcW w:type="dxa" w:w="2088"/>
            <w:vAlign w:val="center"/>
            <w:tcMar>
              <w:top w:w="60" w:type="dxa"/>
              <w:start w:w="70" w:type="dxa"/>
              <w:bottom w:w="60" w:type="dxa"/>
              <w:end w:w="70" w:type="dxa"/>
            </w:tcMar>
          </w:tcPr>
          <w:p>
            <w:pPr>
              <w:spacing w:after="0" w:line="240" w:lineRule="auto"/>
            </w:pPr>
            <w:r/>
            <w:r>
              <w:rPr>
                <w:rFonts w:ascii="Arial" w:hAnsi="Arial"/>
                <w:b w:val="0"/>
                <w:sz w:val="16"/>
              </w:rPr>
              <w:t>R-CMN-001–002; R-TOY-001; R-ELEC-001</w:t>
            </w:r>
          </w:p>
        </w:tc>
      </w:tr>
      <w:tr>
        <w:trPr>
          <w:cantSplit/>
        </w:trPr>
        <w:tc>
          <w:tcPr>
            <w:tcW w:type="dxa" w:w="1800"/>
            <w:vAlign w:val="center"/>
            <w:tcMar>
              <w:top w:w="60" w:type="dxa"/>
              <w:start w:w="70" w:type="dxa"/>
              <w:bottom w:w="60" w:type="dxa"/>
              <w:end w:w="70" w:type="dxa"/>
            </w:tcMar>
            <w:shd w:fill="F5F7F9"/>
          </w:tcPr>
          <w:p>
            <w:pPr>
              <w:spacing w:after="0" w:line="240" w:lineRule="auto"/>
            </w:pPr>
            <w:r/>
            <w:r>
              <w:rPr>
                <w:rFonts w:ascii="Arial" w:hAnsi="Arial"/>
                <w:b w:val="0"/>
                <w:sz w:val="16"/>
              </w:rPr>
              <w:t>Toy core</w:t>
            </w:r>
          </w:p>
        </w:tc>
        <w:tc>
          <w:tcPr>
            <w:tcW w:type="dxa" w:w="6192"/>
            <w:vAlign w:val="center"/>
            <w:tcMar>
              <w:top w:w="60" w:type="dxa"/>
              <w:start w:w="70" w:type="dxa"/>
              <w:bottom w:w="60" w:type="dxa"/>
              <w:end w:w="70" w:type="dxa"/>
            </w:tcMar>
            <w:shd w:fill="F5F7F9"/>
          </w:tcPr>
          <w:p>
            <w:pPr>
              <w:spacing w:after="0" w:line="240" w:lineRule="auto"/>
            </w:pPr>
            <w:r/>
            <w:r>
              <w:rPr>
                <w:rFonts w:ascii="Arial" w:hAnsi="Arial"/>
                <w:b w:val="0"/>
                <w:sz w:val="16"/>
              </w:rPr>
              <w:t>ASTM section routing, CPSC lab/CPC, lead, coatings, phthalates, small parts/warnings, magnets, batteries, tracking labels</w:t>
            </w:r>
          </w:p>
        </w:tc>
        <w:tc>
          <w:tcPr>
            <w:tcW w:type="dxa" w:w="2088"/>
            <w:vAlign w:val="center"/>
            <w:tcMar>
              <w:top w:w="60" w:type="dxa"/>
              <w:start w:w="70" w:type="dxa"/>
              <w:bottom w:w="60" w:type="dxa"/>
              <w:end w:w="70" w:type="dxa"/>
            </w:tcMar>
            <w:shd w:fill="F5F7F9"/>
          </w:tcPr>
          <w:p>
            <w:pPr>
              <w:spacing w:after="0" w:line="240" w:lineRule="auto"/>
            </w:pPr>
            <w:r/>
            <w:r>
              <w:rPr>
                <w:rFonts w:ascii="Arial" w:hAnsi="Arial"/>
                <w:b w:val="0"/>
                <w:sz w:val="16"/>
              </w:rPr>
              <w:t>R-TOY-002–015</w:t>
            </w:r>
          </w:p>
        </w:tc>
      </w:tr>
      <w:tr>
        <w:trPr>
          <w:cantSplit/>
        </w:trPr>
        <w:tc>
          <w:tcPr>
            <w:tcW w:type="dxa" w:w="1800"/>
            <w:vAlign w:val="center"/>
            <w:tcMar>
              <w:top w:w="60" w:type="dxa"/>
              <w:start w:w="70" w:type="dxa"/>
              <w:bottom w:w="60" w:type="dxa"/>
              <w:end w:w="70" w:type="dxa"/>
            </w:tcMar>
          </w:tcPr>
          <w:p>
            <w:pPr>
              <w:spacing w:after="0" w:line="240" w:lineRule="auto"/>
            </w:pPr>
            <w:r/>
            <w:r>
              <w:rPr>
                <w:rFonts w:ascii="Arial" w:hAnsi="Arial"/>
                <w:b w:val="0"/>
                <w:sz w:val="16"/>
              </w:rPr>
              <w:t>Electronics core</w:t>
            </w:r>
          </w:p>
        </w:tc>
        <w:tc>
          <w:tcPr>
            <w:tcW w:type="dxa" w:w="6192"/>
            <w:vAlign w:val="center"/>
            <w:tcMar>
              <w:top w:w="60" w:type="dxa"/>
              <w:start w:w="70" w:type="dxa"/>
              <w:bottom w:w="60" w:type="dxa"/>
              <w:end w:w="70" w:type="dxa"/>
            </w:tcMar>
          </w:tcPr>
          <w:p>
            <w:pPr>
              <w:spacing w:after="0" w:line="240" w:lineRule="auto"/>
            </w:pPr>
            <w:r/>
            <w:r>
              <w:rPr>
                <w:rFonts w:ascii="Arial" w:hAnsi="Arial"/>
                <w:b w:val="0"/>
                <w:sz w:val="16"/>
              </w:rPr>
              <w:t>FCC transmitter/digital/exemption/module routes, RF exposure, labels/manuals, SDoC responsible party</w:t>
            </w:r>
          </w:p>
        </w:tc>
        <w:tc>
          <w:tcPr>
            <w:tcW w:type="dxa" w:w="2088"/>
            <w:vAlign w:val="center"/>
            <w:tcMar>
              <w:top w:w="60" w:type="dxa"/>
              <w:start w:w="70" w:type="dxa"/>
              <w:bottom w:w="60" w:type="dxa"/>
              <w:end w:w="70" w:type="dxa"/>
            </w:tcMar>
          </w:tcPr>
          <w:p>
            <w:pPr>
              <w:spacing w:after="0" w:line="240" w:lineRule="auto"/>
            </w:pPr>
            <w:r/>
            <w:r>
              <w:rPr>
                <w:rFonts w:ascii="Arial" w:hAnsi="Arial"/>
                <w:b w:val="0"/>
                <w:sz w:val="16"/>
              </w:rPr>
              <w:t>R-ELEC-002–009</w:t>
            </w:r>
          </w:p>
        </w:tc>
      </w:tr>
      <w:tr>
        <w:trPr>
          <w:cantSplit/>
        </w:trPr>
        <w:tc>
          <w:tcPr>
            <w:tcW w:type="dxa" w:w="1800"/>
            <w:vAlign w:val="center"/>
            <w:tcMar>
              <w:top w:w="60" w:type="dxa"/>
              <w:start w:w="70" w:type="dxa"/>
              <w:bottom w:w="60" w:type="dxa"/>
              <w:end w:w="70" w:type="dxa"/>
            </w:tcMar>
            <w:shd w:fill="F5F7F9"/>
          </w:tcPr>
          <w:p>
            <w:pPr>
              <w:spacing w:after="0" w:line="240" w:lineRule="auto"/>
            </w:pPr>
            <w:r/>
            <w:r>
              <w:rPr>
                <w:rFonts w:ascii="Arial" w:hAnsi="Arial"/>
                <w:b w:val="0"/>
                <w:sz w:val="16"/>
              </w:rPr>
              <w:t>Battery and power</w:t>
            </w:r>
          </w:p>
        </w:tc>
        <w:tc>
          <w:tcPr>
            <w:tcW w:type="dxa" w:w="6192"/>
            <w:vAlign w:val="center"/>
            <w:tcMar>
              <w:top w:w="60" w:type="dxa"/>
              <w:start w:w="70" w:type="dxa"/>
              <w:bottom w:w="60" w:type="dxa"/>
              <w:end w:w="70" w:type="dxa"/>
            </w:tcMar>
            <w:shd w:fill="F5F7F9"/>
          </w:tcPr>
          <w:p>
            <w:pPr>
              <w:spacing w:after="0" w:line="240" w:lineRule="auto"/>
            </w:pPr>
            <w:r/>
            <w:r>
              <w:rPr>
                <w:rFonts w:ascii="Arial" w:hAnsi="Arial"/>
                <w:b w:val="0"/>
                <w:sz w:val="16"/>
              </w:rPr>
              <w:t>UN 38.3 summary and shipping configuration, button/coin route, DOE EPS and charger checks</w:t>
            </w:r>
          </w:p>
        </w:tc>
        <w:tc>
          <w:tcPr>
            <w:tcW w:type="dxa" w:w="2088"/>
            <w:vAlign w:val="center"/>
            <w:tcMar>
              <w:top w:w="60" w:type="dxa"/>
              <w:start w:w="70" w:type="dxa"/>
              <w:bottom w:w="60" w:type="dxa"/>
              <w:end w:w="70" w:type="dxa"/>
            </w:tcMar>
            <w:shd w:fill="F5F7F9"/>
          </w:tcPr>
          <w:p>
            <w:pPr>
              <w:spacing w:after="0" w:line="240" w:lineRule="auto"/>
            </w:pPr>
            <w:r/>
            <w:r>
              <w:rPr>
                <w:rFonts w:ascii="Arial" w:hAnsi="Arial"/>
                <w:b w:val="0"/>
                <w:sz w:val="16"/>
              </w:rPr>
              <w:t>R-ELEC-010–012; R-ELEC-017</w:t>
            </w:r>
          </w:p>
        </w:tc>
      </w:tr>
      <w:tr>
        <w:trPr>
          <w:cantSplit/>
        </w:trPr>
        <w:tc>
          <w:tcPr>
            <w:tcW w:type="dxa" w:w="1800"/>
            <w:vAlign w:val="center"/>
            <w:tcMar>
              <w:top w:w="60" w:type="dxa"/>
              <w:start w:w="70" w:type="dxa"/>
              <w:bottom w:w="60" w:type="dxa"/>
              <w:end w:w="70" w:type="dxa"/>
            </w:tcMar>
          </w:tcPr>
          <w:p>
            <w:pPr>
              <w:spacing w:after="0" w:line="240" w:lineRule="auto"/>
            </w:pPr>
            <w:r/>
            <w:r>
              <w:rPr>
                <w:rFonts w:ascii="Arial" w:hAnsi="Arial"/>
                <w:b w:val="0"/>
                <w:sz w:val="16"/>
              </w:rPr>
              <w:t>Platforms</w:t>
            </w:r>
          </w:p>
        </w:tc>
        <w:tc>
          <w:tcPr>
            <w:tcW w:type="dxa" w:w="6192"/>
            <w:vAlign w:val="center"/>
            <w:tcMar>
              <w:top w:w="60" w:type="dxa"/>
              <w:start w:w="70" w:type="dxa"/>
              <w:bottom w:w="60" w:type="dxa"/>
              <w:end w:w="70" w:type="dxa"/>
            </w:tcMar>
          </w:tcPr>
          <w:p>
            <w:pPr>
              <w:spacing w:after="0" w:line="240" w:lineRule="auto"/>
            </w:pPr>
            <w:r/>
            <w:r>
              <w:rPr>
                <w:rFonts w:ascii="Arial" w:hAnsi="Arial"/>
                <w:b w:val="0"/>
                <w:sz w:val="16"/>
              </w:rPr>
              <w:t>Amazon toy/FCC/lithium tasks and eBay product/electronic restrictions</w:t>
            </w:r>
          </w:p>
        </w:tc>
        <w:tc>
          <w:tcPr>
            <w:tcW w:type="dxa" w:w="2088"/>
            <w:vAlign w:val="center"/>
            <w:tcMar>
              <w:top w:w="60" w:type="dxa"/>
              <w:start w:w="70" w:type="dxa"/>
              <w:bottom w:w="60" w:type="dxa"/>
              <w:end w:w="70" w:type="dxa"/>
            </w:tcMar>
          </w:tcPr>
          <w:p>
            <w:pPr>
              <w:spacing w:after="0" w:line="240" w:lineRule="auto"/>
            </w:pPr>
            <w:r/>
            <w:r>
              <w:rPr>
                <w:rFonts w:ascii="Arial" w:hAnsi="Arial"/>
                <w:b w:val="0"/>
                <w:sz w:val="16"/>
              </w:rPr>
              <w:t>R-TOY-019–020; R-ELEC-014–016</w:t>
            </w:r>
          </w:p>
        </w:tc>
      </w:tr>
      <w:tr>
        <w:trPr>
          <w:cantSplit/>
        </w:trPr>
        <w:tc>
          <w:tcPr>
            <w:tcW w:type="dxa" w:w="1800"/>
            <w:vAlign w:val="center"/>
            <w:tcMar>
              <w:top w:w="60" w:type="dxa"/>
              <w:start w:w="70" w:type="dxa"/>
              <w:bottom w:w="60" w:type="dxa"/>
              <w:end w:w="70" w:type="dxa"/>
            </w:tcMar>
            <w:shd w:fill="F5F7F9"/>
          </w:tcPr>
          <w:p>
            <w:pPr>
              <w:spacing w:after="0" w:line="240" w:lineRule="auto"/>
            </w:pPr>
            <w:r/>
            <w:r>
              <w:rPr>
                <w:rFonts w:ascii="Arial" w:hAnsi="Arial"/>
                <w:b w:val="0"/>
                <w:sz w:val="16"/>
              </w:rPr>
              <w:t>Evidence layer</w:t>
            </w:r>
          </w:p>
        </w:tc>
        <w:tc>
          <w:tcPr>
            <w:tcW w:type="dxa" w:w="6192"/>
            <w:vAlign w:val="center"/>
            <w:tcMar>
              <w:top w:w="60" w:type="dxa"/>
              <w:start w:w="70" w:type="dxa"/>
              <w:bottom w:w="60" w:type="dxa"/>
              <w:end w:w="70" w:type="dxa"/>
            </w:tcMar>
            <w:shd w:fill="F5F7F9"/>
          </w:tcPr>
          <w:p>
            <w:pPr>
              <w:spacing w:after="0" w:line="240" w:lineRule="auto"/>
            </w:pPr>
            <w:r/>
            <w:r>
              <w:rPr>
                <w:rFonts w:ascii="Arial" w:hAnsi="Arial"/>
                <w:b w:val="0"/>
                <w:sz w:val="16"/>
              </w:rPr>
              <w:t>Rule ID, source ID, canonical URL, status, checked date, effective date, required documents and next action</w:t>
            </w:r>
          </w:p>
        </w:tc>
        <w:tc>
          <w:tcPr>
            <w:tcW w:type="dxa" w:w="2088"/>
            <w:vAlign w:val="center"/>
            <w:tcMar>
              <w:top w:w="60" w:type="dxa"/>
              <w:start w:w="70" w:type="dxa"/>
              <w:bottom w:w="60" w:type="dxa"/>
              <w:end w:w="70" w:type="dxa"/>
            </w:tcMar>
            <w:shd w:fill="F5F7F9"/>
          </w:tcPr>
          <w:p>
            <w:pPr>
              <w:spacing w:after="0" w:line="240" w:lineRule="auto"/>
            </w:pPr>
            <w:r/>
            <w:r>
              <w:rPr>
                <w:rFonts w:ascii="Arial" w:hAnsi="Arial"/>
                <w:b w:val="0"/>
                <w:sz w:val="16"/>
              </w:rPr>
              <w:t>All P0 rules</w:t>
            </w:r>
          </w:p>
        </w:tc>
      </w:tr>
    </w:tbl>
    <w:p>
      <w:pPr>
        <w:spacing w:after="0"/>
      </w:pPr>
    </w:p>
    <w:p>
      <w:pPr>
        <w:pStyle w:val="Heading2"/>
      </w:pPr>
      <w:r>
        <w:t>Four day build sequence</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92"/>
            <w:vAlign w:val="center"/>
            <w:tcMar>
              <w:top w:w="60" w:type="dxa"/>
              <w:start w:w="70" w:type="dxa"/>
              <w:bottom w:w="60" w:type="dxa"/>
              <w:end w:w="70" w:type="dxa"/>
            </w:tcMar>
            <w:shd w:fill="17324D"/>
          </w:tcPr>
          <w:p>
            <w:pPr>
              <w:spacing w:after="0" w:line="240" w:lineRule="auto"/>
            </w:pPr>
            <w:r/>
            <w:r>
              <w:rPr>
                <w:rFonts w:ascii="Arial" w:hAnsi="Arial"/>
                <w:b/>
                <w:color w:val="FFFFFF"/>
                <w:sz w:val="16"/>
              </w:rPr>
              <w:t>Day</w:t>
            </w:r>
          </w:p>
        </w:tc>
        <w:tc>
          <w:tcPr>
            <w:tcW w:type="dxa" w:w="6120"/>
            <w:vAlign w:val="center"/>
            <w:tcMar>
              <w:top w:w="60" w:type="dxa"/>
              <w:start w:w="70" w:type="dxa"/>
              <w:bottom w:w="60" w:type="dxa"/>
              <w:end w:w="70" w:type="dxa"/>
            </w:tcMar>
            <w:shd w:fill="17324D"/>
          </w:tcPr>
          <w:p>
            <w:pPr>
              <w:spacing w:after="0" w:line="240" w:lineRule="auto"/>
            </w:pPr>
            <w:r/>
            <w:r>
              <w:rPr>
                <w:rFonts w:ascii="Arial" w:hAnsi="Arial"/>
                <w:b/>
                <w:color w:val="FFFFFF"/>
                <w:sz w:val="16"/>
              </w:rPr>
              <w:t>Research deliverable to operationalize</w:t>
            </w:r>
          </w:p>
        </w:tc>
        <w:tc>
          <w:tcPr>
            <w:tcW w:type="dxa" w:w="3168"/>
            <w:vAlign w:val="center"/>
            <w:tcMar>
              <w:top w:w="60" w:type="dxa"/>
              <w:start w:w="70" w:type="dxa"/>
              <w:bottom w:w="60" w:type="dxa"/>
              <w:end w:w="70" w:type="dxa"/>
            </w:tcMar>
            <w:shd w:fill="17324D"/>
          </w:tcPr>
          <w:p>
            <w:pPr>
              <w:spacing w:after="0" w:line="240" w:lineRule="auto"/>
            </w:pPr>
            <w:r/>
            <w:r>
              <w:rPr>
                <w:rFonts w:ascii="Arial" w:hAnsi="Arial"/>
                <w:b/>
                <w:color w:val="FFFFFF"/>
                <w:sz w:val="16"/>
              </w:rPr>
              <w:t>Acceptance check</w:t>
            </w:r>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6"/>
              </w:rPr>
              <w:t>1</w:t>
            </w:r>
          </w:p>
        </w:tc>
        <w:tc>
          <w:tcPr>
            <w:tcW w:type="dxa" w:w="6120"/>
            <w:vAlign w:val="center"/>
            <w:tcMar>
              <w:top w:w="60" w:type="dxa"/>
              <w:start w:w="70" w:type="dxa"/>
              <w:bottom w:w="60" w:type="dxa"/>
              <w:end w:w="70" w:type="dxa"/>
            </w:tcMar>
          </w:tcPr>
          <w:p>
            <w:pPr>
              <w:spacing w:after="0" w:line="240" w:lineRule="auto"/>
            </w:pPr>
            <w:r/>
            <w:r>
              <w:rPr>
                <w:rFonts w:ascii="Arial" w:hAnsi="Arial"/>
                <w:b w:val="0"/>
                <w:sz w:val="16"/>
              </w:rPr>
              <w:t>Schema, status semantics, dual-category routing, source registry</w:t>
            </w:r>
          </w:p>
        </w:tc>
        <w:tc>
          <w:tcPr>
            <w:tcW w:type="dxa" w:w="3168"/>
            <w:vAlign w:val="center"/>
            <w:tcMar>
              <w:top w:w="60" w:type="dxa"/>
              <w:start w:w="70" w:type="dxa"/>
              <w:bottom w:w="60" w:type="dxa"/>
              <w:end w:w="70" w:type="dxa"/>
            </w:tcMar>
          </w:tcPr>
          <w:p>
            <w:pPr>
              <w:spacing w:after="0" w:line="240" w:lineRule="auto"/>
            </w:pPr>
            <w:r/>
            <w:r>
              <w:rPr>
                <w:rFonts w:ascii="Arial" w:hAnsi="Arial"/>
                <w:b w:val="0"/>
                <w:sz w:val="16"/>
              </w:rPr>
              <w:t>Every output has rule ID, source ID, jurisdiction, and status</w:t>
            </w:r>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6"/>
              </w:rPr>
              <w:t>2</w:t>
            </w:r>
          </w:p>
        </w:tc>
        <w:tc>
          <w:tcPr>
            <w:tcW w:type="dxa" w:w="6120"/>
            <w:vAlign w:val="center"/>
            <w:tcMar>
              <w:top w:w="60" w:type="dxa"/>
              <w:start w:w="70" w:type="dxa"/>
              <w:bottom w:w="60" w:type="dxa"/>
              <w:end w:w="70" w:type="dxa"/>
            </w:tcMar>
            <w:shd w:fill="F5F7F9"/>
          </w:tcPr>
          <w:p>
            <w:pPr>
              <w:spacing w:after="0" w:line="240" w:lineRule="auto"/>
            </w:pPr>
            <w:r/>
            <w:r>
              <w:rPr>
                <w:rFonts w:ascii="Arial" w:hAnsi="Arial"/>
                <w:b w:val="0"/>
                <w:sz w:val="16"/>
              </w:rPr>
              <w:t>Toy P0 trigger cards and evidence tasks</w:t>
            </w:r>
          </w:p>
        </w:tc>
        <w:tc>
          <w:tcPr>
            <w:tcW w:type="dxa" w:w="3168"/>
            <w:vAlign w:val="center"/>
            <w:tcMar>
              <w:top w:w="60" w:type="dxa"/>
              <w:start w:w="70" w:type="dxa"/>
              <w:bottom w:w="60" w:type="dxa"/>
              <w:end w:w="70" w:type="dxa"/>
            </w:tcMar>
            <w:shd w:fill="F5F7F9"/>
          </w:tcPr>
          <w:p>
            <w:pPr>
              <w:spacing w:after="0" w:line="240" w:lineRule="auto"/>
            </w:pPr>
            <w:r/>
            <w:r>
              <w:rPr>
                <w:rFonts w:ascii="Arial" w:hAnsi="Arial"/>
                <w:b w:val="0"/>
                <w:sz w:val="16"/>
              </w:rPr>
              <w:t>No universal F963 bundle; bans differ from warnings</w:t>
            </w:r>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6"/>
              </w:rPr>
              <w:t>3</w:t>
            </w:r>
          </w:p>
        </w:tc>
        <w:tc>
          <w:tcPr>
            <w:tcW w:type="dxa" w:w="6120"/>
            <w:vAlign w:val="center"/>
            <w:tcMar>
              <w:top w:w="60" w:type="dxa"/>
              <w:start w:w="70" w:type="dxa"/>
              <w:bottom w:w="60" w:type="dxa"/>
              <w:end w:w="70" w:type="dxa"/>
            </w:tcMar>
          </w:tcPr>
          <w:p>
            <w:pPr>
              <w:spacing w:after="0" w:line="240" w:lineRule="auto"/>
            </w:pPr>
            <w:r/>
            <w:r>
              <w:rPr>
                <w:rFonts w:ascii="Arial" w:hAnsi="Arial"/>
                <w:b w:val="0"/>
                <w:sz w:val="16"/>
              </w:rPr>
              <w:t>Electronics, battery, charger, and platform P0 trigger cards</w:t>
            </w:r>
          </w:p>
        </w:tc>
        <w:tc>
          <w:tcPr>
            <w:tcW w:type="dxa" w:w="3168"/>
            <w:vAlign w:val="center"/>
            <w:tcMar>
              <w:top w:w="60" w:type="dxa"/>
              <w:start w:w="70" w:type="dxa"/>
              <w:bottom w:w="60" w:type="dxa"/>
              <w:end w:w="70" w:type="dxa"/>
            </w:tcMar>
          </w:tcPr>
          <w:p>
            <w:pPr>
              <w:spacing w:after="0" w:line="240" w:lineRule="auto"/>
            </w:pPr>
            <w:r/>
            <w:r>
              <w:rPr>
                <w:rFonts w:ascii="Arial" w:hAnsi="Arial"/>
                <w:b w:val="0"/>
                <w:sz w:val="16"/>
              </w:rPr>
              <w:t>FCC, transport, product safety, DOE, and platform outputs remain separate</w:t>
            </w:r>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6"/>
              </w:rPr>
              <w:t>4</w:t>
            </w:r>
          </w:p>
        </w:tc>
        <w:tc>
          <w:tcPr>
            <w:tcW w:type="dxa" w:w="6120"/>
            <w:vAlign w:val="center"/>
            <w:tcMar>
              <w:top w:w="60" w:type="dxa"/>
              <w:start w:w="70" w:type="dxa"/>
              <w:bottom w:w="60" w:type="dxa"/>
              <w:end w:w="70" w:type="dxa"/>
            </w:tcMar>
            <w:shd w:fill="F5F7F9"/>
          </w:tcPr>
          <w:p>
            <w:pPr>
              <w:spacing w:after="0" w:line="240" w:lineRule="auto"/>
            </w:pPr>
            <w:r/>
            <w:r>
              <w:rPr>
                <w:rFonts w:ascii="Arial" w:hAnsi="Arial"/>
                <w:b w:val="0"/>
                <w:sz w:val="16"/>
              </w:rPr>
              <w:t>Review queues, cost placeholders, source recheck workflow, demo cases</w:t>
            </w:r>
          </w:p>
        </w:tc>
        <w:tc>
          <w:tcPr>
            <w:tcW w:type="dxa" w:w="3168"/>
            <w:vAlign w:val="center"/>
            <w:tcMar>
              <w:top w:w="60" w:type="dxa"/>
              <w:start w:w="70" w:type="dxa"/>
              <w:bottom w:w="60" w:type="dxa"/>
              <w:end w:w="70" w:type="dxa"/>
            </w:tcMar>
            <w:shd w:fill="F5F7F9"/>
          </w:tcPr>
          <w:p>
            <w:pPr>
              <w:spacing w:after="0" w:line="240" w:lineRule="auto"/>
            </w:pPr>
            <w:r/>
            <w:r>
              <w:rPr>
                <w:rFonts w:ascii="Arial" w:hAnsi="Arial"/>
                <w:b w:val="0"/>
                <w:sz w:val="16"/>
              </w:rPr>
              <w:t>Unknown facts never render as compliant; wooden blocks and earphones are examples only</w:t>
            </w:r>
          </w:p>
        </w:tc>
      </w:tr>
    </w:tbl>
    <w:p>
      <w:pPr>
        <w:spacing w:after="0"/>
      </w:pPr>
    </w:p>
    <w:p>
      <w:pPr>
        <w:pStyle w:val="Heading2"/>
      </w:pPr>
      <w:r>
        <w:t>Deferred escalation paths</w:t>
      </w:r>
    </w:p>
    <w:p>
      <w:pPr>
        <w:pStyle w:val="ListBullet"/>
        <w:spacing w:after="40"/>
      </w:pPr>
      <w:r>
        <w:t>Water-bead and neck-float specialty rules, while retaining their sources and hard escalation triggers.</w:t>
      </w:r>
    </w:p>
    <w:p>
      <w:pPr>
        <w:pStyle w:val="ListBullet"/>
        <w:spacing w:after="40"/>
      </w:pPr>
      <w:r>
        <w:t>Continuous-production periodic testing plans and detailed component-part certificate validation.</w:t>
      </w:r>
    </w:p>
    <w:p>
      <w:pPr>
        <w:pStyle w:val="ListBullet"/>
        <w:spacing w:after="40"/>
      </w:pPr>
      <w:r>
        <w:t>Detailed RF coexistence, permissive changes, licensed radio services, and Covered List supply-chain depth.</w:t>
      </w:r>
    </w:p>
    <w:p>
      <w:pPr>
        <w:pStyle w:val="ListBullet"/>
        <w:spacing w:after="40"/>
      </w:pPr>
      <w:r>
        <w:t>Fifty-state chemical, children's-product, battery EPR, privacy, and connected-device law survey.</w:t>
      </w:r>
    </w:p>
    <w:p>
      <w:pPr>
        <w:pStyle w:val="ListBullet"/>
        <w:spacing w:after="40"/>
      </w:pPr>
      <w:r>
        <w:t>Carrier-, mode-, route-, and quantity-specific lithium shipping instructions.</w:t>
      </w:r>
    </w:p>
    <w:p>
      <w:pPr>
        <w:pStyle w:val="ListBullet"/>
        <w:spacing w:after="40"/>
      </w:pPr>
      <w:r>
        <w:t>FCC's August 2026 proposed HBOM/SBOM, SDoC registration, and US liable-party changes until finalized.</w:t>
      </w:r>
    </w:p>
    <w:tbl>
      <w:tblPr>
        <w:tblW w:type="auto" w:w="0"/>
        <w:jc w:val="center"/>
        <w:tblLook w:firstColumn="1" w:firstRow="1" w:lastColumn="0" w:lastRow="0" w:noHBand="0" w:noVBand="1" w:val="04A0"/>
      </w:tblPr>
      <w:tblGrid>
        <w:gridCol w:w="10224"/>
      </w:tblGrid>
      <w:tr>
        <w:tc>
          <w:tcPr>
            <w:tcW w:type="dxa" w:w="10224"/>
            <w:shd w:fill="FFF4D6"/>
            <w:tcMar>
              <w:top w:w="120" w:type="dxa"/>
              <w:start w:w="140" w:type="dxa"/>
              <w:bottom w:w="120" w:type="dxa"/>
              <w:end w:w="140" w:type="dxa"/>
            </w:tcMar>
          </w:tcPr>
          <w:p>
            <w:pPr>
              <w:spacing w:after="60"/>
            </w:pPr>
            <w:r>
              <w:rPr>
                <w:rFonts w:ascii="Arial" w:hAnsi="Arial"/>
                <w:b/>
                <w:color w:val="17324D"/>
                <w:sz w:val="20"/>
              </w:rPr>
              <w:t>Release criterion</w:t>
            </w:r>
          </w:p>
          <w:p>
            <w:pPr>
              <w:spacing w:after="0" w:line="252" w:lineRule="auto"/>
            </w:pPr>
            <w:r>
              <w:rPr>
                <w:rFonts w:ascii="Arial" w:hAnsi="Arial"/>
                <w:sz w:val="18"/>
              </w:rPr>
              <w:t>A result may be called VERIFIED only when the product facts satisfy the recorded trigger and the cited source supports the stated obligation. Missing facts produce UNVERIFIED. Overlapping regimes produce cumulative tasks or CONFLICT, not silent precedence.</w:t>
            </w:r>
          </w:p>
        </w:tc>
      </w:tr>
    </w:tbl>
    <w:p>
      <w:pPr>
        <w:spacing w:after="0"/>
      </w:pPr>
    </w:p>
    <w:p>
      <w:r>
        <w:br w:type="page"/>
      </w:r>
    </w:p>
    <w:p>
      <w:pPr>
        <w:pStyle w:val="Heading1"/>
      </w:pPr>
      <w:r>
        <w:t>Source registry</w:t>
      </w:r>
    </w:p>
    <w:p>
      <w:r>
        <w:t>The workbook contains the full registry with topics, dates, evidence, and verification status. This appendix preserves every canonical URL used by the research set.</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792"/>
            <w:vAlign w:val="center"/>
            <w:tcMar>
              <w:top w:w="60" w:type="dxa"/>
              <w:start w:w="70" w:type="dxa"/>
              <w:bottom w:w="60" w:type="dxa"/>
              <w:end w:w="70" w:type="dxa"/>
            </w:tcMar>
            <w:shd w:fill="17324D"/>
          </w:tcPr>
          <w:p>
            <w:pPr>
              <w:spacing w:after="0" w:line="240" w:lineRule="auto"/>
            </w:pPr>
            <w:r/>
            <w:r>
              <w:rPr>
                <w:rFonts w:ascii="Arial" w:hAnsi="Arial"/>
                <w:b/>
                <w:color w:val="FFFFFF"/>
                <w:sz w:val="12"/>
              </w:rPr>
              <w:t>ID</w:t>
            </w:r>
          </w:p>
        </w:tc>
        <w:tc>
          <w:tcPr>
            <w:tcW w:type="dxa" w:w="3384"/>
            <w:vAlign w:val="center"/>
            <w:tcMar>
              <w:top w:w="60" w:type="dxa"/>
              <w:start w:w="70" w:type="dxa"/>
              <w:bottom w:w="60" w:type="dxa"/>
              <w:end w:w="70" w:type="dxa"/>
            </w:tcMar>
            <w:shd w:fill="17324D"/>
          </w:tcPr>
          <w:p>
            <w:pPr>
              <w:spacing w:after="0" w:line="240" w:lineRule="auto"/>
            </w:pPr>
            <w:r/>
            <w:r>
              <w:rPr>
                <w:rFonts w:ascii="Arial" w:hAnsi="Arial"/>
                <w:b/>
                <w:color w:val="FFFFFF"/>
                <w:sz w:val="12"/>
              </w:rPr>
              <w:t>Authority and title</w:t>
            </w:r>
          </w:p>
        </w:tc>
        <w:tc>
          <w:tcPr>
            <w:tcW w:type="dxa" w:w="2232"/>
            <w:vAlign w:val="center"/>
            <w:tcMar>
              <w:top w:w="60" w:type="dxa"/>
              <w:start w:w="70" w:type="dxa"/>
              <w:bottom w:w="60" w:type="dxa"/>
              <w:end w:w="70" w:type="dxa"/>
            </w:tcMar>
            <w:shd w:fill="17324D"/>
          </w:tcPr>
          <w:p>
            <w:pPr>
              <w:spacing w:after="0" w:line="240" w:lineRule="auto"/>
            </w:pPr>
            <w:r/>
            <w:r>
              <w:rPr>
                <w:rFonts w:ascii="Arial" w:hAnsi="Arial"/>
                <w:b/>
                <w:color w:val="FFFFFF"/>
                <w:sz w:val="12"/>
              </w:rPr>
              <w:t>Type jurisdiction status</w:t>
            </w:r>
          </w:p>
        </w:tc>
        <w:tc>
          <w:tcPr>
            <w:tcW w:type="dxa" w:w="3672"/>
            <w:vAlign w:val="center"/>
            <w:tcMar>
              <w:top w:w="60" w:type="dxa"/>
              <w:start w:w="70" w:type="dxa"/>
              <w:bottom w:w="60" w:type="dxa"/>
              <w:end w:w="70" w:type="dxa"/>
            </w:tcMar>
            <w:shd w:fill="17324D"/>
          </w:tcPr>
          <w:p>
            <w:pPr>
              <w:spacing w:after="0" w:line="240" w:lineRule="auto"/>
            </w:pPr>
            <w:r/>
            <w:r>
              <w:rPr>
                <w:rFonts w:ascii="Arial" w:hAnsi="Arial"/>
                <w:b/>
                <w:color w:val="FFFFFF"/>
                <w:sz w:val="12"/>
              </w:rPr>
              <w:t>Canonical URL</w:t>
            </w:r>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S001</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U.S. Consumer Product Safety Commission</w:t>
              <w:br/>
              <w:t>Toy Safety Business Guidance</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Government guidance</w:t>
              <w:br/>
              <w:t>USA federal</w:t>
              <w:br/>
              <w:t>VERIFIED</w:t>
            </w:r>
          </w:p>
        </w:tc>
        <w:tc>
          <w:tcPr>
            <w:tcW w:type="dxa" w:w="3672"/>
            <w:vAlign w:val="center"/>
            <w:tcMar>
              <w:top w:w="60" w:type="dxa"/>
              <w:start w:w="70" w:type="dxa"/>
              <w:bottom w:w="60" w:type="dxa"/>
              <w:end w:w="70" w:type="dxa"/>
            </w:tcMar>
          </w:tcPr>
          <w:p>
            <w:pPr>
              <w:spacing w:after="0"/>
            </w:pPr>
            <w:r>
              <w:rPr>
                <w:sz w:val="12"/>
              </w:rPr>
            </w:r>
            <w:hyperlink r:id="rId11">
              <w:r>
                <w:rPr>
                  <w:color w:val="2F6B9A"/>
                  <w:u w:val="single"/>
                </w:rPr>
                <w:t>https://www.cpsc.gov/Business--Manufacturing/Business-Education/Toy-Safety</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S002</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Electronic Code of Federal Regulations</w:t>
              <w:br/>
              <w:t>16 CFR Part 1250 Safety Standard Mandating ASTM F963 for Toys</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Regulation</w:t>
              <w:br/>
              <w:t>USA federal</w:t>
              <w:br/>
              <w:t>VERIFIED</w:t>
            </w:r>
          </w:p>
        </w:tc>
        <w:tc>
          <w:tcPr>
            <w:tcW w:type="dxa" w:w="3672"/>
            <w:vAlign w:val="center"/>
            <w:tcMar>
              <w:top w:w="60" w:type="dxa"/>
              <w:start w:w="70" w:type="dxa"/>
              <w:bottom w:w="60" w:type="dxa"/>
              <w:end w:w="70" w:type="dxa"/>
            </w:tcMar>
            <w:shd w:fill="F5F7F9"/>
          </w:tcPr>
          <w:p>
            <w:pPr>
              <w:spacing w:after="0"/>
            </w:pPr>
            <w:r>
              <w:rPr>
                <w:sz w:val="12"/>
              </w:rPr>
            </w:r>
            <w:hyperlink r:id="rId12">
              <w:r>
                <w:rPr>
                  <w:color w:val="2F6B9A"/>
                  <w:u w:val="single"/>
                </w:rPr>
                <w:t>https://www.ecfr.gov/current/title-16/chapter-II/subchapter-B/part-1250</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S003</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U.S. Consumer Product Safety Commission</w:t>
              <w:br/>
              <w:t>ASTM F963 Mandatory Third Party Testing Chart</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Government guidance</w:t>
              <w:br/>
              <w:t>USA federal</w:t>
              <w:br/>
              <w:t>VERIFIED</w:t>
            </w:r>
          </w:p>
        </w:tc>
        <w:tc>
          <w:tcPr>
            <w:tcW w:type="dxa" w:w="3672"/>
            <w:vAlign w:val="center"/>
            <w:tcMar>
              <w:top w:w="60" w:type="dxa"/>
              <w:start w:w="70" w:type="dxa"/>
              <w:bottom w:w="60" w:type="dxa"/>
              <w:end w:w="70" w:type="dxa"/>
            </w:tcMar>
          </w:tcPr>
          <w:p>
            <w:pPr>
              <w:spacing w:after="0"/>
            </w:pPr>
            <w:r>
              <w:rPr>
                <w:sz w:val="12"/>
              </w:rPr>
            </w:r>
            <w:hyperlink r:id="rId13">
              <w:r>
                <w:rPr>
                  <w:color w:val="2F6B9A"/>
                  <w:u w:val="single"/>
                </w:rPr>
                <w:t>https://www.cpsc.gov/Business--Manufacturing/Business-Education/Toy-Safety/ASTM-F-963-Chart</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S004</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U.S. Consumer Product Safety Commission</w:t>
              <w:br/>
              <w:t>Children's Product Certificate</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Government guidance</w:t>
              <w:br/>
              <w:t>USA federal</w:t>
              <w:br/>
              <w:t>VERIFIED</w:t>
            </w:r>
          </w:p>
        </w:tc>
        <w:tc>
          <w:tcPr>
            <w:tcW w:type="dxa" w:w="3672"/>
            <w:vAlign w:val="center"/>
            <w:tcMar>
              <w:top w:w="60" w:type="dxa"/>
              <w:start w:w="70" w:type="dxa"/>
              <w:bottom w:w="60" w:type="dxa"/>
              <w:end w:w="70" w:type="dxa"/>
            </w:tcMar>
            <w:shd w:fill="F5F7F9"/>
          </w:tcPr>
          <w:p>
            <w:pPr>
              <w:spacing w:after="0"/>
            </w:pPr>
            <w:r>
              <w:rPr>
                <w:sz w:val="12"/>
              </w:rPr>
            </w:r>
            <w:hyperlink r:id="rId14">
              <w:r>
                <w:rPr>
                  <w:color w:val="2F6B9A"/>
                  <w:u w:val="single"/>
                </w:rPr>
                <w:t>https://www.cpsc.gov/Business--Manufacturing/Testing-Certification/Childrens-Product-Certificate</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S005</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Electronic Code of Federal Regulations</w:t>
              <w:br/>
              <w:t>16 CFR 1112.15 Rules and Test Methods Eligible for CPSC Acceptance</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Regulation</w:t>
              <w:br/>
              <w:t>USA federal</w:t>
              <w:br/>
              <w:t>VERIFIED</w:t>
            </w:r>
          </w:p>
        </w:tc>
        <w:tc>
          <w:tcPr>
            <w:tcW w:type="dxa" w:w="3672"/>
            <w:vAlign w:val="center"/>
            <w:tcMar>
              <w:top w:w="60" w:type="dxa"/>
              <w:start w:w="70" w:type="dxa"/>
              <w:bottom w:w="60" w:type="dxa"/>
              <w:end w:w="70" w:type="dxa"/>
            </w:tcMar>
          </w:tcPr>
          <w:p>
            <w:pPr>
              <w:spacing w:after="0"/>
            </w:pPr>
            <w:r>
              <w:rPr>
                <w:sz w:val="12"/>
              </w:rPr>
            </w:r>
            <w:hyperlink r:id="rId15">
              <w:r>
                <w:rPr>
                  <w:color w:val="2F6B9A"/>
                  <w:u w:val="single"/>
                </w:rPr>
                <w:t>https://www.ecfr.gov/current/title-16/chapter-II/subchapter-B/part-1112/subpart-B/section-1112.15</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S006</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U.S. Consumer Product Safety Commission</w:t>
              <w:br/>
              <w:t>Children's Products</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Government guidance</w:t>
              <w:br/>
              <w:t>USA federal</w:t>
              <w:br/>
              <w:t>VERIFIED</w:t>
            </w:r>
          </w:p>
        </w:tc>
        <w:tc>
          <w:tcPr>
            <w:tcW w:type="dxa" w:w="3672"/>
            <w:vAlign w:val="center"/>
            <w:tcMar>
              <w:top w:w="60" w:type="dxa"/>
              <w:start w:w="70" w:type="dxa"/>
              <w:bottom w:w="60" w:type="dxa"/>
              <w:end w:w="70" w:type="dxa"/>
            </w:tcMar>
            <w:shd w:fill="F5F7F9"/>
          </w:tcPr>
          <w:p>
            <w:pPr>
              <w:spacing w:after="0"/>
            </w:pPr>
            <w:r>
              <w:rPr>
                <w:sz w:val="12"/>
              </w:rPr>
            </w:r>
            <w:hyperlink r:id="rId16">
              <w:r>
                <w:rPr>
                  <w:color w:val="2F6B9A"/>
                  <w:u w:val="single"/>
                </w:rPr>
                <w:t>https://www.cpsc.gov/Business--Manufacturing/Business-Education/Childrens-Products</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S007</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U.S. Consumer Product Safety Commission</w:t>
              <w:br/>
              <w:t>Total Lead Content Business Guidance</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Government guidance</w:t>
              <w:br/>
              <w:t>USA federal</w:t>
              <w:br/>
              <w:t>VERIFIED</w:t>
            </w:r>
          </w:p>
        </w:tc>
        <w:tc>
          <w:tcPr>
            <w:tcW w:type="dxa" w:w="3672"/>
            <w:vAlign w:val="center"/>
            <w:tcMar>
              <w:top w:w="60" w:type="dxa"/>
              <w:start w:w="70" w:type="dxa"/>
              <w:bottom w:w="60" w:type="dxa"/>
              <w:end w:w="70" w:type="dxa"/>
            </w:tcMar>
          </w:tcPr>
          <w:p>
            <w:pPr>
              <w:spacing w:after="0"/>
            </w:pPr>
            <w:r>
              <w:rPr>
                <w:sz w:val="12"/>
              </w:rPr>
            </w:r>
            <w:hyperlink r:id="rId17">
              <w:r>
                <w:rPr>
                  <w:color w:val="2F6B9A"/>
                  <w:u w:val="single"/>
                </w:rPr>
                <w:t>https://www.cpsc.gov/Business--Manufacturing/Business-Education/Lead/Total-Lead-Content</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S008</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U.S. Consumer Product Safety Commission</w:t>
              <w:br/>
              <w:t>Lead in Paint Business Guidance</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Government guidance</w:t>
              <w:br/>
              <w:t>USA federal</w:t>
              <w:br/>
              <w:t>VERIFIED</w:t>
            </w:r>
          </w:p>
        </w:tc>
        <w:tc>
          <w:tcPr>
            <w:tcW w:type="dxa" w:w="3672"/>
            <w:vAlign w:val="center"/>
            <w:tcMar>
              <w:top w:w="60" w:type="dxa"/>
              <w:start w:w="70" w:type="dxa"/>
              <w:bottom w:w="60" w:type="dxa"/>
              <w:end w:w="70" w:type="dxa"/>
            </w:tcMar>
            <w:shd w:fill="F5F7F9"/>
          </w:tcPr>
          <w:p>
            <w:pPr>
              <w:spacing w:after="0"/>
            </w:pPr>
            <w:r>
              <w:rPr>
                <w:sz w:val="12"/>
              </w:rPr>
            </w:r>
            <w:hyperlink r:id="rId18">
              <w:r>
                <w:rPr>
                  <w:color w:val="2F6B9A"/>
                  <w:u w:val="single"/>
                </w:rPr>
                <w:t>https://www.cpsc.gov/Business--Manufacturing/Business-Education/Lead/Lead-in-Paint</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S009</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U.S. Consumer Product Safety Commission</w:t>
              <w:br/>
              <w:t>Phthalates Business Guidance</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Government guidance</w:t>
              <w:br/>
              <w:t>USA federal</w:t>
              <w:br/>
              <w:t>VERIFIED</w:t>
            </w:r>
          </w:p>
        </w:tc>
        <w:tc>
          <w:tcPr>
            <w:tcW w:type="dxa" w:w="3672"/>
            <w:vAlign w:val="center"/>
            <w:tcMar>
              <w:top w:w="60" w:type="dxa"/>
              <w:start w:w="70" w:type="dxa"/>
              <w:bottom w:w="60" w:type="dxa"/>
              <w:end w:w="70" w:type="dxa"/>
            </w:tcMar>
          </w:tcPr>
          <w:p>
            <w:pPr>
              <w:spacing w:after="0"/>
            </w:pPr>
            <w:r>
              <w:rPr>
                <w:sz w:val="12"/>
              </w:rPr>
            </w:r>
            <w:hyperlink r:id="rId19">
              <w:r>
                <w:rPr>
                  <w:color w:val="2F6B9A"/>
                  <w:u w:val="single"/>
                </w:rPr>
                <w:t>https://www.cpsc.gov/Business--Manufacturing/Business-Education/Business-Guidance/Phthalates</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S010</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U.S. Consumer Product Safety Commission</w:t>
              <w:br/>
              <w:t>Small Parts for Toys and Children's Products</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Government guidance</w:t>
              <w:br/>
              <w:t>USA federal</w:t>
              <w:br/>
              <w:t>VERIFIED</w:t>
            </w:r>
          </w:p>
        </w:tc>
        <w:tc>
          <w:tcPr>
            <w:tcW w:type="dxa" w:w="3672"/>
            <w:vAlign w:val="center"/>
            <w:tcMar>
              <w:top w:w="60" w:type="dxa"/>
              <w:start w:w="70" w:type="dxa"/>
              <w:bottom w:w="60" w:type="dxa"/>
              <w:end w:w="70" w:type="dxa"/>
            </w:tcMar>
            <w:shd w:fill="F5F7F9"/>
          </w:tcPr>
          <w:p>
            <w:pPr>
              <w:spacing w:after="0"/>
            </w:pPr>
            <w:r>
              <w:rPr>
                <w:sz w:val="12"/>
              </w:rPr>
            </w:r>
            <w:hyperlink r:id="rId20">
              <w:r>
                <w:rPr>
                  <w:color w:val="2F6B9A"/>
                  <w:u w:val="single"/>
                </w:rPr>
                <w:t>https://www.cpsc.gov/Business--Manufacturing/Business-Education/Business-Guidance/Small-Parts-for-Toys-and-Childrens-Products</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S011</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U.S. Consumer Product Safety Commission</w:t>
              <w:br/>
              <w:t>Tracking Label Requirement for Children's Products</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Government guidance</w:t>
              <w:br/>
              <w:t>USA federal</w:t>
              <w:br/>
              <w:t>VERIFIED</w:t>
            </w:r>
          </w:p>
        </w:tc>
        <w:tc>
          <w:tcPr>
            <w:tcW w:type="dxa" w:w="3672"/>
            <w:vAlign w:val="center"/>
            <w:tcMar>
              <w:top w:w="60" w:type="dxa"/>
              <w:start w:w="70" w:type="dxa"/>
              <w:bottom w:w="60" w:type="dxa"/>
              <w:end w:w="70" w:type="dxa"/>
            </w:tcMar>
          </w:tcPr>
          <w:p>
            <w:pPr>
              <w:spacing w:after="0"/>
            </w:pPr>
            <w:r>
              <w:rPr>
                <w:sz w:val="12"/>
              </w:rPr>
            </w:r>
            <w:hyperlink r:id="rId21">
              <w:r>
                <w:rPr>
                  <w:color w:val="2F6B9A"/>
                  <w:u w:val="single"/>
                </w:rPr>
                <w:t>https://www.cpsc.gov/Business--Manufacturing/Business-Education/tracking-label</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S012</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Electronic Code of Federal Regulations</w:t>
              <w:br/>
              <w:t>16 CFR Part 1505 Electrically Operated Toys</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Regulation</w:t>
              <w:br/>
              <w:t>USA federal</w:t>
              <w:br/>
              <w:t>VERIFIED</w:t>
            </w:r>
          </w:p>
        </w:tc>
        <w:tc>
          <w:tcPr>
            <w:tcW w:type="dxa" w:w="3672"/>
            <w:vAlign w:val="center"/>
            <w:tcMar>
              <w:top w:w="60" w:type="dxa"/>
              <w:start w:w="70" w:type="dxa"/>
              <w:bottom w:w="60" w:type="dxa"/>
              <w:end w:w="70" w:type="dxa"/>
            </w:tcMar>
            <w:shd w:fill="F5F7F9"/>
          </w:tcPr>
          <w:p>
            <w:pPr>
              <w:spacing w:after="0"/>
            </w:pPr>
            <w:r>
              <w:rPr>
                <w:sz w:val="12"/>
              </w:rPr>
            </w:r>
            <w:hyperlink r:id="rId22">
              <w:r>
                <w:rPr>
                  <w:color w:val="2F6B9A"/>
                  <w:u w:val="single"/>
                </w:rPr>
                <w:t>https://www.ecfr.gov/current/title-16/chapter-II/subchapter-C/part-1505</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S013</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U.S. Consumer Product Safety Commission</w:t>
              <w:br/>
              <w:t>Button Cell and Coin Battery Business Guidance</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Government guidance</w:t>
              <w:br/>
              <w:t>USA federal</w:t>
              <w:br/>
              <w:t>VERIFIED</w:t>
            </w:r>
          </w:p>
        </w:tc>
        <w:tc>
          <w:tcPr>
            <w:tcW w:type="dxa" w:w="3672"/>
            <w:vAlign w:val="center"/>
            <w:tcMar>
              <w:top w:w="60" w:type="dxa"/>
              <w:start w:w="70" w:type="dxa"/>
              <w:bottom w:w="60" w:type="dxa"/>
              <w:end w:w="70" w:type="dxa"/>
            </w:tcMar>
          </w:tcPr>
          <w:p>
            <w:pPr>
              <w:spacing w:after="0"/>
            </w:pPr>
            <w:r>
              <w:rPr>
                <w:sz w:val="12"/>
              </w:rPr>
            </w:r>
            <w:hyperlink r:id="rId23">
              <w:r>
                <w:rPr>
                  <w:color w:val="2F6B9A"/>
                  <w:u w:val="single"/>
                </w:rPr>
                <w:t>https://www.cpsc.gov/Business--Manufacturing/Business-Education/Business-Guidance/Button-Cell-and-Coin-Battery</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S014</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Electronic Code of Federal Regulations</w:t>
              <w:br/>
              <w:t>16 CFR Part 1263 Button Cell or Coin Batteries and Consumer Products</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Regulation</w:t>
              <w:br/>
              <w:t>USA federal</w:t>
              <w:br/>
              <w:t>VERIFIED</w:t>
            </w:r>
          </w:p>
        </w:tc>
        <w:tc>
          <w:tcPr>
            <w:tcW w:type="dxa" w:w="3672"/>
            <w:vAlign w:val="center"/>
            <w:tcMar>
              <w:top w:w="60" w:type="dxa"/>
              <w:start w:w="70" w:type="dxa"/>
              <w:bottom w:w="60" w:type="dxa"/>
              <w:end w:w="70" w:type="dxa"/>
            </w:tcMar>
            <w:shd w:fill="F5F7F9"/>
          </w:tcPr>
          <w:p>
            <w:pPr>
              <w:spacing w:after="0"/>
            </w:pPr>
            <w:r>
              <w:rPr>
                <w:sz w:val="12"/>
              </w:rPr>
            </w:r>
            <w:hyperlink r:id="rId24">
              <w:r>
                <w:rPr>
                  <w:color w:val="2F6B9A"/>
                  <w:u w:val="single"/>
                </w:rPr>
                <w:t>https://www.ecfr.gov/current/title-16/chapter-II/subchapter-B/part-1263</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S015</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U.S. Consumer Product Safety Commission</w:t>
              <w:br/>
              <w:t>Magnets Business Guidance</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Government guidance</w:t>
              <w:br/>
              <w:t>USA federal</w:t>
              <w:br/>
              <w:t>VERIFIED</w:t>
            </w:r>
          </w:p>
        </w:tc>
        <w:tc>
          <w:tcPr>
            <w:tcW w:type="dxa" w:w="3672"/>
            <w:vAlign w:val="center"/>
            <w:tcMar>
              <w:top w:w="60" w:type="dxa"/>
              <w:start w:w="70" w:type="dxa"/>
              <w:bottom w:w="60" w:type="dxa"/>
              <w:end w:w="70" w:type="dxa"/>
            </w:tcMar>
          </w:tcPr>
          <w:p>
            <w:pPr>
              <w:spacing w:after="0"/>
            </w:pPr>
            <w:r>
              <w:rPr>
                <w:sz w:val="12"/>
              </w:rPr>
            </w:r>
            <w:hyperlink r:id="rId25">
              <w:r>
                <w:rPr>
                  <w:color w:val="2F6B9A"/>
                  <w:u w:val="single"/>
                </w:rPr>
                <w:t>https://www.cpsc.gov/Business--Manufacturing/Business-Education/Business-Guidance/Magnets</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S016</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Electronic Code of Federal Regulations</w:t>
              <w:br/>
              <w:t>16 CFR 1250.4 Requirements for Water Beads</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Regulation</w:t>
              <w:br/>
              <w:t>USA federal</w:t>
              <w:br/>
              <w:t>VERIFIED</w:t>
            </w:r>
          </w:p>
        </w:tc>
        <w:tc>
          <w:tcPr>
            <w:tcW w:type="dxa" w:w="3672"/>
            <w:vAlign w:val="center"/>
            <w:tcMar>
              <w:top w:w="60" w:type="dxa"/>
              <w:start w:w="70" w:type="dxa"/>
              <w:bottom w:w="60" w:type="dxa"/>
              <w:end w:w="70" w:type="dxa"/>
            </w:tcMar>
            <w:shd w:fill="F5F7F9"/>
          </w:tcPr>
          <w:p>
            <w:pPr>
              <w:spacing w:after="0"/>
            </w:pPr>
            <w:r>
              <w:rPr>
                <w:sz w:val="12"/>
              </w:rPr>
            </w:r>
            <w:hyperlink r:id="rId26">
              <w:r>
                <w:rPr>
                  <w:color w:val="2F6B9A"/>
                  <w:u w:val="single"/>
                </w:rPr>
                <w:t>https://www.ecfr.gov/current/title-16/chapter-II/subchapter-B/part-1250/section-1250.4</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S017</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Electronic Code of Federal Regulations</w:t>
              <w:br/>
              <w:t>16 CFR 1250.5 Requirements for Neck Floats</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Regulation</w:t>
              <w:br/>
              <w:t>USA federal</w:t>
              <w:br/>
              <w:t>VERIFIED</w:t>
            </w:r>
          </w:p>
        </w:tc>
        <w:tc>
          <w:tcPr>
            <w:tcW w:type="dxa" w:w="3672"/>
            <w:vAlign w:val="center"/>
            <w:tcMar>
              <w:top w:w="60" w:type="dxa"/>
              <w:start w:w="70" w:type="dxa"/>
              <w:bottom w:w="60" w:type="dxa"/>
              <w:end w:w="70" w:type="dxa"/>
            </w:tcMar>
          </w:tcPr>
          <w:p>
            <w:pPr>
              <w:spacing w:after="0"/>
            </w:pPr>
            <w:r>
              <w:rPr>
                <w:sz w:val="12"/>
              </w:rPr>
            </w:r>
            <w:hyperlink r:id="rId27">
              <w:r>
                <w:rPr>
                  <w:color w:val="2F6B9A"/>
                  <w:u w:val="single"/>
                </w:rPr>
                <w:t>https://www.ecfr.gov/current/title-16/chapter-II/subchapter-B/part-1250/section-1250.5</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S018</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Federal Register</w:t>
              <w:br/>
              <w:t>Safety Standard Mandating ASTM F963 for Toys</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Final rule notice</w:t>
              <w:br/>
              <w:t>USA federal</w:t>
              <w:br/>
              <w:t>VERIFIED</w:t>
            </w:r>
          </w:p>
        </w:tc>
        <w:tc>
          <w:tcPr>
            <w:tcW w:type="dxa" w:w="3672"/>
            <w:vAlign w:val="center"/>
            <w:tcMar>
              <w:top w:w="60" w:type="dxa"/>
              <w:start w:w="70" w:type="dxa"/>
              <w:bottom w:w="60" w:type="dxa"/>
              <w:end w:w="70" w:type="dxa"/>
            </w:tcMar>
            <w:shd w:fill="F5F7F9"/>
          </w:tcPr>
          <w:p>
            <w:pPr>
              <w:spacing w:after="0"/>
            </w:pPr>
            <w:r>
              <w:rPr>
                <w:sz w:val="12"/>
              </w:rPr>
            </w:r>
            <w:hyperlink r:id="rId28">
              <w:r>
                <w:rPr>
                  <w:color w:val="2F6B9A"/>
                  <w:u w:val="single"/>
                </w:rPr>
                <w:t>https://www.federalregister.gov/documents/2024/01/18/2024-00741/safety-standard-mandating-astm-f963-for-toys</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S019</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Electronic Code of Federal Regulations</w:t>
              <w:br/>
              <w:t>47 CFR 15.201 Equipment Authorization Requirement for Intentional Radiators</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Regulation</w:t>
              <w:br/>
              <w:t>USA federal</w:t>
              <w:br/>
              <w:t>VERIFIED</w:t>
            </w:r>
          </w:p>
        </w:tc>
        <w:tc>
          <w:tcPr>
            <w:tcW w:type="dxa" w:w="3672"/>
            <w:vAlign w:val="center"/>
            <w:tcMar>
              <w:top w:w="60" w:type="dxa"/>
              <w:start w:w="70" w:type="dxa"/>
              <w:bottom w:w="60" w:type="dxa"/>
              <w:end w:w="70" w:type="dxa"/>
            </w:tcMar>
          </w:tcPr>
          <w:p>
            <w:pPr>
              <w:spacing w:after="0"/>
            </w:pPr>
            <w:r>
              <w:rPr>
                <w:sz w:val="12"/>
              </w:rPr>
            </w:r>
            <w:hyperlink r:id="rId29">
              <w:r>
                <w:rPr>
                  <w:color w:val="2F6B9A"/>
                  <w:u w:val="single"/>
                </w:rPr>
                <w:t>https://www.ecfr.gov/current/title-47/chapter-I/subchapter-A/part-15/subpart-C/section-15.201</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S020</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Electronic Code of Federal Regulations</w:t>
              <w:br/>
              <w:t>47 CFR Part 15 Subpart B Unintentional Radiators</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Regulation</w:t>
              <w:br/>
              <w:t>USA federal</w:t>
              <w:br/>
              <w:t>VERIFIED</w:t>
            </w:r>
          </w:p>
        </w:tc>
        <w:tc>
          <w:tcPr>
            <w:tcW w:type="dxa" w:w="3672"/>
            <w:vAlign w:val="center"/>
            <w:tcMar>
              <w:top w:w="60" w:type="dxa"/>
              <w:start w:w="70" w:type="dxa"/>
              <w:bottom w:w="60" w:type="dxa"/>
              <w:end w:w="70" w:type="dxa"/>
            </w:tcMar>
            <w:shd w:fill="F5F7F9"/>
          </w:tcPr>
          <w:p>
            <w:pPr>
              <w:spacing w:after="0"/>
            </w:pPr>
            <w:r>
              <w:rPr>
                <w:sz w:val="12"/>
              </w:rPr>
            </w:r>
            <w:hyperlink r:id="rId30">
              <w:r>
                <w:rPr>
                  <w:color w:val="2F6B9A"/>
                  <w:u w:val="single"/>
                </w:rPr>
                <w:t>https://www.ecfr.gov/current/title-47/chapter-I/subchapter-A/part-15/subpart-B</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S021</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Electronic Code of Federal Regulations</w:t>
              <w:br/>
              <w:t>47 CFR Part 15 Subpart A General</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Regulation</w:t>
              <w:br/>
              <w:t>USA federal</w:t>
              <w:br/>
              <w:t>VERIFIED</w:t>
            </w:r>
          </w:p>
        </w:tc>
        <w:tc>
          <w:tcPr>
            <w:tcW w:type="dxa" w:w="3672"/>
            <w:vAlign w:val="center"/>
            <w:tcMar>
              <w:top w:w="60" w:type="dxa"/>
              <w:start w:w="70" w:type="dxa"/>
              <w:bottom w:w="60" w:type="dxa"/>
              <w:end w:w="70" w:type="dxa"/>
            </w:tcMar>
          </w:tcPr>
          <w:p>
            <w:pPr>
              <w:spacing w:after="0"/>
            </w:pPr>
            <w:r>
              <w:rPr>
                <w:sz w:val="12"/>
              </w:rPr>
            </w:r>
            <w:hyperlink r:id="rId31">
              <w:r>
                <w:rPr>
                  <w:color w:val="2F6B9A"/>
                  <w:u w:val="single"/>
                </w:rPr>
                <w:t>https://www.ecfr.gov/current/title-47/chapter-I/subchapter-A/part-15/subpart-A</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S022</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Electronic Code of Federal Regulations</w:t>
              <w:br/>
              <w:t>47 CFR 2.1077 Compliance Information</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Regulation</w:t>
              <w:br/>
              <w:t>USA federal</w:t>
              <w:br/>
              <w:t>VERIFIED</w:t>
            </w:r>
          </w:p>
        </w:tc>
        <w:tc>
          <w:tcPr>
            <w:tcW w:type="dxa" w:w="3672"/>
            <w:vAlign w:val="center"/>
            <w:tcMar>
              <w:top w:w="60" w:type="dxa"/>
              <w:start w:w="70" w:type="dxa"/>
              <w:bottom w:w="60" w:type="dxa"/>
              <w:end w:w="70" w:type="dxa"/>
            </w:tcMar>
            <w:shd w:fill="F5F7F9"/>
          </w:tcPr>
          <w:p>
            <w:pPr>
              <w:spacing w:after="0"/>
            </w:pPr>
            <w:r>
              <w:rPr>
                <w:sz w:val="12"/>
              </w:rPr>
            </w:r>
            <w:hyperlink r:id="rId32">
              <w:r>
                <w:rPr>
                  <w:color w:val="2F6B9A"/>
                  <w:u w:val="single"/>
                </w:rPr>
                <w:t>https://www.ecfr.gov/current/title-47/chapter-I/subchapter-A/part-2/subpart-J/subject-group-ECFR64d0de5de218f0c/section-2.1077</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S023</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Electronic Code of Federal Regulations</w:t>
              <w:br/>
              <w:t>47 CFR 2.1093 RF Exposure Evaluation for Portable Devices</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Regulation</w:t>
              <w:br/>
              <w:t>USA federal</w:t>
              <w:br/>
              <w:t>VERIFIED</w:t>
            </w:r>
          </w:p>
        </w:tc>
        <w:tc>
          <w:tcPr>
            <w:tcW w:type="dxa" w:w="3672"/>
            <w:vAlign w:val="center"/>
            <w:tcMar>
              <w:top w:w="60" w:type="dxa"/>
              <w:start w:w="70" w:type="dxa"/>
              <w:bottom w:w="60" w:type="dxa"/>
              <w:end w:w="70" w:type="dxa"/>
            </w:tcMar>
          </w:tcPr>
          <w:p>
            <w:pPr>
              <w:spacing w:after="0"/>
            </w:pPr>
            <w:r>
              <w:rPr>
                <w:sz w:val="12"/>
              </w:rPr>
            </w:r>
            <w:hyperlink r:id="rId33">
              <w:r>
                <w:rPr>
                  <w:color w:val="2F6B9A"/>
                  <w:u w:val="single"/>
                </w:rPr>
                <w:t>https://www.ecfr.gov/current/title-47/chapter-I/subchapter-A/part-2/subpart-J/subject-group-ECFR52efa600149ef42/section-2.1093</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S024</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Electronic Code of Federal Regulations</w:t>
              <w:br/>
              <w:t>47 CFR 2.1091 RF Exposure Evaluation for Mobile Devices</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Regulation</w:t>
              <w:br/>
              <w:t>USA federal</w:t>
              <w:br/>
              <w:t>VERIFIED</w:t>
            </w:r>
          </w:p>
        </w:tc>
        <w:tc>
          <w:tcPr>
            <w:tcW w:type="dxa" w:w="3672"/>
            <w:vAlign w:val="center"/>
            <w:tcMar>
              <w:top w:w="60" w:type="dxa"/>
              <w:start w:w="70" w:type="dxa"/>
              <w:bottom w:w="60" w:type="dxa"/>
              <w:end w:w="70" w:type="dxa"/>
            </w:tcMar>
            <w:shd w:fill="F5F7F9"/>
          </w:tcPr>
          <w:p>
            <w:pPr>
              <w:spacing w:after="0"/>
            </w:pPr>
            <w:r>
              <w:rPr>
                <w:sz w:val="12"/>
              </w:rPr>
            </w:r>
            <w:hyperlink r:id="rId34">
              <w:r>
                <w:rPr>
                  <w:color w:val="2F6B9A"/>
                  <w:u w:val="single"/>
                </w:rPr>
                <w:t>https://www.ecfr.gov/current/title-47/chapter-I/subchapter-A/part-2/subpart-J/subject-group-ECFR52efa600149ef42/section-2.1091</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S025</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Pipeline and Hazardous Materials Safety Administration</w:t>
              <w:br/>
              <w:t>Lithium Batteries</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Government guidance</w:t>
              <w:br/>
              <w:t>USA transport</w:t>
              <w:br/>
              <w:t>VERIFIED</w:t>
            </w:r>
          </w:p>
        </w:tc>
        <w:tc>
          <w:tcPr>
            <w:tcW w:type="dxa" w:w="3672"/>
            <w:vAlign w:val="center"/>
            <w:tcMar>
              <w:top w:w="60" w:type="dxa"/>
              <w:start w:w="70" w:type="dxa"/>
              <w:bottom w:w="60" w:type="dxa"/>
              <w:end w:w="70" w:type="dxa"/>
            </w:tcMar>
          </w:tcPr>
          <w:p>
            <w:pPr>
              <w:spacing w:after="0"/>
            </w:pPr>
            <w:r>
              <w:rPr>
                <w:sz w:val="12"/>
              </w:rPr>
            </w:r>
            <w:hyperlink r:id="rId35">
              <w:r>
                <w:rPr>
                  <w:color w:val="2F6B9A"/>
                  <w:u w:val="single"/>
                </w:rPr>
                <w:t>https://www.phmsa.dot.gov/lithiumbatteries</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S026</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Electronic Code of Federal Regulations</w:t>
              <w:br/>
              <w:t>49 CFR 173.185 Lithium Cells and Batteries</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Regulation</w:t>
              <w:br/>
              <w:t>USA transport</w:t>
              <w:br/>
              <w:t>VERIFIED</w:t>
            </w:r>
          </w:p>
        </w:tc>
        <w:tc>
          <w:tcPr>
            <w:tcW w:type="dxa" w:w="3672"/>
            <w:vAlign w:val="center"/>
            <w:tcMar>
              <w:top w:w="60" w:type="dxa"/>
              <w:start w:w="70" w:type="dxa"/>
              <w:bottom w:w="60" w:type="dxa"/>
              <w:end w:w="70" w:type="dxa"/>
            </w:tcMar>
            <w:shd w:fill="F5F7F9"/>
          </w:tcPr>
          <w:p>
            <w:pPr>
              <w:spacing w:after="0"/>
            </w:pPr>
            <w:r>
              <w:rPr>
                <w:sz w:val="12"/>
              </w:rPr>
            </w:r>
            <w:hyperlink r:id="rId36">
              <w:r>
                <w:rPr>
                  <w:color w:val="2F6B9A"/>
                  <w:u w:val="single"/>
                </w:rPr>
                <w:t>https://www.ecfr.gov/current/title-49/subtitle-B/chapter-I/subchapter-C/part-173/subpart-E/section-173.185</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S027</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U.S. Department of Energy</w:t>
              <w:br/>
              <w:t>External Power Supplies</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Government guidance</w:t>
              <w:br/>
              <w:t>USA federal</w:t>
              <w:br/>
              <w:t>VERIFIED</w:t>
            </w:r>
          </w:p>
        </w:tc>
        <w:tc>
          <w:tcPr>
            <w:tcW w:type="dxa" w:w="3672"/>
            <w:vAlign w:val="center"/>
            <w:tcMar>
              <w:top w:w="60" w:type="dxa"/>
              <w:start w:w="70" w:type="dxa"/>
              <w:bottom w:w="60" w:type="dxa"/>
              <w:end w:w="70" w:type="dxa"/>
            </w:tcMar>
          </w:tcPr>
          <w:p>
            <w:pPr>
              <w:spacing w:after="0"/>
            </w:pPr>
            <w:r>
              <w:rPr>
                <w:sz w:val="12"/>
              </w:rPr>
            </w:r>
            <w:hyperlink r:id="rId37">
              <w:r>
                <w:rPr>
                  <w:color w:val="2F6B9A"/>
                  <w:u w:val="single"/>
                </w:rPr>
                <w:t>https://www.energy.gov/cmei/buildings/external-power-supplies</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S028</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Electronic Code of Federal Regulations</w:t>
              <w:br/>
              <w:t>10 CFR 429.37 External Power Supplies</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Regulation</w:t>
              <w:br/>
              <w:t>USA federal</w:t>
              <w:br/>
              <w:t>VERIFIED</w:t>
            </w:r>
          </w:p>
        </w:tc>
        <w:tc>
          <w:tcPr>
            <w:tcW w:type="dxa" w:w="3672"/>
            <w:vAlign w:val="center"/>
            <w:tcMar>
              <w:top w:w="60" w:type="dxa"/>
              <w:start w:w="70" w:type="dxa"/>
              <w:bottom w:w="60" w:type="dxa"/>
              <w:end w:w="70" w:type="dxa"/>
            </w:tcMar>
            <w:shd w:fill="F5F7F9"/>
          </w:tcPr>
          <w:p>
            <w:pPr>
              <w:spacing w:after="0"/>
            </w:pPr>
            <w:r>
              <w:rPr>
                <w:sz w:val="12"/>
              </w:rPr>
            </w:r>
            <w:hyperlink r:id="rId38">
              <w:r>
                <w:rPr>
                  <w:color w:val="2F6B9A"/>
                  <w:u w:val="single"/>
                </w:rPr>
                <w:t>https://www.ecfr.gov/current/title-10/chapter-II/subchapter-D/part-429/subpart-B/section-429.37</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S029</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Electronic Code of Federal Regulations</w:t>
              <w:br/>
              <w:t>19 CFR 134.11 Country of Origin Marking Required</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Regulation</w:t>
              <w:br/>
              <w:t>USA federal/import</w:t>
              <w:br/>
              <w:t>VERIFIED</w:t>
            </w:r>
          </w:p>
        </w:tc>
        <w:tc>
          <w:tcPr>
            <w:tcW w:type="dxa" w:w="3672"/>
            <w:vAlign w:val="center"/>
            <w:tcMar>
              <w:top w:w="60" w:type="dxa"/>
              <w:start w:w="70" w:type="dxa"/>
              <w:bottom w:w="60" w:type="dxa"/>
              <w:end w:w="70" w:type="dxa"/>
            </w:tcMar>
          </w:tcPr>
          <w:p>
            <w:pPr>
              <w:spacing w:after="0"/>
            </w:pPr>
            <w:r>
              <w:rPr>
                <w:sz w:val="12"/>
              </w:rPr>
            </w:r>
            <w:hyperlink r:id="rId39">
              <w:r>
                <w:rPr>
                  <w:color w:val="2F6B9A"/>
                  <w:u w:val="single"/>
                </w:rPr>
                <w:t>https://www.ecfr.gov/current/title-19/chapter-I/part-134/subpart-B/section-134.11</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S030</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Amazon Seller Forums official moderator announcement</w:t>
              <w:br/>
              <w:t>Updates to children's toy compliance requirements</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Official platform notice</w:t>
              <w:br/>
              <w:t>Amazon US</w:t>
              <w:br/>
              <w:t>VERIFIED</w:t>
            </w:r>
          </w:p>
        </w:tc>
        <w:tc>
          <w:tcPr>
            <w:tcW w:type="dxa" w:w="3672"/>
            <w:vAlign w:val="center"/>
            <w:tcMar>
              <w:top w:w="60" w:type="dxa"/>
              <w:start w:w="70" w:type="dxa"/>
              <w:bottom w:w="60" w:type="dxa"/>
              <w:end w:w="70" w:type="dxa"/>
            </w:tcMar>
            <w:shd w:fill="F5F7F9"/>
          </w:tcPr>
          <w:p>
            <w:pPr>
              <w:spacing w:after="0"/>
            </w:pPr>
            <w:r>
              <w:rPr>
                <w:sz w:val="12"/>
              </w:rPr>
            </w:r>
            <w:hyperlink r:id="rId40">
              <w:r>
                <w:rPr>
                  <w:color w:val="2F6B9A"/>
                  <w:u w:val="single"/>
                </w:rPr>
                <w:t>https://sellercentral.amazon.com/seller-forums/discussions/t/7925a57b-4be5-4176-a918-329133a4536c</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S031</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Amazon Seller Forums official news announcement</w:t>
              <w:br/>
              <w:t>Required updates for radio frequency device listings</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Official platform notice</w:t>
              <w:br/>
              <w:t>Amazon US</w:t>
              <w:br/>
              <w:t>VERIFIED</w:t>
            </w:r>
          </w:p>
        </w:tc>
        <w:tc>
          <w:tcPr>
            <w:tcW w:type="dxa" w:w="3672"/>
            <w:vAlign w:val="center"/>
            <w:tcMar>
              <w:top w:w="60" w:type="dxa"/>
              <w:start w:w="70" w:type="dxa"/>
              <w:bottom w:w="60" w:type="dxa"/>
              <w:end w:w="70" w:type="dxa"/>
            </w:tcMar>
          </w:tcPr>
          <w:p>
            <w:pPr>
              <w:spacing w:after="0"/>
            </w:pPr>
            <w:r>
              <w:rPr>
                <w:sz w:val="12"/>
              </w:rPr>
            </w:r>
            <w:hyperlink r:id="rId41">
              <w:r>
                <w:rPr>
                  <w:color w:val="2F6B9A"/>
                  <w:u w:val="single"/>
                </w:rPr>
                <w:t>https://sellercentral.amazon.com/seller-forums/discussions/t/60ee9c8385ec3ac79b401336c27a5dfd</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S032</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Amazon Seller Forums official moderator announcement</w:t>
              <w:br/>
              <w:t>Rechargeable lithium ion batteries compliance policy update</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Official platform notice</w:t>
              <w:br/>
              <w:t>Amazon US</w:t>
              <w:br/>
              <w:t>VERIFIED</w:t>
            </w:r>
          </w:p>
        </w:tc>
        <w:tc>
          <w:tcPr>
            <w:tcW w:type="dxa" w:w="3672"/>
            <w:vAlign w:val="center"/>
            <w:tcMar>
              <w:top w:w="60" w:type="dxa"/>
              <w:start w:w="70" w:type="dxa"/>
              <w:bottom w:w="60" w:type="dxa"/>
              <w:end w:w="70" w:type="dxa"/>
            </w:tcMar>
            <w:shd w:fill="F5F7F9"/>
          </w:tcPr>
          <w:p>
            <w:pPr>
              <w:spacing w:after="0"/>
            </w:pPr>
            <w:r>
              <w:rPr>
                <w:sz w:val="12"/>
              </w:rPr>
            </w:r>
            <w:hyperlink r:id="rId42">
              <w:r>
                <w:rPr>
                  <w:color w:val="2F6B9A"/>
                  <w:u w:val="single"/>
                </w:rPr>
                <w:t>https://sellercentral.amazon.com/seller-forums/discussions/t/60949da6-acff-4075-bf52-56f916df3370</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S033</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eBay</w:t>
              <w:br/>
              <w:t>Product Safety Policy</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Official platform policy</w:t>
              <w:br/>
              <w:t>eBay US</w:t>
              <w:br/>
              <w:t>VERIFIED</w:t>
            </w:r>
          </w:p>
        </w:tc>
        <w:tc>
          <w:tcPr>
            <w:tcW w:type="dxa" w:w="3672"/>
            <w:vAlign w:val="center"/>
            <w:tcMar>
              <w:top w:w="60" w:type="dxa"/>
              <w:start w:w="70" w:type="dxa"/>
              <w:bottom w:w="60" w:type="dxa"/>
              <w:end w:w="70" w:type="dxa"/>
            </w:tcMar>
          </w:tcPr>
          <w:p>
            <w:pPr>
              <w:spacing w:after="0"/>
            </w:pPr>
            <w:r>
              <w:rPr>
                <w:sz w:val="12"/>
              </w:rPr>
            </w:r>
            <w:hyperlink r:id="rId43">
              <w:r>
                <w:rPr>
                  <w:color w:val="2F6B9A"/>
                  <w:u w:val="single"/>
                </w:rPr>
                <w:t>https://www.ebay.com/help/policies/prohibited-restricted-items/product-safety-policy?id=4300</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S034</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eBay</w:t>
              <w:br/>
              <w:t>Electronic Equipment Policy</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Official platform policy</w:t>
              <w:br/>
              <w:t>eBay US</w:t>
              <w:br/>
              <w:t>VERIFIED</w:t>
            </w:r>
          </w:p>
        </w:tc>
        <w:tc>
          <w:tcPr>
            <w:tcW w:type="dxa" w:w="3672"/>
            <w:vAlign w:val="center"/>
            <w:tcMar>
              <w:top w:w="60" w:type="dxa"/>
              <w:start w:w="70" w:type="dxa"/>
              <w:bottom w:w="60" w:type="dxa"/>
              <w:end w:w="70" w:type="dxa"/>
            </w:tcMar>
            <w:shd w:fill="F5F7F9"/>
          </w:tcPr>
          <w:p>
            <w:pPr>
              <w:spacing w:after="0"/>
            </w:pPr>
            <w:r>
              <w:rPr>
                <w:sz w:val="12"/>
              </w:rPr>
            </w:r>
            <w:hyperlink r:id="rId44">
              <w:r>
                <w:rPr>
                  <w:color w:val="2F6B9A"/>
                  <w:u w:val="single"/>
                </w:rPr>
                <w:t>https://www.ebay.com/help/policies/prohibited-restricted-items/electronic-equipment-policy?id=4302</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S035</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California Office of Environmental Health Hazard Assessment</w:t>
              <w:br/>
              <w:t>Businesses and Proposition 65</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State government guidance</w:t>
              <w:br/>
              <w:t>California</w:t>
              <w:br/>
              <w:t>VERIFIED</w:t>
            </w:r>
          </w:p>
        </w:tc>
        <w:tc>
          <w:tcPr>
            <w:tcW w:type="dxa" w:w="3672"/>
            <w:vAlign w:val="center"/>
            <w:tcMar>
              <w:top w:w="60" w:type="dxa"/>
              <w:start w:w="70" w:type="dxa"/>
              <w:bottom w:w="60" w:type="dxa"/>
              <w:end w:w="70" w:type="dxa"/>
            </w:tcMar>
          </w:tcPr>
          <w:p>
            <w:pPr>
              <w:spacing w:after="0"/>
            </w:pPr>
            <w:r>
              <w:rPr>
                <w:sz w:val="12"/>
              </w:rPr>
            </w:r>
            <w:hyperlink r:id="rId45">
              <w:r>
                <w:rPr>
                  <w:color w:val="2F6B9A"/>
                  <w:u w:val="single"/>
                </w:rPr>
                <w:t>https://oehha.ca.gov/proposition-65/businesses-and-proposition-65</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S036</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California Office of Environmental Health Hazard Assessment</w:t>
              <w:br/>
              <w:t>Proposition 65 Clear and Reasonable Warnings Safe Harbor Methods and Content</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State rule update</w:t>
              <w:br/>
              <w:t>California</w:t>
              <w:br/>
              <w:t>VERIFIED</w:t>
            </w:r>
          </w:p>
        </w:tc>
        <w:tc>
          <w:tcPr>
            <w:tcW w:type="dxa" w:w="3672"/>
            <w:vAlign w:val="center"/>
            <w:tcMar>
              <w:top w:w="60" w:type="dxa"/>
              <w:start w:w="70" w:type="dxa"/>
              <w:bottom w:w="60" w:type="dxa"/>
              <w:end w:w="70" w:type="dxa"/>
            </w:tcMar>
            <w:shd w:fill="F5F7F9"/>
          </w:tcPr>
          <w:p>
            <w:pPr>
              <w:spacing w:after="0"/>
            </w:pPr>
            <w:r>
              <w:rPr>
                <w:sz w:val="12"/>
              </w:rPr>
            </w:r>
            <w:hyperlink r:id="rId46">
              <w:r>
                <w:rPr>
                  <w:color w:val="2F6B9A"/>
                  <w:u w:val="single"/>
                </w:rPr>
                <w:t>https://oehha.ca.gov/proposition-65/crnr/proposition-65-clear-and-reasonable-warnings-safe-harbor-methods-and-content</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S037</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Federal Register</w:t>
              <w:br/>
              <w:t>Safety Standard for Button Cell or Coin Batteries and Consumer Products Containing Such Batteries</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Final rule notice and economic analysis</w:t>
              <w:br/>
              <w:t>USA federal</w:t>
              <w:br/>
              <w:t>VERIFIED</w:t>
            </w:r>
          </w:p>
        </w:tc>
        <w:tc>
          <w:tcPr>
            <w:tcW w:type="dxa" w:w="3672"/>
            <w:vAlign w:val="center"/>
            <w:tcMar>
              <w:top w:w="60" w:type="dxa"/>
              <w:start w:w="70" w:type="dxa"/>
              <w:bottom w:w="60" w:type="dxa"/>
              <w:end w:w="70" w:type="dxa"/>
            </w:tcMar>
          </w:tcPr>
          <w:p>
            <w:pPr>
              <w:spacing w:after="0"/>
            </w:pPr>
            <w:r>
              <w:rPr>
                <w:sz w:val="12"/>
              </w:rPr>
            </w:r>
            <w:hyperlink r:id="rId47">
              <w:r>
                <w:rPr>
                  <w:color w:val="2F6B9A"/>
                  <w:u w:val="single"/>
                </w:rPr>
                <w:t>https://www.federalregister.gov/documents/2023/09/21/2023-20333/safety-standard-for-button-cell-or-coin-batteries-and-consumer-products-containing-such-batteries</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S038</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Federal Register</w:t>
              <w:br/>
              <w:t>Safety Standard for Toys Requirements for Neck Floats</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Final rule and economic analysis</w:t>
              <w:br/>
              <w:t>USA federal</w:t>
              <w:br/>
              <w:t>VERIFIED</w:t>
            </w:r>
          </w:p>
        </w:tc>
        <w:tc>
          <w:tcPr>
            <w:tcW w:type="dxa" w:w="3672"/>
            <w:vAlign w:val="center"/>
            <w:tcMar>
              <w:top w:w="60" w:type="dxa"/>
              <w:start w:w="70" w:type="dxa"/>
              <w:bottom w:w="60" w:type="dxa"/>
              <w:end w:w="70" w:type="dxa"/>
            </w:tcMar>
            <w:shd w:fill="F5F7F9"/>
          </w:tcPr>
          <w:p>
            <w:pPr>
              <w:spacing w:after="0"/>
            </w:pPr>
            <w:r>
              <w:rPr>
                <w:sz w:val="12"/>
              </w:rPr>
            </w:r>
            <w:hyperlink r:id="rId48">
              <w:r>
                <w:rPr>
                  <w:color w:val="2F6B9A"/>
                  <w:u w:val="single"/>
                </w:rPr>
                <w:t>https://www.federalregister.gov/documents/2025/12/15/2025-22827/safety-standard-for-toys-requirements-for-neck-floats</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S039</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Electronic Code of Federal Regulations</w:t>
              <w:br/>
              <w:t>47 CFR Part 2 Subpart J Equipment Authorization Procedures</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Regulation</w:t>
              <w:br/>
              <w:t>USA federal</w:t>
              <w:br/>
              <w:t>VERIFIED</w:t>
            </w:r>
          </w:p>
        </w:tc>
        <w:tc>
          <w:tcPr>
            <w:tcW w:type="dxa" w:w="3672"/>
            <w:vAlign w:val="center"/>
            <w:tcMar>
              <w:top w:w="60" w:type="dxa"/>
              <w:start w:w="70" w:type="dxa"/>
              <w:bottom w:w="60" w:type="dxa"/>
              <w:end w:w="70" w:type="dxa"/>
            </w:tcMar>
          </w:tcPr>
          <w:p>
            <w:pPr>
              <w:spacing w:after="0"/>
            </w:pPr>
            <w:r>
              <w:rPr>
                <w:sz w:val="12"/>
              </w:rPr>
            </w:r>
            <w:hyperlink r:id="rId49">
              <w:r>
                <w:rPr>
                  <w:color w:val="2F6B9A"/>
                  <w:u w:val="single"/>
                </w:rPr>
                <w:t>https://www.ecfr.gov/current/title-47/chapter-I/subchapter-A/part-2/subpart-J</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S040</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Federal Communications Commission</w:t>
              <w:br/>
              <w:t>KDB 996369 Modules Module Certification and Integration</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Official technical guidance</w:t>
              <w:br/>
              <w:t>USA federal</w:t>
              <w:br/>
              <w:t>VERIFIED</w:t>
            </w:r>
          </w:p>
        </w:tc>
        <w:tc>
          <w:tcPr>
            <w:tcW w:type="dxa" w:w="3672"/>
            <w:vAlign w:val="center"/>
            <w:tcMar>
              <w:top w:w="60" w:type="dxa"/>
              <w:start w:w="70" w:type="dxa"/>
              <w:bottom w:w="60" w:type="dxa"/>
              <w:end w:w="70" w:type="dxa"/>
            </w:tcMar>
            <w:shd w:fill="F5F7F9"/>
          </w:tcPr>
          <w:p>
            <w:pPr>
              <w:spacing w:after="0"/>
            </w:pPr>
            <w:r>
              <w:rPr>
                <w:sz w:val="12"/>
              </w:rPr>
            </w:r>
            <w:hyperlink r:id="rId50">
              <w:r>
                <w:rPr>
                  <w:color w:val="2F6B9A"/>
                  <w:u w:val="single"/>
                </w:rPr>
                <w:t>https://apps.fcc.gov/oetcf/kdb/forms/FTSSearchResultPage.cfm?id=44637&amp;switch=P</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S041</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U.S. Consumer Product Safety Commission</w:t>
              <w:br/>
              <w:t>Material Change Testing FAQ</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Government guidance</w:t>
              <w:br/>
              <w:t>USA federal</w:t>
              <w:br/>
              <w:t>VERIFIED</w:t>
            </w:r>
          </w:p>
        </w:tc>
        <w:tc>
          <w:tcPr>
            <w:tcW w:type="dxa" w:w="3672"/>
            <w:vAlign w:val="center"/>
            <w:tcMar>
              <w:top w:w="60" w:type="dxa"/>
              <w:start w:w="70" w:type="dxa"/>
              <w:bottom w:w="60" w:type="dxa"/>
              <w:end w:w="70" w:type="dxa"/>
            </w:tcMar>
          </w:tcPr>
          <w:p>
            <w:pPr>
              <w:spacing w:after="0"/>
            </w:pPr>
            <w:r>
              <w:rPr>
                <w:sz w:val="12"/>
              </w:rPr>
            </w:r>
            <w:hyperlink r:id="rId51">
              <w:r>
                <w:rPr>
                  <w:color w:val="2F6B9A"/>
                  <w:u w:val="single"/>
                </w:rPr>
                <w:t>https://www.cpsc.gov/FAQ/Material-Change-Testing</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S042</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U.S. Consumer Product Safety Commission</w:t>
              <w:br/>
              <w:t>Periodic Testing FAQ</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Government guidance</w:t>
              <w:br/>
              <w:t>USA federal</w:t>
              <w:br/>
              <w:t>VERIFIED</w:t>
            </w:r>
          </w:p>
        </w:tc>
        <w:tc>
          <w:tcPr>
            <w:tcW w:type="dxa" w:w="3672"/>
            <w:vAlign w:val="center"/>
            <w:tcMar>
              <w:top w:w="60" w:type="dxa"/>
              <w:start w:w="70" w:type="dxa"/>
              <w:bottom w:w="60" w:type="dxa"/>
              <w:end w:w="70" w:type="dxa"/>
            </w:tcMar>
            <w:shd w:fill="F5F7F9"/>
          </w:tcPr>
          <w:p>
            <w:pPr>
              <w:spacing w:after="0"/>
            </w:pPr>
            <w:r>
              <w:rPr>
                <w:sz w:val="12"/>
              </w:rPr>
            </w:r>
            <w:hyperlink r:id="rId52">
              <w:r>
                <w:rPr>
                  <w:color w:val="2F6B9A"/>
                  <w:u w:val="single"/>
                </w:rPr>
                <w:t>https://www.cpsc.gov/FAQ/Periodic-Testing</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S043</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Electronic Code of Federal Regulations</w:t>
              <w:br/>
              <w:t>10 CFR 430.32 Energy Conservation Standards</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Regulation</w:t>
              <w:br/>
              <w:t>USA federal</w:t>
              <w:br/>
              <w:t>VERIFIED</w:t>
            </w:r>
          </w:p>
        </w:tc>
        <w:tc>
          <w:tcPr>
            <w:tcW w:type="dxa" w:w="3672"/>
            <w:vAlign w:val="center"/>
            <w:tcMar>
              <w:top w:w="60" w:type="dxa"/>
              <w:start w:w="70" w:type="dxa"/>
              <w:bottom w:w="60" w:type="dxa"/>
              <w:end w:w="70" w:type="dxa"/>
            </w:tcMar>
          </w:tcPr>
          <w:p>
            <w:pPr>
              <w:spacing w:after="0"/>
            </w:pPr>
            <w:r>
              <w:rPr>
                <w:sz w:val="12"/>
              </w:rPr>
            </w:r>
            <w:hyperlink r:id="rId53">
              <w:r>
                <w:rPr>
                  <w:color w:val="2F6B9A"/>
                  <w:u w:val="single"/>
                </w:rPr>
                <w:t>https://www.ecfr.gov/current/title-10/chapter-II/subchapter-D/part-430/subpart-C/section-430.32</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S044</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Electronic Code of Federal Regulations</w:t>
              <w:br/>
              <w:t>10 CFR Part 429 Subpart B Certification</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Regulation</w:t>
              <w:br/>
              <w:t>USA federal</w:t>
              <w:br/>
              <w:t>VERIFIED</w:t>
            </w:r>
          </w:p>
        </w:tc>
        <w:tc>
          <w:tcPr>
            <w:tcW w:type="dxa" w:w="3672"/>
            <w:vAlign w:val="center"/>
            <w:tcMar>
              <w:top w:w="60" w:type="dxa"/>
              <w:start w:w="70" w:type="dxa"/>
              <w:bottom w:w="60" w:type="dxa"/>
              <w:end w:w="70" w:type="dxa"/>
            </w:tcMar>
            <w:shd w:fill="F5F7F9"/>
          </w:tcPr>
          <w:p>
            <w:pPr>
              <w:spacing w:after="0"/>
            </w:pPr>
            <w:r>
              <w:rPr>
                <w:sz w:val="12"/>
              </w:rPr>
            </w:r>
            <w:hyperlink r:id="rId54">
              <w:r>
                <w:rPr>
                  <w:color w:val="2F6B9A"/>
                  <w:u w:val="single"/>
                </w:rPr>
                <w:t>https://www.ecfr.gov/current/title-10/chapter-II/subchapter-D/part-429/subpart-B</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S045</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UL Solutions</w:t>
              <w:br/>
              <w:t>IEC and UL 62368-1 Testing and Certification</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Standards/testing organization guidance</w:t>
              <w:br/>
              <w:t>USA/industry</w:t>
              <w:br/>
              <w:t>VERIFIED</w:t>
            </w:r>
          </w:p>
        </w:tc>
        <w:tc>
          <w:tcPr>
            <w:tcW w:type="dxa" w:w="3672"/>
            <w:vAlign w:val="center"/>
            <w:tcMar>
              <w:top w:w="60" w:type="dxa"/>
              <w:start w:w="70" w:type="dxa"/>
              <w:bottom w:w="60" w:type="dxa"/>
              <w:end w:w="70" w:type="dxa"/>
            </w:tcMar>
          </w:tcPr>
          <w:p>
            <w:pPr>
              <w:spacing w:after="0"/>
            </w:pPr>
            <w:r>
              <w:rPr>
                <w:sz w:val="12"/>
              </w:rPr>
            </w:r>
            <w:hyperlink r:id="rId55">
              <w:r>
                <w:rPr>
                  <w:color w:val="2F6B9A"/>
                  <w:u w:val="single"/>
                </w:rPr>
                <w:t>https://www.ul.com/services/iec-62368-1-testing-certification</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S046</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Federal Register</w:t>
              <w:br/>
              <w:t>FCC Third Further Notice of Proposed Rulemaking on Equipment Authorization Security</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Proposed rule</w:t>
              <w:br/>
              <w:t>USA federal</w:t>
              <w:br/>
              <w:t>VERIFIED</w:t>
            </w:r>
          </w:p>
        </w:tc>
        <w:tc>
          <w:tcPr>
            <w:tcW w:type="dxa" w:w="3672"/>
            <w:vAlign w:val="center"/>
            <w:tcMar>
              <w:top w:w="60" w:type="dxa"/>
              <w:start w:w="70" w:type="dxa"/>
              <w:bottom w:w="60" w:type="dxa"/>
              <w:end w:w="70" w:type="dxa"/>
            </w:tcMar>
            <w:shd w:fill="F5F7F9"/>
          </w:tcPr>
          <w:p>
            <w:pPr>
              <w:spacing w:after="0"/>
            </w:pPr>
            <w:r>
              <w:rPr>
                <w:sz w:val="12"/>
              </w:rPr>
            </w:r>
            <w:hyperlink r:id="rId56">
              <w:r>
                <w:rPr>
                  <w:color w:val="2F6B9A"/>
                  <w:u w:val="single"/>
                </w:rPr>
                <w:t>https://www.federalregister.gov/documents/2026/08/07/2026-16197/protecting-against-national-security-threats-to-the-communications-supply-chain-through-the</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S047</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Federal Register</w:t>
              <w:br/>
              <w:t>Schedule of Application Fees</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Final rule / fee schedule</w:t>
              <w:br/>
              <w:t>USA federal</w:t>
              <w:br/>
              <w:t>VERIFIED</w:t>
            </w:r>
          </w:p>
        </w:tc>
        <w:tc>
          <w:tcPr>
            <w:tcW w:type="dxa" w:w="3672"/>
            <w:vAlign w:val="center"/>
            <w:tcMar>
              <w:top w:w="60" w:type="dxa"/>
              <w:start w:w="70" w:type="dxa"/>
              <w:bottom w:w="60" w:type="dxa"/>
              <w:end w:w="70" w:type="dxa"/>
            </w:tcMar>
          </w:tcPr>
          <w:p>
            <w:pPr>
              <w:spacing w:after="0"/>
            </w:pPr>
            <w:r>
              <w:rPr>
                <w:sz w:val="12"/>
              </w:rPr>
            </w:r>
            <w:hyperlink r:id="rId57">
              <w:r>
                <w:rPr>
                  <w:color w:val="2F6B9A"/>
                  <w:u w:val="single"/>
                </w:rPr>
                <w:t>https://www.federalregister.gov/documents/2025/04/23/2025-06899/schedule-of-application-fees</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S048</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Electronic Code of Federal Regulations</w:t>
              <w:br/>
              <w:t>47 CFR Part 2 Subpart J Current Covered List and Certification Provisions</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Regulation</w:t>
              <w:br/>
              <w:t>USA federal</w:t>
              <w:br/>
              <w:t>VERIFIED</w:t>
            </w:r>
          </w:p>
        </w:tc>
        <w:tc>
          <w:tcPr>
            <w:tcW w:type="dxa" w:w="3672"/>
            <w:vAlign w:val="center"/>
            <w:tcMar>
              <w:top w:w="60" w:type="dxa"/>
              <w:start w:w="70" w:type="dxa"/>
              <w:bottom w:w="60" w:type="dxa"/>
              <w:end w:w="70" w:type="dxa"/>
            </w:tcMar>
            <w:shd w:fill="F5F7F9"/>
          </w:tcPr>
          <w:p>
            <w:pPr>
              <w:spacing w:after="0"/>
            </w:pPr>
            <w:r>
              <w:rPr>
                <w:sz w:val="12"/>
              </w:rPr>
            </w:r>
            <w:hyperlink r:id="rId58">
              <w:r>
                <w:rPr>
                  <w:color w:val="2F6B9A"/>
                  <w:u w:val="single"/>
                </w:rPr>
                <w:t>https://www.ecfr.gov/current/title-47/chapter-I/subchapter-A/part-2/subpart-J?toc=1</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S049</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Amazon</w:t>
              <w:br/>
              <w:t>Children's Toys Help Page</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Official platform help</w:t>
              <w:br/>
              <w:t>Amazon US</w:t>
              <w:br/>
              <w:t>UNVERIFIED</w:t>
            </w:r>
          </w:p>
        </w:tc>
        <w:tc>
          <w:tcPr>
            <w:tcW w:type="dxa" w:w="3672"/>
            <w:vAlign w:val="center"/>
            <w:tcMar>
              <w:top w:w="60" w:type="dxa"/>
              <w:start w:w="70" w:type="dxa"/>
              <w:bottom w:w="60" w:type="dxa"/>
              <w:end w:w="70" w:type="dxa"/>
            </w:tcMar>
          </w:tcPr>
          <w:p>
            <w:pPr>
              <w:spacing w:after="0"/>
            </w:pPr>
            <w:r>
              <w:rPr>
                <w:sz w:val="12"/>
              </w:rPr>
            </w:r>
            <w:hyperlink r:id="rId59">
              <w:r>
                <w:rPr>
                  <w:color w:val="2F6B9A"/>
                  <w:u w:val="single"/>
                </w:rPr>
                <w:t>https://sellercentral.amazon.com/help/hub/reference/external/GKJRA3FRPRKVBJJS?locale=en-US</w:t>
              </w:r>
            </w:hyperlink>
          </w:p>
        </w:tc>
      </w:tr>
      <w:tr>
        <w:trPr>
          <w:cantSplit/>
        </w:trPr>
        <w:tc>
          <w:tcPr>
            <w:tcW w:type="dxa" w:w="792"/>
            <w:vAlign w:val="center"/>
            <w:tcMar>
              <w:top w:w="60" w:type="dxa"/>
              <w:start w:w="70" w:type="dxa"/>
              <w:bottom w:w="60" w:type="dxa"/>
              <w:end w:w="70" w:type="dxa"/>
            </w:tcMar>
            <w:shd w:fill="F5F7F9"/>
          </w:tcPr>
          <w:p>
            <w:pPr>
              <w:spacing w:after="0" w:line="240" w:lineRule="auto"/>
            </w:pPr>
            <w:r/>
            <w:r>
              <w:rPr>
                <w:rFonts w:ascii="Arial" w:hAnsi="Arial"/>
                <w:b w:val="0"/>
                <w:sz w:val="12"/>
              </w:rPr>
              <w:t>S050</w:t>
            </w:r>
          </w:p>
        </w:tc>
        <w:tc>
          <w:tcPr>
            <w:tcW w:type="dxa" w:w="3384"/>
            <w:vAlign w:val="center"/>
            <w:tcMar>
              <w:top w:w="60" w:type="dxa"/>
              <w:start w:w="70" w:type="dxa"/>
              <w:bottom w:w="60" w:type="dxa"/>
              <w:end w:w="70" w:type="dxa"/>
            </w:tcMar>
            <w:shd w:fill="F5F7F9"/>
          </w:tcPr>
          <w:p>
            <w:pPr>
              <w:spacing w:after="0" w:line="240" w:lineRule="auto"/>
            </w:pPr>
            <w:r/>
            <w:r>
              <w:rPr>
                <w:rFonts w:ascii="Arial" w:hAnsi="Arial"/>
                <w:b w:val="0"/>
                <w:sz w:val="12"/>
              </w:rPr>
              <w:t>Amazon</w:t>
              <w:br/>
              <w:t>Rechargeable Lithium Ion Batteries Help Page</w:t>
            </w:r>
          </w:p>
        </w:tc>
        <w:tc>
          <w:tcPr>
            <w:tcW w:type="dxa" w:w="2232"/>
            <w:vAlign w:val="center"/>
            <w:tcMar>
              <w:top w:w="60" w:type="dxa"/>
              <w:start w:w="70" w:type="dxa"/>
              <w:bottom w:w="60" w:type="dxa"/>
              <w:end w:w="70" w:type="dxa"/>
            </w:tcMar>
            <w:shd w:fill="F5F7F9"/>
          </w:tcPr>
          <w:p>
            <w:pPr>
              <w:spacing w:after="0" w:line="240" w:lineRule="auto"/>
            </w:pPr>
            <w:r/>
            <w:r>
              <w:rPr>
                <w:rFonts w:ascii="Arial" w:hAnsi="Arial"/>
                <w:b w:val="0"/>
                <w:sz w:val="12"/>
              </w:rPr>
              <w:t>Official platform help</w:t>
              <w:br/>
              <w:t>Amazon US</w:t>
              <w:br/>
              <w:t>UNVERIFIED</w:t>
            </w:r>
          </w:p>
        </w:tc>
        <w:tc>
          <w:tcPr>
            <w:tcW w:type="dxa" w:w="3672"/>
            <w:vAlign w:val="center"/>
            <w:tcMar>
              <w:top w:w="60" w:type="dxa"/>
              <w:start w:w="70" w:type="dxa"/>
              <w:bottom w:w="60" w:type="dxa"/>
              <w:end w:w="70" w:type="dxa"/>
            </w:tcMar>
            <w:shd w:fill="F5F7F9"/>
          </w:tcPr>
          <w:p>
            <w:pPr>
              <w:spacing w:after="0"/>
            </w:pPr>
            <w:r>
              <w:rPr>
                <w:sz w:val="12"/>
              </w:rPr>
            </w:r>
            <w:hyperlink r:id="rId60">
              <w:r>
                <w:rPr>
                  <w:color w:val="2F6B9A"/>
                  <w:u w:val="single"/>
                </w:rPr>
                <w:t>https://sellercentral.amazon.com/gp/help/external/200383420</w:t>
              </w:r>
            </w:hyperlink>
          </w:p>
        </w:tc>
      </w:tr>
      <w:tr>
        <w:trPr>
          <w:cantSplit/>
        </w:trPr>
        <w:tc>
          <w:tcPr>
            <w:tcW w:type="dxa" w:w="792"/>
            <w:vAlign w:val="center"/>
            <w:tcMar>
              <w:top w:w="60" w:type="dxa"/>
              <w:start w:w="70" w:type="dxa"/>
              <w:bottom w:w="60" w:type="dxa"/>
              <w:end w:w="70" w:type="dxa"/>
            </w:tcMar>
          </w:tcPr>
          <w:p>
            <w:pPr>
              <w:spacing w:after="0" w:line="240" w:lineRule="auto"/>
            </w:pPr>
            <w:r/>
            <w:r>
              <w:rPr>
                <w:rFonts w:ascii="Arial" w:hAnsi="Arial"/>
                <w:b w:val="0"/>
                <w:sz w:val="12"/>
              </w:rPr>
              <w:t>S051</w:t>
            </w:r>
          </w:p>
        </w:tc>
        <w:tc>
          <w:tcPr>
            <w:tcW w:type="dxa" w:w="3384"/>
            <w:vAlign w:val="center"/>
            <w:tcMar>
              <w:top w:w="60" w:type="dxa"/>
              <w:start w:w="70" w:type="dxa"/>
              <w:bottom w:w="60" w:type="dxa"/>
              <w:end w:w="70" w:type="dxa"/>
            </w:tcMar>
          </w:tcPr>
          <w:p>
            <w:pPr>
              <w:spacing w:after="0" w:line="240" w:lineRule="auto"/>
            </w:pPr>
            <w:r/>
            <w:r>
              <w:rPr>
                <w:rFonts w:ascii="Arial" w:hAnsi="Arial"/>
                <w:b w:val="0"/>
                <w:sz w:val="12"/>
              </w:rPr>
              <w:t>Electronic Code of Federal Regulations</w:t>
              <w:br/>
              <w:t>16 CFR 1500.18 Banned Toys and Other Banned Articles Intended for Use by Children</w:t>
            </w:r>
          </w:p>
        </w:tc>
        <w:tc>
          <w:tcPr>
            <w:tcW w:type="dxa" w:w="2232"/>
            <w:vAlign w:val="center"/>
            <w:tcMar>
              <w:top w:w="60" w:type="dxa"/>
              <w:start w:w="70" w:type="dxa"/>
              <w:bottom w:w="60" w:type="dxa"/>
              <w:end w:w="70" w:type="dxa"/>
            </w:tcMar>
          </w:tcPr>
          <w:p>
            <w:pPr>
              <w:spacing w:after="0" w:line="240" w:lineRule="auto"/>
            </w:pPr>
            <w:r/>
            <w:r>
              <w:rPr>
                <w:rFonts w:ascii="Arial" w:hAnsi="Arial"/>
                <w:b w:val="0"/>
                <w:sz w:val="12"/>
              </w:rPr>
              <w:t>Regulation</w:t>
              <w:br/>
              <w:t>USA federal</w:t>
              <w:br/>
              <w:t>VERIFIED</w:t>
            </w:r>
          </w:p>
        </w:tc>
        <w:tc>
          <w:tcPr>
            <w:tcW w:type="dxa" w:w="3672"/>
            <w:vAlign w:val="center"/>
            <w:tcMar>
              <w:top w:w="60" w:type="dxa"/>
              <w:start w:w="70" w:type="dxa"/>
              <w:bottom w:w="60" w:type="dxa"/>
              <w:end w:w="70" w:type="dxa"/>
            </w:tcMar>
          </w:tcPr>
          <w:p>
            <w:pPr>
              <w:spacing w:after="0"/>
            </w:pPr>
            <w:r>
              <w:rPr>
                <w:sz w:val="12"/>
              </w:rPr>
            </w:r>
            <w:hyperlink r:id="rId61">
              <w:r>
                <w:rPr>
                  <w:color w:val="2F6B9A"/>
                  <w:u w:val="single"/>
                </w:rPr>
                <w:t>https://www.ecfr.gov/current/title-16/chapter-II/subchapter-C/part-1500/section-1500.18</w:t>
              </w:r>
            </w:hyperlink>
          </w:p>
        </w:tc>
      </w:tr>
    </w:tbl>
    <w:p>
      <w:pPr>
        <w:spacing w:after="0"/>
      </w:pPr>
    </w:p>
    <w:p>
      <w:pPr>
        <w:pStyle w:val="Heading1"/>
      </w:pPr>
      <w:r>
        <w:t>Use limitation</w:t>
      </w:r>
    </w:p>
    <w:p>
      <w:r>
        <w:t>This deliverable supports product-intake and evidence-routing decisions. It does not replace product-specific legal advice, laboratory scoping, customs classification, carrier acceptance, or an authenticated review of Seller Central at the time a listing is submitted.</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112"/>
      <w:gridCol w:w="5112"/>
    </w:tblGrid>
    <w:tr>
      <w:tc>
        <w:tcPr>
          <w:tcW w:type="dxa" w:w="5112"/>
          <w:vAlign w:val="center"/>
          <w:tcMar>
            <w:top w:w="60" w:type="dxa"/>
            <w:start w:w="70" w:type="dxa"/>
            <w:bottom w:w="60" w:type="dxa"/>
            <w:end w:w="70" w:type="dxa"/>
          </w:tcMar>
        </w:tcPr>
        <w:p>
          <w:pPr>
            <w:spacing w:after="0" w:line="240" w:lineRule="auto"/>
          </w:pPr>
          <w:r/>
          <w:r>
            <w:rPr>
              <w:rFonts w:ascii="Arial" w:hAnsi="Arial"/>
              <w:b w:val="0"/>
              <w:color w:val="5F6B76"/>
              <w:sz w:val="15"/>
            </w:rPr>
            <w:t>US import-risk MVP research   |   Not legal advice</w:t>
          </w:r>
        </w:p>
      </w:tc>
      <w:tc>
        <w:tcPr>
          <w:tcW w:type="dxa" w:w="5112"/>
        </w:tcPr>
        <w:p>
          <w:pPr>
            <w:jc w:val="right"/>
          </w:pPr>
          <w:r>
            <w:rPr>
              <w:sz w:val="15"/>
            </w:rPr>
            <w:t xml:space="preserve">Page </w:t>
          </w:r>
          <w:fldSimple w:instr="PAGE"/>
        </w:p>
      </w:tc>
    </w:tr>
  </w:tbl>
</w:ftr>
</file>

<file path=word/footnotes.xml><?xml version="1.0" encoding="utf-8"?>
<w:footnotes xmlns:w="http://schemas.openxmlformats.org/wordprocessingml/2006/main" xmlns:r="http://schemas.openxmlformats.org/officeDocument/2006/relationships">
  <w:footnote w:id="-1">
    <w:p>
      <w:r>
        <w:separator/>
      </w:r>
    </w:p>
  </w:footnote>
  <w:footnote w:id="0">
    <w:p>
      <w:r>
        <w:continuationSeparator/>
      </w:r>
    </w:p>
  </w:footnote>
  <w:footnote w:id="1">
    <w:p>
      <w:r>
        <w:footnoteRef/>
      </w:r>
      <w:r>
        <w:t> CPSC, Toy Safety Business Guidance, https://www.cpsc.gov/Business--Manufacturing/Business-Education/Toy-Safety; CPSC, Children's Products, https://www.cpsc.gov/Business--Manufacturing/Business-Education/Childrens-Products. Accessed September 9, 2026.</w:t>
      </w:r>
    </w:p>
  </w:footnote>
  <w:footnote w:id="2">
    <w:p>
      <w:r>
        <w:footnoteRef/>
      </w:r>
      <w:r>
        <w:t> 16 CFR part 1250, https://www.ecfr.gov/current/title-16/chapter-II/subchapter-B/part-1250; Federal Register, Safety Standard Mandating ASTM F963 for Toys, January 18, 2024, https://www.federalregister.gov/documents/2024/01/18/2024-00741/safety-standard-mandating-astm-f963-for-toys.</w:t>
      </w:r>
    </w:p>
  </w:footnote>
  <w:footnote w:id="3">
    <w:p>
      <w:r>
        <w:footnoteRef/>
      </w:r>
      <w:r>
        <w:t> 47 CFR 15.201, https://www.ecfr.gov/current/title-47/chapter-I/subchapter-A/part-15/subpart-C/section-15.201; 47 CFR part 15 subpart B, https://www.ecfr.gov/current/title-47/chapter-I/subchapter-A/part-15/subpart-B. Accessed September 9, 2026.</w:t>
      </w:r>
    </w:p>
  </w:footnote>
  <w:footnote w:id="4">
    <w:p>
      <w:r>
        <w:footnoteRef/>
      </w:r>
      <w:r>
        <w:t> PHMSA, Lithium Batteries, https://www.phmsa.dot.gov/lithiumbatteries; 49 CFR 173.185, https://www.ecfr.gov/current/title-49/subtitle-B/chapter-I/subchapter-C/part-173/subpart-E/section-173.185. Accessed September 9, 2026.</w:t>
      </w:r>
    </w:p>
  </w:footnote>
  <w:footnote w:id="5">
    <w:p>
      <w:r>
        <w:footnoteRef/>
      </w:r>
      <w:r>
        <w:t> CPSC, Button Cell and Coin Battery Business Guidance, https://www.cpsc.gov/Business--Manufacturing/Business-Education/Business-Guidance/Button-Cell-and-Coin-Battery; 16 CFR part 1263, https://www.ecfr.gov/current/title-16/chapter-II/subchapter-B/part-1263.</w:t>
      </w:r>
    </w:p>
  </w:footnote>
  <w:footnote w:id="6">
    <w:p>
      <w:r>
        <w:footnoteRef/>
      </w:r>
      <w:r>
        <w:t> Amazon official notices, https://sellercentral.amazon.com/seller-forums/discussions/t/7925a57b-4be5-4176-a918-329133a4536c and https://sellercentral.amazon.com/seller-forums/discussions/t/60949da6-acff-4075-bf52-56f916df3370; eBay Product Safety Policy, https://www.ebay.com/help/policies/prohibited-restricted-items/product-safety-policy?id=4300.</w:t>
      </w:r>
    </w:p>
  </w:footnote>
  <w:footnote w:id="7">
    <w:p>
      <w:r>
        <w:footnoteRef/>
      </w:r>
      <w:r>
        <w:t> Amazon, Updates to children's toy compliance requirements, https://sellercentral.amazon.com/seller-forums/discussions/t/7925a57b-4be5-4176-a918-329133a4536c; eBay Product Safety Policy, https://www.ebay.com/help/policies/prohibited-restricted-items/product-safety-policy?id=4300. Accessed September 9, 2026.</w:t>
      </w:r>
    </w:p>
  </w:footnote>
  <w:footnote w:id="8">
    <w:p>
      <w:r>
        <w:footnoteRef/>
      </w:r>
      <w:r>
        <w:t> DOE, External Power Supplies, https://www.energy.gov/cmei/buildings/external-power-supplies; 10 CFR 430.32, https://www.ecfr.gov/current/title-10/chapter-II/subchapter-D/part-430/subpart-C/section-430.32; 10 CFR part 429 subpart B, https://www.ecfr.gov/current/title-10/chapter-II/subchapter-D/part-429/subpart-B.</w:t>
      </w:r>
    </w:p>
  </w:footnote>
  <w:footnote w:id="9">
    <w:p>
      <w:r>
        <w:footnoteRef/>
      </w:r>
      <w:r>
        <w:t> Amazon FCC listing notice, https://sellercentral.amazon.com/seller-forums/discussions/t/60ee9c8385ec3ac79b401336c27a5dfd; Amazon lithium policy update, https://sellercentral.amazon.com/seller-forums/discussions/t/60949da6-acff-4075-bf52-56f916df3370; eBay Electronic Equipment Policy, https://www.ebay.com/help/policies/prohibited-restricted-items/electronic-equipment-policy?id=4302.</w:t>
      </w:r>
    </w:p>
  </w:footnote>
  <w:footnote w:id="10">
    <w:p>
      <w:r>
        <w:footnoteRef/>
      </w:r>
      <w:r>
        <w:t> 19 CFR 134.11, https://www.ecfr.gov/current/title-19/chapter-I/part-134/subpart-B/section-134.11; California OEHHA, Businesses and Proposition 65, https://oehha.ca.gov/proposition-65/businesses-and-proposition-65; OEHHA warning amendments, https://oehha.ca.gov/proposition-65/crnr/proposition-65-clear-and-reasonable-warnings-safe-harbor-methods-and-content.</w:t>
      </w:r>
    </w:p>
  </w:footnote>
  <w:footnote w:id="11">
    <w:p>
      <w:r>
        <w:footnoteRef/>
      </w:r>
      <w:r>
        <w:t> FCC, Schedule of Application Fees, 90 FR 17012, effective May 23, 2025, https://www.federalregister.gov/documents/2025/04/23/2025-06899/schedule-of-application-fees.</w:t>
      </w:r>
    </w:p>
  </w:footnote>
  <w:footnote w:id="12">
    <w:p>
      <w:r>
        <w:footnoteRef/>
      </w:r>
      <w:r>
        <w:t> CPSC, Safety Standard for Button Cell or Coin Batteries and Consumer Products Containing Such Batteries, 88 FR 65274, September 21, 2023, https://www.federalregister.gov/documents/2023/09/21/2023-20333/safety-standard-for-button-cell-or-coin-batteries-and-consumer-products-containing-such-batteries.</w:t>
      </w:r>
    </w:p>
  </w:footnote>
  <w:footnote w:id="13">
    <w:p>
      <w:r>
        <w:footnoteRef/>
      </w:r>
      <w:r>
        <w:t> CPSC, Safety Standard for Toys Requirements for Neck Floats, 90 FR 58096, December 15, 2025, https://www.federalregister.gov/documents/2025/12/15/2025-22827/safety-standard-for-toys-requirements-for-neck-floats.</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F6B76"/>
        <w:sz w:val="15"/>
      </w:rPr>
      <w:t>IMPORTREADY AI   |   RESEARCH DATE 2026-09-09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2F6B9A"/>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2E7D6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5F6B7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psc.gov/Business--Manufacturing/Business-Education/Toy-Safety" TargetMode="External"/><Relationship Id="rId12" Type="http://schemas.openxmlformats.org/officeDocument/2006/relationships/hyperlink" Target="https://www.ecfr.gov/current/title-16/chapter-II/subchapter-B/part-1250" TargetMode="External"/><Relationship Id="rId13" Type="http://schemas.openxmlformats.org/officeDocument/2006/relationships/hyperlink" Target="https://www.cpsc.gov/Business--Manufacturing/Business-Education/Toy-Safety/ASTM-F-963-Chart" TargetMode="External"/><Relationship Id="rId14" Type="http://schemas.openxmlformats.org/officeDocument/2006/relationships/hyperlink" Target="https://www.cpsc.gov/Business--Manufacturing/Testing-Certification/Childrens-Product-Certificate" TargetMode="External"/><Relationship Id="rId15" Type="http://schemas.openxmlformats.org/officeDocument/2006/relationships/hyperlink" Target="https://www.ecfr.gov/current/title-16/chapter-II/subchapter-B/part-1112/subpart-B/section-1112.15" TargetMode="External"/><Relationship Id="rId16" Type="http://schemas.openxmlformats.org/officeDocument/2006/relationships/hyperlink" Target="https://www.cpsc.gov/Business--Manufacturing/Business-Education/Childrens-Products" TargetMode="External"/><Relationship Id="rId17" Type="http://schemas.openxmlformats.org/officeDocument/2006/relationships/hyperlink" Target="https://www.cpsc.gov/Business--Manufacturing/Business-Education/Lead/Total-Lead-Content" TargetMode="External"/><Relationship Id="rId18" Type="http://schemas.openxmlformats.org/officeDocument/2006/relationships/hyperlink" Target="https://www.cpsc.gov/Business--Manufacturing/Business-Education/Lead/Lead-in-Paint" TargetMode="External"/><Relationship Id="rId19" Type="http://schemas.openxmlformats.org/officeDocument/2006/relationships/hyperlink" Target="https://www.cpsc.gov/Business--Manufacturing/Business-Education/Business-Guidance/Phthalates" TargetMode="External"/><Relationship Id="rId20" Type="http://schemas.openxmlformats.org/officeDocument/2006/relationships/hyperlink" Target="https://www.cpsc.gov/Business--Manufacturing/Business-Education/Business-Guidance/Small-Parts-for-Toys-and-Childrens-Products" TargetMode="External"/><Relationship Id="rId21" Type="http://schemas.openxmlformats.org/officeDocument/2006/relationships/hyperlink" Target="https://www.cpsc.gov/Business--Manufacturing/Business-Education/tracking-label" TargetMode="External"/><Relationship Id="rId22" Type="http://schemas.openxmlformats.org/officeDocument/2006/relationships/hyperlink" Target="https://www.ecfr.gov/current/title-16/chapter-II/subchapter-C/part-1505" TargetMode="External"/><Relationship Id="rId23" Type="http://schemas.openxmlformats.org/officeDocument/2006/relationships/hyperlink" Target="https://www.cpsc.gov/Business--Manufacturing/Business-Education/Business-Guidance/Button-Cell-and-Coin-Battery" TargetMode="External"/><Relationship Id="rId24" Type="http://schemas.openxmlformats.org/officeDocument/2006/relationships/hyperlink" Target="https://www.ecfr.gov/current/title-16/chapter-II/subchapter-B/part-1263" TargetMode="External"/><Relationship Id="rId25" Type="http://schemas.openxmlformats.org/officeDocument/2006/relationships/hyperlink" Target="https://www.cpsc.gov/Business--Manufacturing/Business-Education/Business-Guidance/Magnets" TargetMode="External"/><Relationship Id="rId26" Type="http://schemas.openxmlformats.org/officeDocument/2006/relationships/hyperlink" Target="https://www.ecfr.gov/current/title-16/chapter-II/subchapter-B/part-1250/section-1250.4" TargetMode="External"/><Relationship Id="rId27" Type="http://schemas.openxmlformats.org/officeDocument/2006/relationships/hyperlink" Target="https://www.ecfr.gov/current/title-16/chapter-II/subchapter-B/part-1250/section-1250.5" TargetMode="External"/><Relationship Id="rId28" Type="http://schemas.openxmlformats.org/officeDocument/2006/relationships/hyperlink" Target="https://www.federalregister.gov/documents/2024/01/18/2024-00741/safety-standard-mandating-astm-f963-for-toys" TargetMode="External"/><Relationship Id="rId29" Type="http://schemas.openxmlformats.org/officeDocument/2006/relationships/hyperlink" Target="https://www.ecfr.gov/current/title-47/chapter-I/subchapter-A/part-15/subpart-C/section-15.201" TargetMode="External"/><Relationship Id="rId30" Type="http://schemas.openxmlformats.org/officeDocument/2006/relationships/hyperlink" Target="https://www.ecfr.gov/current/title-47/chapter-I/subchapter-A/part-15/subpart-B" TargetMode="External"/><Relationship Id="rId31" Type="http://schemas.openxmlformats.org/officeDocument/2006/relationships/hyperlink" Target="https://www.ecfr.gov/current/title-47/chapter-I/subchapter-A/part-15/subpart-A" TargetMode="External"/><Relationship Id="rId32" Type="http://schemas.openxmlformats.org/officeDocument/2006/relationships/hyperlink" Target="https://www.ecfr.gov/current/title-47/chapter-I/subchapter-A/part-2/subpart-J/subject-group-ECFR64d0de5de218f0c/section-2.1077" TargetMode="External"/><Relationship Id="rId33" Type="http://schemas.openxmlformats.org/officeDocument/2006/relationships/hyperlink" Target="https://www.ecfr.gov/current/title-47/chapter-I/subchapter-A/part-2/subpart-J/subject-group-ECFR52efa600149ef42/section-2.1093" TargetMode="External"/><Relationship Id="rId34" Type="http://schemas.openxmlformats.org/officeDocument/2006/relationships/hyperlink" Target="https://www.ecfr.gov/current/title-47/chapter-I/subchapter-A/part-2/subpart-J/subject-group-ECFR52efa600149ef42/section-2.1091" TargetMode="External"/><Relationship Id="rId35" Type="http://schemas.openxmlformats.org/officeDocument/2006/relationships/hyperlink" Target="https://www.phmsa.dot.gov/lithiumbatteries" TargetMode="External"/><Relationship Id="rId36" Type="http://schemas.openxmlformats.org/officeDocument/2006/relationships/hyperlink" Target="https://www.ecfr.gov/current/title-49/subtitle-B/chapter-I/subchapter-C/part-173/subpart-E/section-173.185" TargetMode="External"/><Relationship Id="rId37" Type="http://schemas.openxmlformats.org/officeDocument/2006/relationships/hyperlink" Target="https://www.energy.gov/cmei/buildings/external-power-supplies" TargetMode="External"/><Relationship Id="rId38" Type="http://schemas.openxmlformats.org/officeDocument/2006/relationships/hyperlink" Target="https://www.ecfr.gov/current/title-10/chapter-II/subchapter-D/part-429/subpart-B/section-429.37" TargetMode="External"/><Relationship Id="rId39" Type="http://schemas.openxmlformats.org/officeDocument/2006/relationships/hyperlink" Target="https://www.ecfr.gov/current/title-19/chapter-I/part-134/subpart-B/section-134.11" TargetMode="External"/><Relationship Id="rId40" Type="http://schemas.openxmlformats.org/officeDocument/2006/relationships/hyperlink" Target="https://sellercentral.amazon.com/seller-forums/discussions/t/7925a57b-4be5-4176-a918-329133a4536c" TargetMode="External"/><Relationship Id="rId41" Type="http://schemas.openxmlformats.org/officeDocument/2006/relationships/hyperlink" Target="https://sellercentral.amazon.com/seller-forums/discussions/t/60ee9c8385ec3ac79b401336c27a5dfd" TargetMode="External"/><Relationship Id="rId42" Type="http://schemas.openxmlformats.org/officeDocument/2006/relationships/hyperlink" Target="https://sellercentral.amazon.com/seller-forums/discussions/t/60949da6-acff-4075-bf52-56f916df3370" TargetMode="External"/><Relationship Id="rId43" Type="http://schemas.openxmlformats.org/officeDocument/2006/relationships/hyperlink" Target="https://www.ebay.com/help/policies/prohibited-restricted-items/product-safety-policy?id=4300" TargetMode="External"/><Relationship Id="rId44" Type="http://schemas.openxmlformats.org/officeDocument/2006/relationships/hyperlink" Target="https://www.ebay.com/help/policies/prohibited-restricted-items/electronic-equipment-policy?id=4302" TargetMode="External"/><Relationship Id="rId45" Type="http://schemas.openxmlformats.org/officeDocument/2006/relationships/hyperlink" Target="https://oehha.ca.gov/proposition-65/businesses-and-proposition-65" TargetMode="External"/><Relationship Id="rId46" Type="http://schemas.openxmlformats.org/officeDocument/2006/relationships/hyperlink" Target="https://oehha.ca.gov/proposition-65/crnr/proposition-65-clear-and-reasonable-warnings-safe-harbor-methods-and-content" TargetMode="External"/><Relationship Id="rId47" Type="http://schemas.openxmlformats.org/officeDocument/2006/relationships/hyperlink" Target="https://www.federalregister.gov/documents/2023/09/21/2023-20333/safety-standard-for-button-cell-or-coin-batteries-and-consumer-products-containing-such-batteries" TargetMode="External"/><Relationship Id="rId48" Type="http://schemas.openxmlformats.org/officeDocument/2006/relationships/hyperlink" Target="https://www.federalregister.gov/documents/2025/12/15/2025-22827/safety-standard-for-toys-requirements-for-neck-floats" TargetMode="External"/><Relationship Id="rId49" Type="http://schemas.openxmlformats.org/officeDocument/2006/relationships/hyperlink" Target="https://www.ecfr.gov/current/title-47/chapter-I/subchapter-A/part-2/subpart-J" TargetMode="External"/><Relationship Id="rId50" Type="http://schemas.openxmlformats.org/officeDocument/2006/relationships/hyperlink" Target="https://apps.fcc.gov/oetcf/kdb/forms/FTSSearchResultPage.cfm?id=44637&amp;switch=P" TargetMode="External"/><Relationship Id="rId51" Type="http://schemas.openxmlformats.org/officeDocument/2006/relationships/hyperlink" Target="https://www.cpsc.gov/FAQ/Material-Change-Testing" TargetMode="External"/><Relationship Id="rId52" Type="http://schemas.openxmlformats.org/officeDocument/2006/relationships/hyperlink" Target="https://www.cpsc.gov/FAQ/Periodic-Testing" TargetMode="External"/><Relationship Id="rId53" Type="http://schemas.openxmlformats.org/officeDocument/2006/relationships/hyperlink" Target="https://www.ecfr.gov/current/title-10/chapter-II/subchapter-D/part-430/subpart-C/section-430.32" TargetMode="External"/><Relationship Id="rId54" Type="http://schemas.openxmlformats.org/officeDocument/2006/relationships/hyperlink" Target="https://www.ecfr.gov/current/title-10/chapter-II/subchapter-D/part-429/subpart-B" TargetMode="External"/><Relationship Id="rId55" Type="http://schemas.openxmlformats.org/officeDocument/2006/relationships/hyperlink" Target="https://www.ul.com/services/iec-62368-1-testing-certification" TargetMode="External"/><Relationship Id="rId56" Type="http://schemas.openxmlformats.org/officeDocument/2006/relationships/hyperlink" Target="https://www.federalregister.gov/documents/2026/08/07/2026-16197/protecting-against-national-security-threats-to-the-communications-supply-chain-through-the" TargetMode="External"/><Relationship Id="rId57" Type="http://schemas.openxmlformats.org/officeDocument/2006/relationships/hyperlink" Target="https://www.federalregister.gov/documents/2025/04/23/2025-06899/schedule-of-application-fees" TargetMode="External"/><Relationship Id="rId58" Type="http://schemas.openxmlformats.org/officeDocument/2006/relationships/hyperlink" Target="https://www.ecfr.gov/current/title-47/chapter-I/subchapter-A/part-2/subpart-J?toc=1" TargetMode="External"/><Relationship Id="rId59" Type="http://schemas.openxmlformats.org/officeDocument/2006/relationships/hyperlink" Target="https://sellercentral.amazon.com/help/hub/reference/external/GKJRA3FRPRKVBJJS?locale=en-US" TargetMode="External"/><Relationship Id="rId60" Type="http://schemas.openxmlformats.org/officeDocument/2006/relationships/hyperlink" Target="https://sellercentral.amazon.com/gp/help/external/200383420" TargetMode="External"/><Relationship Id="rId61" Type="http://schemas.openxmlformats.org/officeDocument/2006/relationships/hyperlink" Target="https://www.ecfr.gov/current/title-16/chapter-II/subchapter-C/part-1500/section-1500.18" TargetMode="External"/><Relationship Id="rId62"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