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t>ImportReady AI</w:t>
      </w:r>
    </w:p>
    <w:p>
      <w:pPr>
        <w:pStyle w:val="Subtitle"/>
        <w:spacing w:after="60"/>
      </w:pPr>
      <w:r>
        <w:t>Compliance Dataset Supplement v1 — Notes</w:t>
      </w:r>
    </w:p>
    <w:p>
      <w:pPr>
        <w:spacing w:after="200"/>
      </w:pPr>
      <w:r>
        <w:rPr>
          <w:b/>
          <w:color w:val="2F75B5"/>
        </w:rPr>
        <w:t>United States • Children’s toys and small consumer electronics • Amazon / eBay • Checked 9 September 2026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2CC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17365D"/>
                <w:sz w:val="20"/>
              </w:rPr>
              <w:t>Core correction: evidence strength and regulatory lifecycle are now separate. A VERIFIED proposal remains PROPOSED and must not be presented as an effective obligation.</w:t>
            </w:r>
          </w:p>
        </w:tc>
      </w:tr>
    </w:tbl>
    <w:p>
      <w:pPr>
        <w:spacing w:after="0"/>
      </w:pPr>
    </w:p>
    <w:p>
      <w:pPr>
        <w:pStyle w:val="Heading1"/>
      </w:pPr>
      <w:r>
        <w:t>1. What was added</w:t>
      </w:r>
    </w:p>
    <w:p>
      <w:pPr>
        <w:pStyle w:val="ListBullet"/>
        <w:keepLines/>
        <w:spacing w:after="60"/>
      </w:pPr>
      <w:r>
        <w:t>A non-destructive patch for all 41 existing Rule IDs, splitting evidence_status from rule_status and preserving the original record as the audit baseline.</w:t>
      </w:r>
    </w:p>
    <w:p>
      <w:pPr>
        <w:pStyle w:val="ListBullet"/>
        <w:keepLines/>
        <w:spacing w:after="60"/>
      </w:pPr>
      <w:r>
        <w:t>Update-check metadata for all 41 existing P0 sources, the two restricted Amazon help sources, and 19 new targeted sources (61 records total).</w:t>
      </w:r>
    </w:p>
    <w:p>
      <w:pPr>
        <w:pStyle w:val="ListBullet"/>
        <w:keepLines/>
        <w:spacing w:after="60"/>
      </w:pPr>
      <w:r>
        <w:t>Twenty-four cost records with source-specific currency, basis, scope, exclusions, price status, confidence, and check date; unavailable prices remain QUOTE_REQUIRED or NOT_FOUND.</w:t>
      </w:r>
    </w:p>
    <w:p>
      <w:pPr>
        <w:pStyle w:val="ListBullet"/>
        <w:keepLines/>
        <w:spacing w:after="60"/>
      </w:pPr>
      <w:r>
        <w:t>A minimum-information map for all 33 P0 rules, including the clarification question and the safe runtime status when an answer is missing.</w:t>
      </w:r>
    </w:p>
    <w:p>
      <w:pPr>
        <w:pStyle w:val="ListBullet"/>
        <w:keepLines/>
        <w:spacing w:after="60"/>
      </w:pPr>
      <w:r>
        <w:t>A focused gap register covering Amazon evidence, provider pricing, lifecycle, re-accessibility, and remaining laboratory-price gaps.</w:t>
      </w:r>
    </w:p>
    <w:p>
      <w:pPr>
        <w:pStyle w:val="Heading1"/>
      </w:pPr>
      <w:r>
        <w:t>2. Status model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Allowed values</w:t>
            </w:r>
          </w:p>
        </w:tc>
        <w:tc>
          <w:tcPr>
            <w:tcW w:type="dxa" w:w="48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Meaning / use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F5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evidence_status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F5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VERIFIED • UNVERIFIED • CONFLICT • NOT_FOUND</w:t>
            </w:r>
          </w:p>
        </w:tc>
        <w:tc>
          <w:tcPr>
            <w:tcW w:type="dxa" w:w="48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F5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Whether adequate evidence supports the claim. This field does not say whether a rule is currently in force.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rule_status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EFFECTIVE • PROPOSED • SUPERSEDED • WATCHLIST • UNKNOWN</w:t>
            </w:r>
          </w:p>
        </w:tc>
        <w:tc>
          <w:tcPr>
            <w:tcW w:type="dxa" w:w="48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Regulatory or policy lifecycle. Only EFFECTIVE enters the obligation engine, and still only after trigger evaluation.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F5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applicability_status (runtime)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F5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APPLICABLE • NOT_APPLICABLE • NEEDS_INFO • REVIEW_REQUIRED</w:t>
            </w:r>
          </w:p>
        </w:tc>
        <w:tc>
          <w:tcPr>
            <w:tcW w:type="dxa" w:w="48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F5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Per-product decision state. It belongs in application output, not in the static rule evidence record.</w:t>
            </w:r>
          </w:p>
        </w:tc>
      </w:tr>
    </w:tbl>
    <w:p>
      <w:pPr>
        <w:spacing w:after="0"/>
      </w:pPr>
    </w:p>
    <w:p>
      <w:pPr>
        <w:pStyle w:val="Heading2"/>
      </w:pPr>
      <w:r>
        <w:t>Safe evaluation order</w:t>
      </w:r>
    </w:p>
    <w:p>
      <w:r>
        <w:rPr>
          <w:b/>
        </w:rPr>
        <w:t xml:space="preserve">Evidence check → lifecycle gate → trigger evaluation → runtime applicability. </w:t>
      </w:r>
      <w:r>
        <w:t>PROPOSED, SUPERSEDED, WATCHLIST, and UNKNOWN records must not be converted into an effective duty. Missing trigger data returns NEEDS_INFO; judgment-heavy or dynamic platform cases return REVIEW_REQUIRED.</w:t>
      </w:r>
    </w:p>
    <w:p>
      <w:pPr>
        <w:pStyle w:val="Heading1"/>
      </w:pPr>
      <w:r>
        <w:t>3. Original records needing schema correction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Scope / Rule ID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Proposed evidence_status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Proposed rule_status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Correction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F5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All 41 existing rules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F5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VERIFIED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F5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See lifecycle below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F5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Migrate the original verification value into evidence_status; add a separate rule_status. Do not overwrite the original dataset.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R-ELEC-019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VERIFIED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PROPOSED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The FCC 2026 supply-chain / SDoC / U.S.-liable-party material is a verified proposal only. Exclude it from compliance obligations.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F5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R-ELEC-018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F5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VERIFIED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F5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WATCHLIST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F5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UL 62368-1 is a relevant industry safety standard, but the original evidence does not establish a universal federal mandate for every small consumer electronic product.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Other 39 rules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VERIFIED</w:t>
            </w:r>
          </w:p>
        </w:tc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EFFECTIVE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Keep trigger conditions intact. EFFECTIVE means the rule or platform policy is current, not that it applies to every product.</w:t>
            </w:r>
          </w:p>
        </w:tc>
      </w:tr>
    </w:tbl>
    <w:p>
      <w:pPr>
        <w:spacing w:after="0"/>
      </w:pPr>
    </w:p>
    <w:p>
      <w:pPr>
        <w:pStyle w:val="Heading1"/>
      </w:pPr>
      <w:r>
        <w:t>4. Targeted gap outcomes</w:t>
      </w:r>
    </w:p>
    <w:p>
      <w:pPr>
        <w:pStyle w:val="Heading2"/>
      </w:pPr>
      <w:r>
        <w:t>Amazon evidence</w:t>
      </w:r>
    </w:p>
    <w:p>
      <w:pPr>
        <w:pStyle w:val="ListBullet"/>
        <w:keepLines/>
        <w:spacing w:after="60"/>
      </w:pPr>
      <w:r>
        <w:t>Children’s toys improved to VERIFIED for the public baseline: official Amazon moderator guidance describes annual Direct Validation, a typical CPC plus a test report issued within the past 12 months by a CPSC-accepted laboratory, and coverage for ASTM F963-23, phthalates, tracking labels, and small parts. Exact ASIN/provider decisions remain dynamic (S052–S054).</w:t>
      </w:r>
    </w:p>
    <w:p>
      <w:pPr>
        <w:pStyle w:val="ListBullet"/>
        <w:keepLines/>
        <w:spacing w:after="60"/>
      </w:pPr>
      <w:r>
        <w:t>The workflow is now traceable: Account Health → Policy Compliance → Food and Product Safety Issues; request provider quotes, create/link the Test Request Form, and review or appeal the result (S053).</w:t>
      </w:r>
    </w:p>
    <w:p>
      <w:pPr>
        <w:pStyle w:val="ListBullet"/>
        <w:keepLines/>
        <w:spacing w:after="60"/>
      </w:pPr>
      <w:r>
        <w:t>Rechargeable-lithium scope, listing attributes, and TIC verification remain supported by the official forum source, but exact detailed document standards and report-age fields remain UNVERIFIED because the help-page body is login/JavaScript restricted (S032, S050).</w:t>
      </w:r>
    </w:p>
    <w:p>
      <w:pPr>
        <w:pStyle w:val="ListBullet"/>
        <w:keepLines/>
        <w:spacing w:after="60"/>
      </w:pPr>
      <w:r>
        <w:t>No reliable standardized public price for an Amazon-approved provider was found. Pricing remains per-ASIN/provider QUOTE_REQUIRED; the live Account Health provider picker is the update authority.</w:t>
      </w:r>
    </w:p>
    <w:p>
      <w:pPr>
        <w:pStyle w:val="Heading2"/>
      </w:pPr>
      <w:r>
        <w:t>Cost findings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Public information found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Use in MVP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F5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Toy package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F5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SGS public configurations: HKD 5,600 hard-toy base; HKD 3,500 soft-toy base; battery add-ons HKD 3,550 without adapter / HKD 4,550 with adapter.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F5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Display as vendor-specific public prices only, preserving HKD, selected scope, sample caveat, and exclusions.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Toy planning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ComplianceGate: USD 500–1,800 typical CPSIA + ASTM F963; USD 400–800 simple coated wooden-block example; USD 1,500–2,500 complex electronic-toy example.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Label PUBLIC_ESTIMATE, not a lab quote. Never generalize an example to all toys.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F5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FCC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F5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Provider framework: USD 3,000–5,000 basic non-transmitter; USD 6,500–10,000 certified-module device; USD 9,000–12,000 complete unlicensed transmitter. SAR basic-device estimate USD 3,000–5,000.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F5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Use as planning ranges with configuration exclusions. Obtain model-specific lab and TCB quotes.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UN 38.3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One provider range of USD 300–930 was found, but basis and samples are insufficiently itemized; Intertek and Kiwa are quote-only.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Show only with LOW confidence; require 2–3 written quotes before procurement.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F5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Not publicly priced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F5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Standalone lead, standalone phthalates, TCB review, and Amazon-approved TIC services.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F5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Return QUOTE_REQUIRED / NOT_FOUND. NOT_FOUND never means NOT_REQUIRED.</w:t>
            </w:r>
          </w:p>
        </w:tc>
      </w:tr>
    </w:tbl>
    <w:p>
      <w:pPr>
        <w:spacing w:after="0"/>
      </w:pPr>
    </w:p>
    <w:p>
      <w:pPr>
        <w:pStyle w:val="Heading1"/>
      </w:pPr>
      <w:r>
        <w:t>5. What remains unresolved</w:t>
      </w:r>
    </w:p>
    <w:p>
      <w:pPr>
        <w:pStyle w:val="ListBullet"/>
        <w:keepLines/>
        <w:spacing w:after="60"/>
      </w:pPr>
      <w:r>
        <w:t>Current itemized public prices for standalone lead testing and standalone phthalates testing.</w:t>
      </w:r>
    </w:p>
    <w:p>
      <w:pPr>
        <w:pStyle w:val="ListBullet"/>
        <w:keepLines/>
        <w:spacing w:after="60"/>
      </w:pPr>
      <w:r>
        <w:t>Independent, procurement-ready UN 38.3 prices with battery family, sample count, retest, shipment, and report deliverables specified.</w:t>
      </w:r>
    </w:p>
    <w:p>
      <w:pPr>
        <w:pStyle w:val="ListBullet"/>
        <w:keepLines/>
        <w:spacing w:after="60"/>
      </w:pPr>
      <w:r>
        <w:t>Public TCB review/certification fees separated from transmitter testing, filing, confidentiality, KDB, and permissive-change charges.</w:t>
      </w:r>
    </w:p>
    <w:p>
      <w:pPr>
        <w:pStyle w:val="ListBullet"/>
        <w:keepLines/>
        <w:spacing w:after="60"/>
      </w:pPr>
      <w:r>
        <w:t>Amazon-approved provider pricing and a stable unauthenticated provider roster.</w:t>
      </w:r>
    </w:p>
    <w:p>
      <w:pPr>
        <w:pStyle w:val="ListBullet"/>
        <w:keepLines/>
        <w:spacing w:after="60"/>
      </w:pPr>
      <w:r>
        <w:t>Exact Amazon rechargeable-lithium document standards and report-age requirements from the restricted help page.</w:t>
      </w:r>
    </w:p>
    <w:p>
      <w:pPr>
        <w:pStyle w:val="ListBullet"/>
        <w:keepLines/>
        <w:spacing w:after="60"/>
      </w:pPr>
      <w:r>
        <w:t>Machine-readable update dates on several regulator guidance and platform pages; these require body-diff and manual confirmation.</w:t>
      </w:r>
    </w:p>
    <w:p>
      <w:pPr>
        <w:pStyle w:val="Heading1"/>
      </w:pPr>
      <w:r>
        <w:t>6. Recommendations for the 4-day MVP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82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Implement now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F5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 — Status safety</w:t>
            </w:r>
          </w:p>
        </w:tc>
        <w:tc>
          <w:tcPr>
            <w:tcW w:type="dxa" w:w="82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F5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Add the three separate fields exactly as proposed. Gate obligations on rule_status = EFFECTIVE before evaluating product triggers.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 — Clarification flow</w:t>
            </w:r>
          </w:p>
        </w:tc>
        <w:tc>
          <w:tcPr>
            <w:tcW w:type="dxa" w:w="82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Use the 33-row P0_Required_Attributes sheet. Unknown trigger data returns NEEDS_INFO or REVIEW_REQUIRED and asks the stored question; never infer NOT_APPLICABLE.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F5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3 — Verified scope</w:t>
            </w:r>
          </w:p>
        </w:tc>
        <w:tc>
          <w:tcPr>
            <w:tcW w:type="dxa" w:w="82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F5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Keep the original verified P0 subset. Treat R-ELEC-019 as display-only PROPOSED and R-ELEC-018 as WATCHLIST. Keep state and platform layers visibly distinct from federal law.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4 — Amazon handling</w:t>
            </w:r>
          </w:p>
        </w:tc>
        <w:tc>
          <w:tcPr>
            <w:tcW w:type="dxa" w:w="82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Use the verified public toy baseline as expected-document tasks, but require Account Health/provider confirmation before a final platform result. Preserve lithium detail as UNVERIFIED.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F5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5 — Costs</w:t>
            </w:r>
          </w:p>
        </w:tc>
        <w:tc>
          <w:tcPr>
            <w:tcW w:type="dxa" w:w="82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F5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Show vendor-specific amounts and dated planning estimates separately. For missing prices, generate a quote checklist instead of a synthetic range.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6 — Update checks</w:t>
            </w:r>
          </w:p>
        </w:tc>
        <w:tc>
          <w:tcPr>
            <w:tcW w:type="dxa" w:w="82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Store canonical URL, check method, last check, last known update, access state, and immutable check history. Restricted/dynamic pages route to manual authenticated review.</w:t>
            </w:r>
          </w:p>
        </w:tc>
      </w:tr>
    </w:tbl>
    <w:p>
      <w:pPr>
        <w:spacing w:after="0"/>
      </w:pPr>
    </w:p>
    <w:p>
      <w:pPr>
        <w:pStyle w:val="Heading1"/>
      </w:pPr>
      <w:r>
        <w:t>7. Key supplemental sources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IDs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Authority / use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7365D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Canonical URL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F5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S052–S054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F5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Amazon official moderator — Direct Validation policy, workflow, report age/provider selection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F5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sellercentral.amazon.com/seller-forums/discussions/t/959caabf-06c2-41b7-95ed-d48008259bb7</w:t>
              <w:br/>
              <w:t>…/t/ab07e99c-e287-451f-9e4d-3944d8d8897f</w:t>
              <w:br/>
              <w:t>…/t/6fdad345-8c82-47fd-9c68-685d87d92cae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S055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SGS TIC Mall — public US toy package prices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https://ticmall.sgs.com/en/service_details/hl-toy-testing-service-for-us-market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F5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S058–S060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F5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Compliance Testing / RF Exposure Lab — FCC and SAR planning ranges/case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F5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https://compliancetesting.com/fcc-certification-faqs/fcc-certification-cost/</w:t>
              <w:br/>
              <w:t>https://compliancetesting.com/sar-testing-cost/</w:t>
              <w:br/>
              <w:t>https://rfexposurelab.com/case-study/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S063–S065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JJR / Intertek / Kiwa — UN 38.3 price attempt and quote-only services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https://www.jjrlab.com/news/what-is-a-un383-test-report-how-much-does-it-cost.html</w:t>
              <w:br/>
              <w:t>https://www.intertek.com/batteries/un-38-3-testing/</w:t>
              <w:br/>
              <w:t>https://www.kiwa.com/de/en-de/services/testing/battery-testing/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F5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S066–S068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F5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Intertek / ACB / MiCOM — TCB service and quote paths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F5FA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https://www.intertek.com/communications-equipment/tcb/</w:t>
              <w:br/>
              <w:t>https://acbcert.com/understanding-equipment-authorization/</w:t>
              <w:br/>
              <w:t>https://micomlabs.com/certifications/</w:t>
            </w:r>
          </w:p>
        </w:tc>
      </w:tr>
    </w:tbl>
    <w:p>
      <w:pPr>
        <w:spacing w:after="0"/>
      </w:pPr>
    </w:p>
    <w:p>
      <w:pPr>
        <w:spacing w:before="80"/>
      </w:pPr>
      <w:r>
        <w:rPr>
          <w:b/>
          <w:color w:val="17365D"/>
        </w:rPr>
        <w:t xml:space="preserve">Scope note. </w:t>
      </w:r>
      <w:r>
        <w:t>This supplement is a source-traceable research dataset for MVP design, not legal advice. It does not amend the original workbook or research report. Consult qualified counsel or the relevant authority for product-specific determinations.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5"/>
      </w:rPr>
      <w:t xml:space="preserve">Compliance Dataset Supplement v1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2F75B5"/>
        <w:sz w:val="15"/>
      </w:rPr>
      <w:t>IMPORTREADY AI  •  SUPPLEMENT 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75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b w:val="0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ImportReady AI Compliance Dataset Supplement v1 — Notes</dc:title>
  <dc:subject>Status schema, update-check metadata, targeted cost research, gaps, and MVP recommendations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