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eastAsia="Arial"/>
          <w:b/>
          <w:i w:val="0"/>
          <w:color w:val="2E74B5"/>
          <w:sz w:val="20"/>
        </w:rPr>
        <w:t>ADR-001  |  ACCEPTED - AS-BUILT BASELINE</w:t>
      </w:r>
    </w:p>
    <w:p>
      <w:pPr>
        <w:pStyle w:val="Title"/>
      </w:pPr>
      <w:r>
        <w:rPr>
          <w:rFonts w:ascii="Arial" w:hAnsi="Arial" w:eastAsia="Arial"/>
          <w:b/>
          <w:i w:val="0"/>
          <w:color w:val="172B4D"/>
          <w:sz w:val="50"/>
        </w:rPr>
        <w:t>Current Architecture Baseline</w:t>
      </w:r>
    </w:p>
    <w:p>
      <w:pPr>
        <w:pStyle w:val="Subtitle"/>
      </w:pPr>
      <w:r>
        <w:rPr>
          <w:rFonts w:ascii="Arial" w:hAnsi="Arial" w:eastAsia="Arial"/>
          <w:b w:val="0"/>
          <w:i w:val="0"/>
          <w:color w:val="5E6C84"/>
          <w:sz w:val="26"/>
        </w:rPr>
        <w:t>Intelligent Log, Trace, and Metric Investigation Platform</w:t>
      </w:r>
    </w:p>
    <w:p>
      <w:pPr>
        <w:spacing w:after="40"/>
      </w:pPr>
      <w:r>
        <w:rPr>
          <w:rFonts w:ascii="Arial" w:hAnsi="Arial" w:eastAsia="Arial"/>
          <w:b/>
          <w:i w:val="0"/>
          <w:color w:val="172B4D"/>
          <w:sz w:val="21"/>
        </w:rPr>
        <w:t xml:space="preserve">Status: </w:t>
      </w:r>
      <w:r>
        <w:rPr>
          <w:rFonts w:ascii="Arial" w:hAnsi="Arial" w:eastAsia="Arial"/>
          <w:b w:val="0"/>
          <w:i w:val="0"/>
          <w:color w:val="000000"/>
          <w:sz w:val="21"/>
        </w:rPr>
        <w:t>Accepted - records the implementation currently present in the repository</w:t>
      </w:r>
    </w:p>
    <w:p>
      <w:pPr>
        <w:spacing w:after="40"/>
      </w:pPr>
      <w:r>
        <w:rPr>
          <w:rFonts w:ascii="Arial" w:hAnsi="Arial" w:eastAsia="Arial"/>
          <w:b/>
          <w:i w:val="0"/>
          <w:color w:val="172B4D"/>
          <w:sz w:val="21"/>
        </w:rPr>
        <w:t xml:space="preserve">Decision date: </w:t>
      </w:r>
      <w:r>
        <w:rPr>
          <w:rFonts w:ascii="Arial" w:hAnsi="Arial" w:eastAsia="Arial"/>
          <w:b w:val="0"/>
          <w:i w:val="0"/>
          <w:color w:val="000000"/>
          <w:sz w:val="21"/>
        </w:rPr>
        <w:t>26 August 2026</w:t>
      </w:r>
    </w:p>
    <w:p>
      <w:pPr>
        <w:spacing w:after="40"/>
      </w:pPr>
      <w:r>
        <w:rPr>
          <w:rFonts w:ascii="Arial" w:hAnsi="Arial" w:eastAsia="Arial"/>
          <w:b/>
          <w:i w:val="0"/>
          <w:color w:val="172B4D"/>
          <w:sz w:val="21"/>
        </w:rPr>
        <w:t xml:space="preserve">Scope: </w:t>
      </w:r>
      <w:r>
        <w:rPr>
          <w:rFonts w:ascii="Arial" w:hAnsi="Arial" w:eastAsia="Arial"/>
          <w:b w:val="0"/>
          <w:i w:val="0"/>
          <w:color w:val="000000"/>
          <w:sz w:val="21"/>
        </w:rPr>
        <w:t>Backend, workers, persistence, investigation analysis, and investigation UI</w:t>
      </w:r>
    </w:p>
    <w:p>
      <w:pPr>
        <w:spacing w:after="40"/>
      </w:pPr>
      <w:r>
        <w:rPr>
          <w:rFonts w:ascii="Arial" w:hAnsi="Arial" w:eastAsia="Arial"/>
          <w:b/>
          <w:i w:val="0"/>
          <w:color w:val="172B4D"/>
          <w:sz w:val="21"/>
        </w:rPr>
        <w:t xml:space="preserve">Owners: </w:t>
      </w:r>
      <w:r>
        <w:rPr>
          <w:rFonts w:ascii="Arial" w:hAnsi="Arial" w:eastAsia="Arial"/>
          <w:b w:val="0"/>
          <w:i w:val="0"/>
          <w:color w:val="000000"/>
          <w:sz w:val="21"/>
        </w:rPr>
        <w:t>Project architecture and engineering</w:t>
      </w:r>
    </w:p>
    <w:p>
      <w:pPr>
        <w:spacing w:after="40"/>
      </w:pPr>
      <w:r>
        <w:rPr>
          <w:rFonts w:ascii="Arial" w:hAnsi="Arial" w:eastAsia="Arial"/>
          <w:b/>
          <w:i w:val="0"/>
          <w:color w:val="172B4D"/>
          <w:sz w:val="21"/>
        </w:rPr>
        <w:t xml:space="preserve">Supersedes: </w:t>
      </w:r>
      <w:r>
        <w:rPr>
          <w:rFonts w:ascii="Arial" w:hAnsi="Arial" w:eastAsia="Arial"/>
          <w:b w:val="0"/>
          <w:i w:val="0"/>
          <w:color w:val="000000"/>
          <w:sz w:val="21"/>
        </w:rPr>
        <w:t>None</w:t>
      </w:r>
    </w:p>
    <w:p>
      <w:pPr>
        <w:spacing w:after="240"/>
        <w:pBdr>
          <w:bottom w:val="single" w:sz="10" w:space="1" w:color="2E74B5"/>
        </w:pBdr>
      </w:pPr>
    </w:p>
    <w:p>
      <w:pPr>
        <w:spacing w:before="120" w:after="200"/>
        <w:ind w:left="173" w:right="115"/>
        <w:shd w:fill="E8EEF5"/>
        <w:pBdr>
          <w:left w:val="single" w:sz="18" w:space="6" w:color="2E74B5"/>
        </w:pBdr>
      </w:pPr>
      <w:r>
        <w:rPr>
          <w:rFonts w:ascii="Arial" w:hAnsi="Arial" w:eastAsia="Arial"/>
          <w:b/>
          <w:i w:val="0"/>
          <w:color w:val="172B4D"/>
          <w:sz w:val="22"/>
        </w:rPr>
        <w:t xml:space="preserve">Decision: </w:t>
      </w:r>
      <w:r>
        <w:rPr>
          <w:rFonts w:ascii="Arial" w:hAnsi="Arial" w:eastAsia="Arial"/>
          <w:b w:val="0"/>
          <w:i w:val="0"/>
          <w:color w:val="172B4D"/>
          <w:sz w:val="22"/>
        </w:rPr>
        <w:t>Use a layered TypeScript modular monolith for the HTTP and query application, independent Redis Stream workers for asynchronous telemetry processing, ClickHouse for telemetry facts, PostgreSQL for control-state records, and a deterministic evidence-analysis pipeline for investigations.</w:t>
      </w:r>
    </w:p>
    <w:p>
      <w:pPr>
        <w:spacing w:before="120" w:after="200"/>
        <w:ind w:left="173" w:right="115"/>
        <w:shd w:fill="F4F6F9"/>
        <w:pBdr>
          <w:left w:val="single" w:sz="18" w:space="6" w:color="5E6C84"/>
        </w:pBdr>
      </w:pPr>
      <w:r>
        <w:rPr>
          <w:rFonts w:ascii="Arial" w:hAnsi="Arial" w:eastAsia="Arial"/>
          <w:b/>
          <w:i w:val="0"/>
          <w:color w:val="172B4D"/>
          <w:sz w:val="22"/>
        </w:rPr>
        <w:t xml:space="preserve">Scope boundary: </w:t>
      </w:r>
      <w:r>
        <w:rPr>
          <w:rFonts w:ascii="Arial" w:hAnsi="Arial" w:eastAsia="Arial"/>
          <w:b w:val="0"/>
          <w:i w:val="0"/>
          <w:color w:val="172B4D"/>
          <w:sz w:val="22"/>
        </w:rPr>
        <w:t>This ADR is descriptive. It records the current architecture only and intentionally excludes a future-state design, transformation roadmap, implementation plan, and future technology recommendations.</w:t>
      </w:r>
    </w:p>
    <w:p>
      <w:pPr>
        <w:pStyle w:val="Heading1"/>
        <w:keepNext/>
      </w:pPr>
      <w:r>
        <w:t>1. Context</w:t>
      </w:r>
    </w:p>
    <w:p>
      <w:r>
        <w:rPr>
          <w:rFonts w:ascii="Arial" w:hAnsi="Arial" w:eastAsia="Arial"/>
          <w:b w:val="0"/>
          <w:i w:val="0"/>
          <w:color w:val="000000"/>
          <w:sz w:val="22"/>
        </w:rPr>
        <w:t>The product targets solo developers and small teams operating a handful of distributed services. Its present objective is to ingest telemetry, store it for fast investigation, identify related failures, and expose factual evidence that helps a developer reason about an incident.</w:t>
      </w:r>
    </w:p>
    <w:p>
      <w:r>
        <w:rPr>
          <w:rFonts w:ascii="Arial" w:hAnsi="Arial" w:eastAsia="Arial"/>
          <w:b w:val="0"/>
          <w:i w:val="0"/>
          <w:color w:val="000000"/>
          <w:sz w:val="22"/>
        </w:rPr>
        <w:t>The repository has evolved beyond basic collection into alert-centred investigations. The current implementation derives findings, integrity issues, correlations, evidence groups, structural signals, evidence ranks, cause candidates, and candidate facts from logs, metrics, and trace trees. These outputs remain deterministic and evidence-linked; they are not machine-learned conclusions.</w:t>
      </w:r>
    </w:p>
    <w:p>
      <w:r>
        <w:br w:type="page"/>
      </w:r>
    </w:p>
    <w:p>
      <w:pPr>
        <w:pStyle w:val="Heading1"/>
        <w:keepNext/>
      </w:pPr>
      <w:r>
        <w:t>2. Decision Drivers</w:t>
      </w:r>
    </w:p>
    <w:p>
      <w:pPr>
        <w:numPr>
          <w:ilvl w:val="0"/>
          <w:numId w:val="10"/>
        </w:numPr>
        <w:spacing w:after="160" w:line="280" w:lineRule="auto"/>
      </w:pPr>
      <w:r>
        <w:rPr>
          <w:rFonts w:ascii="Arial" w:hAnsi="Arial" w:eastAsia="Arial"/>
          <w:b w:val="0"/>
          <w:i w:val="0"/>
          <w:color w:val="000000"/>
          <w:sz w:val="22"/>
        </w:rPr>
        <w:t>Keep operational complexity proportionate to a solo developer or small team.</w:t>
      </w:r>
    </w:p>
    <w:p>
      <w:pPr>
        <w:numPr>
          <w:ilvl w:val="0"/>
          <w:numId w:val="10"/>
        </w:numPr>
        <w:spacing w:after="160" w:line="280" w:lineRule="auto"/>
      </w:pPr>
      <w:r>
        <w:rPr>
          <w:rFonts w:ascii="Arial" w:hAnsi="Arial" w:eastAsia="Arial"/>
          <w:b w:val="0"/>
          <w:i w:val="0"/>
          <w:color w:val="000000"/>
          <w:sz w:val="22"/>
        </w:rPr>
        <w:t>Separate high-volume telemetry workloads from relational control-state workloads.</w:t>
      </w:r>
    </w:p>
    <w:p>
      <w:pPr>
        <w:numPr>
          <w:ilvl w:val="0"/>
          <w:numId w:val="10"/>
        </w:numPr>
        <w:spacing w:after="160" w:line="280" w:lineRule="auto"/>
      </w:pPr>
      <w:r>
        <w:rPr>
          <w:rFonts w:ascii="Arial" w:hAnsi="Arial" w:eastAsia="Arial"/>
          <w:b w:val="0"/>
          <w:i w:val="0"/>
          <w:color w:val="000000"/>
          <w:sz w:val="22"/>
        </w:rPr>
        <w:t>Decouple HTTP acceptance from slower persistence and analysis work.</w:t>
      </w:r>
    </w:p>
    <w:p>
      <w:pPr>
        <w:numPr>
          <w:ilvl w:val="0"/>
          <w:numId w:val="10"/>
        </w:numPr>
        <w:spacing w:after="160" w:line="280" w:lineRule="auto"/>
      </w:pPr>
      <w:r>
        <w:rPr>
          <w:rFonts w:ascii="Arial" w:hAnsi="Arial" w:eastAsia="Arial"/>
          <w:b w:val="0"/>
          <w:i w:val="0"/>
          <w:color w:val="000000"/>
          <w:sz w:val="22"/>
        </w:rPr>
        <w:t>Permit workers to run and scale independently without introducing a distributed microservice estate.</w:t>
      </w:r>
    </w:p>
    <w:p>
      <w:pPr>
        <w:numPr>
          <w:ilvl w:val="0"/>
          <w:numId w:val="10"/>
        </w:numPr>
        <w:spacing w:after="160" w:line="280" w:lineRule="auto"/>
      </w:pPr>
      <w:r>
        <w:rPr>
          <w:rFonts w:ascii="Arial" w:hAnsi="Arial" w:eastAsia="Arial"/>
          <w:b w:val="0"/>
          <w:i w:val="0"/>
          <w:color w:val="000000"/>
          <w:sz w:val="22"/>
        </w:rPr>
        <w:t>Make investigation outputs explainable by retaining links from derived observations back to evidence.</w:t>
      </w:r>
    </w:p>
    <w:p>
      <w:pPr>
        <w:numPr>
          <w:ilvl w:val="0"/>
          <w:numId w:val="10"/>
        </w:numPr>
        <w:spacing w:after="160" w:line="280" w:lineRule="auto"/>
      </w:pPr>
      <w:r>
        <w:rPr>
          <w:rFonts w:ascii="Arial" w:hAnsi="Arial" w:eastAsia="Arial"/>
          <w:b w:val="0"/>
          <w:i w:val="0"/>
          <w:color w:val="000000"/>
          <w:sz w:val="22"/>
        </w:rPr>
        <w:t>Use TypeScript end to end for the current product and learning surface.</w:t>
      </w:r>
    </w:p>
    <w:p>
      <w:pPr>
        <w:pStyle w:val="Heading1"/>
        <w:keepNext/>
      </w:pPr>
      <w:r>
        <w:t>3. Architectural Decision</w:t>
      </w:r>
    </w:p>
    <w:p>
      <w:r>
        <w:rPr>
          <w:rFonts w:ascii="Arial" w:hAnsi="Arial" w:eastAsia="Arial"/>
          <w:b w:val="0"/>
          <w:i w:val="0"/>
          <w:color w:val="000000"/>
          <w:sz w:val="22"/>
        </w:rPr>
        <w:t>The system is classified as a layered modular monolith with event-driven background workers and polyglot persistence. The code remains in one repository and uses explicit manual composition rather than a dependency-injection container.</w:t>
      </w:r>
    </w:p>
    <w:p>
      <w:pPr>
        <w:pStyle w:val="Heading2"/>
        <w:keepNext/>
      </w:pPr>
      <w:r>
        <w:t>3.1 Current topology</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1650"/>
        <w:gridCol w:w="2730"/>
        <w:gridCol w:w="2380"/>
        <w:gridCol w:w="2600"/>
      </w:tblGrid>
      <w:tr>
        <w:trPr>
          <w:tblHeader w:val="true"/>
          <w:cantSplit/>
        </w:trPr>
        <w:tc>
          <w:tcPr>
            <w:tcW w:type="dxa" w:w="165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Stage</w:t>
            </w:r>
          </w:p>
        </w:tc>
        <w:tc>
          <w:tcPr>
            <w:tcW w:type="dxa" w:w="273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Current components</w:t>
            </w:r>
          </w:p>
        </w:tc>
        <w:tc>
          <w:tcPr>
            <w:tcW w:type="dxa" w:w="238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Receives</w:t>
            </w:r>
          </w:p>
        </w:tc>
        <w:tc>
          <w:tcPr>
            <w:tcW w:type="dxa" w:w="260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Produces</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1. Client boundary</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Client services send custom JSON telemetry.</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LogEvent, Span, or MetricEvent payload.</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One accepted ingestion request.</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2. HTTP application</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Fastify routes, service layer, and manual composition.</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Individual telemetry event or query/control request.</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stream entry or API response.</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3. Transport</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Streams and consumer groups for logs, spans, and metrics.</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Serialized telemetry event.</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Pending or delivered worker message.</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4. Processing</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Independent log, span, metric, and alert-recovery workers.</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Stream messages or active alert state.</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Stored telemetry, error group, alert, or lifecycle update.</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5. Persistence</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ClickHouse telemetry facts and PostgreSQL control state.</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Repository writes.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Queryable telemetry and relational records.</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6. Investigation</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Query services and deterministic investigation services.</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rule, evidence window, logs, metrics, and trace trees.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Findings, groups, signals, candidates, ranks, timeline, and summary.</w:t>
            </w:r>
          </w:p>
        </w:tc>
      </w:tr>
      <w:tr>
        <w:trPr>
          <w:cantSplit/>
        </w:trPr>
        <w:tc>
          <w:tcPr>
            <w:tcW w:type="dxa" w:w="16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7. Presentation</w:t>
            </w:r>
          </w:p>
        </w:tc>
        <w:tc>
          <w:tcPr>
            <w:tcW w:type="dxa" w:w="273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React investigation application.</w:t>
            </w:r>
          </w:p>
        </w:tc>
        <w:tc>
          <w:tcPr>
            <w:tcW w:type="dxa" w:w="23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Validated investigation response or local fixture.</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detail interface.</w:t>
            </w:r>
          </w:p>
        </w:tc>
      </w:tr>
    </w:tbl>
    <w:p>
      <w:pPr>
        <w:spacing w:after="40"/>
      </w:pPr>
    </w:p>
    <w:p>
      <w:pPr>
        <w:pStyle w:val="Heading2"/>
        <w:keepNext/>
      </w:pPr>
      <w:r>
        <w:t>3.2 Logical planes</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1300"/>
        <w:gridCol w:w="2260"/>
        <w:gridCol w:w="3400"/>
        <w:gridCol w:w="2400"/>
      </w:tblGrid>
      <w:tr>
        <w:trPr>
          <w:tblHeader w:val="true"/>
          <w:cantSplit/>
        </w:trPr>
        <w:tc>
          <w:tcPr>
            <w:tcW w:type="dxa" w:w="13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Plane</w:t>
            </w:r>
          </w:p>
        </w:tc>
        <w:tc>
          <w:tcPr>
            <w:tcW w:type="dxa" w:w="226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Purpose</w:t>
            </w:r>
          </w:p>
        </w:tc>
        <w:tc>
          <w:tcPr>
            <w:tcW w:type="dxa" w:w="34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Current components</w:t>
            </w:r>
          </w:p>
        </w:tc>
        <w:tc>
          <w:tcPr>
            <w:tcW w:type="dxa" w:w="24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Primary state</w:t>
            </w:r>
          </w:p>
        </w:tc>
      </w:tr>
      <w:tr>
        <w:trPr>
          <w:cantSplit/>
        </w:trPr>
        <w:tc>
          <w:tcPr>
            <w:tcW w:type="dxa" w:w="13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Data plane</w:t>
            </w:r>
          </w:p>
        </w:tc>
        <w:tc>
          <w:tcPr>
            <w:tcW w:type="dxa" w:w="2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Accept, buffer, transform, and store telemetry.</w:t>
            </w:r>
          </w:p>
        </w:tc>
        <w:tc>
          <w:tcPr>
            <w:tcW w:type="dxa" w:w="34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Fastify ingestion routes, Redis Streams, log/span/metric workers.</w:t>
            </w:r>
          </w:p>
        </w:tc>
        <w:tc>
          <w:tcPr>
            <w:tcW w:type="dxa" w:w="24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entries and ClickHouse telemetry rows.</w:t>
            </w:r>
          </w:p>
        </w:tc>
      </w:tr>
      <w:tr>
        <w:trPr>
          <w:cantSplit/>
        </w:trPr>
        <w:tc>
          <w:tcPr>
            <w:tcW w:type="dxa" w:w="13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Control plane</w:t>
            </w:r>
          </w:p>
        </w:tc>
        <w:tc>
          <w:tcPr>
            <w:tcW w:type="dxa" w:w="2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Manage alert rules, alerts, investigations, and error groups.</w:t>
            </w:r>
          </w:p>
        </w:tc>
        <w:tc>
          <w:tcPr>
            <w:tcW w:type="dxa" w:w="34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services, evaluators, recovery worker, PostgreSQL repositories.</w:t>
            </w:r>
          </w:p>
        </w:tc>
        <w:tc>
          <w:tcPr>
            <w:tcW w:type="dxa" w:w="24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PostgreSQL relational records.</w:t>
            </w:r>
          </w:p>
        </w:tc>
      </w:tr>
      <w:tr>
        <w:trPr>
          <w:cantSplit/>
        </w:trPr>
        <w:tc>
          <w:tcPr>
            <w:tcW w:type="dxa" w:w="13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Query plane</w:t>
            </w:r>
          </w:p>
        </w:tc>
        <w:tc>
          <w:tcPr>
            <w:tcW w:type="dxa" w:w="2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Assemble incident evidence and present investigations.</w:t>
            </w:r>
          </w:p>
        </w:tc>
        <w:tc>
          <w:tcPr>
            <w:tcW w:type="dxa" w:w="34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Query repositories, investigation services, Fastify APIs, React UI.</w:t>
            </w:r>
          </w:p>
        </w:tc>
        <w:tc>
          <w:tcPr>
            <w:tcW w:type="dxa" w:w="24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Read models assembled at request time.</w:t>
            </w:r>
          </w:p>
        </w:tc>
      </w:tr>
    </w:tbl>
    <w:p>
      <w:pPr>
        <w:spacing w:after="40"/>
      </w:pPr>
    </w:p>
    <w:p>
      <w:pPr>
        <w:pStyle w:val="Heading1"/>
        <w:keepNext/>
      </w:pPr>
      <w:r>
        <w:t>4. Component Model</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1800"/>
        <w:gridCol w:w="4860"/>
        <w:gridCol w:w="2700"/>
      </w:tblGrid>
      <w:tr>
        <w:trPr>
          <w:tblHeader w:val="true"/>
          <w:cantSplit/>
        </w:trPr>
        <w:tc>
          <w:tcPr>
            <w:tcW w:type="dxa" w:w="18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Component</w:t>
            </w:r>
          </w:p>
        </w:tc>
        <w:tc>
          <w:tcPr>
            <w:tcW w:type="dxa" w:w="486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Responsibility</w:t>
            </w:r>
          </w:p>
        </w:tc>
        <w:tc>
          <w:tcPr>
            <w:tcW w:type="dxa" w:w="27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Technology / entry point</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HTTP application</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Registers infrastructure plugins, routes, global error handling, and manually composed services.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Fastify; backend/src/app.ts and server.ts</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Ingestion routes</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Accept individual custom JSON log, span, and metric events and publish them asynchronously.</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/v1/logs, /v1/spans, /v1/metrics</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Streams</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Buffers telemetry by signal and distributes messages through consumer groups.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logs, spans, metrics, dlq</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 worker</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Normalizes errors, fingerprints error messages, updates error groups, and stores logs.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worker/server.ts; LogProcessor</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Span worker</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Consumes spans and stores them in ClickHouse.</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worker/span.worker.ts; SpanProcessor</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Metric worker</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Stores metrics and evaluates enabled metric-threshold rules.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worker/metric.worker.ts; MetricProcessor</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recovery worker</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Polls active metric alerts and marks recovered alerts resolved when recent metrics are healthy.</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worker/alert-recovery.worker.ts</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Telemetry repositories</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Execute signal-specific inserts and analytical queries.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ClickHouse repositories</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Control repositories</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Persist rules, alerts, investigations, and error-group metadata.</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PostgreSQL repositories</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service</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Collects an evidence window and derives deterministic investigation products.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AlertInvestigationService; investigation-* services</w:t>
            </w:r>
          </w:p>
        </w:tc>
      </w:tr>
      <w:tr>
        <w:trPr>
          <w:cantSplit/>
        </w:trPr>
        <w:tc>
          <w:tcPr>
            <w:tcW w:type="dxa" w:w="18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UI</w:t>
            </w:r>
          </w:p>
        </w:tc>
        <w:tc>
          <w:tcPr>
            <w:tcW w:type="dxa" w:w="48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Loads and validates an investigation response, then renders evidence, traces, integrity issues, signals, groups, and candidates.</w:t>
            </w:r>
          </w:p>
        </w:tc>
        <w:tc>
          <w:tcPr>
            <w:tcW w:type="dxa" w:w="2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React + Vite; fixture or HTTP data source</w:t>
            </w:r>
          </w:p>
        </w:tc>
      </w:tr>
    </w:tbl>
    <w:p>
      <w:pPr>
        <w:spacing w:after="40"/>
      </w:pPr>
    </w:p>
    <w:p>
      <w:pPr>
        <w:pStyle w:val="Heading2"/>
        <w:keepNext/>
      </w:pPr>
      <w:r>
        <w:t>4.1 Runtime and deployment units</w:t>
      </w:r>
    </w:p>
    <w:p>
      <w:r>
        <w:rPr>
          <w:rFonts w:ascii="Arial" w:hAnsi="Arial" w:eastAsia="Arial"/>
          <w:b w:val="0"/>
          <w:i w:val="0"/>
          <w:color w:val="000000"/>
          <w:sz w:val="22"/>
        </w:rPr>
        <w:t>The codebase is one application system but runs as several processes. Docker Compose currently provisions infrastructure only; application processes are started separately.</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1700"/>
        <w:gridCol w:w="3000"/>
        <w:gridCol w:w="4660"/>
      </w:tblGrid>
      <w:tr>
        <w:trPr>
          <w:tblHeader w:val="true"/>
          <w:cantSplit/>
        </w:trPr>
        <w:tc>
          <w:tcPr>
            <w:tcW w:type="dxa" w:w="17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Unit</w:t>
            </w:r>
          </w:p>
        </w:tc>
        <w:tc>
          <w:tcPr>
            <w:tcW w:type="dxa" w:w="30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Start point</w:t>
            </w:r>
          </w:p>
        </w:tc>
        <w:tc>
          <w:tcPr>
            <w:tcW w:type="dxa" w:w="466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Current role</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API</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src/server.ts</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HTTP ingestion, queries, alert management, and investigations</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 worker</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src/worker/server.ts</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 processing, error grouping, retry, and DLQ</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Span worker</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src/worker/span.worker.ts</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Span persistence</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Metric worker</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src/worker/metric.worker.ts</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Metric persistence and alert evaluation</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recovery</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src/worker/alert-recovery.worker.ts</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Periodic recovery evaluation</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Frontend</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Vite application</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detail user interface</w:t>
            </w:r>
          </w:p>
        </w:tc>
      </w:tr>
      <w:tr>
        <w:trPr>
          <w:cantSplit/>
        </w:trPr>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Infrastructure</w:t>
            </w:r>
          </w:p>
        </w:tc>
        <w:tc>
          <w:tcPr>
            <w:tcW w:type="dxa" w:w="30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backend/docker-compose.yml</w:t>
            </w:r>
          </w:p>
        </w:tc>
        <w:tc>
          <w:tcPr>
            <w:tcW w:type="dxa" w:w="46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ClickHouse, and PostgreSQL</w:t>
            </w:r>
          </w:p>
        </w:tc>
      </w:tr>
    </w:tbl>
    <w:p>
      <w:pPr>
        <w:spacing w:after="40"/>
      </w:pPr>
    </w:p>
    <w:p>
      <w:pPr>
        <w:pStyle w:val="Heading1"/>
        <w:keepNext/>
      </w:pPr>
      <w:r>
        <w:t>5. Data Ownership and Persistence</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1450"/>
        <w:gridCol w:w="3180"/>
        <w:gridCol w:w="2390"/>
        <w:gridCol w:w="2340"/>
      </w:tblGrid>
      <w:tr>
        <w:trPr>
          <w:tblHeader w:val="true"/>
          <w:cantSplit/>
        </w:trPr>
        <w:tc>
          <w:tcPr>
            <w:tcW w:type="dxa" w:w="145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Store</w:t>
            </w:r>
          </w:p>
        </w:tc>
        <w:tc>
          <w:tcPr>
            <w:tcW w:type="dxa" w:w="318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Owned information</w:t>
            </w:r>
          </w:p>
        </w:tc>
        <w:tc>
          <w:tcPr>
            <w:tcW w:type="dxa" w:w="239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Write path</w:t>
            </w:r>
          </w:p>
        </w:tc>
        <w:tc>
          <w:tcPr>
            <w:tcW w:type="dxa" w:w="234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Read path</w:t>
            </w:r>
          </w:p>
        </w:tc>
      </w:tr>
      <w:tr>
        <w:trPr>
          <w:cantSplit/>
        </w:trPr>
        <w:tc>
          <w:tcPr>
            <w:tcW w:type="dxa" w:w="14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ClickHouse</w:t>
            </w:r>
          </w:p>
        </w:tc>
        <w:tc>
          <w:tcPr>
            <w:tcW w:type="dxa" w:w="31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Raw and enriched logs, spans, metrics, and aggregate query results.</w:t>
            </w:r>
          </w:p>
        </w:tc>
        <w:tc>
          <w:tcPr>
            <w:tcW w:type="dxa" w:w="239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Signal workers insert one event per processed message.</w:t>
            </w:r>
          </w:p>
        </w:tc>
        <w:tc>
          <w:tcPr>
            <w:tcW w:type="dxa" w:w="234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 span, metric, stats, and investigation repositories.</w:t>
            </w:r>
          </w:p>
        </w:tc>
      </w:tr>
      <w:tr>
        <w:trPr>
          <w:cantSplit/>
        </w:trPr>
        <w:tc>
          <w:tcPr>
            <w:tcW w:type="dxa" w:w="14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PostgreSQL</w:t>
            </w:r>
          </w:p>
        </w:tc>
        <w:tc>
          <w:tcPr>
            <w:tcW w:type="dxa" w:w="31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Error groups, alert rules, alerts, and alert-investigation windows.</w:t>
            </w:r>
          </w:p>
        </w:tc>
        <w:tc>
          <w:tcPr>
            <w:tcW w:type="dxa" w:w="239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Workers and control services use SQL repositories.</w:t>
            </w:r>
          </w:p>
        </w:tc>
        <w:tc>
          <w:tcPr>
            <w:tcW w:type="dxa" w:w="234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rule, error-group, and investigation services.</w:t>
            </w:r>
          </w:p>
        </w:tc>
      </w:tr>
      <w:tr>
        <w:trPr>
          <w:cantSplit/>
        </w:trPr>
        <w:tc>
          <w:tcPr>
            <w:tcW w:type="dxa" w:w="14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w:t>
            </w:r>
          </w:p>
        </w:tc>
        <w:tc>
          <w:tcPr>
            <w:tcW w:type="dxa" w:w="31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Transient telemetry messages, consumer-group delivery state, and log dead-letter messages.</w:t>
            </w:r>
          </w:p>
        </w:tc>
        <w:tc>
          <w:tcPr>
            <w:tcW w:type="dxa" w:w="239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Ingestion publishers call XADD.</w:t>
            </w:r>
          </w:p>
        </w:tc>
        <w:tc>
          <w:tcPr>
            <w:tcW w:type="dxa" w:w="234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Signal consumers use XREADGROUP; log recovery uses XAUTOCLAIM.</w:t>
            </w:r>
          </w:p>
        </w:tc>
      </w:tr>
      <w:tr>
        <w:trPr>
          <w:cantSplit/>
        </w:trPr>
        <w:tc>
          <w:tcPr>
            <w:tcW w:type="dxa" w:w="14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Frontend fixtures</w:t>
            </w:r>
          </w:p>
        </w:tc>
        <w:tc>
          <w:tcPr>
            <w:tcW w:type="dxa" w:w="318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Representative investigation responses used when the UI runs without backend services.</w:t>
            </w:r>
          </w:p>
        </w:tc>
        <w:tc>
          <w:tcPr>
            <w:tcW w:type="dxa" w:w="239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Static JSON in the frontend repository.</w:t>
            </w:r>
          </w:p>
        </w:tc>
        <w:tc>
          <w:tcPr>
            <w:tcW w:type="dxa" w:w="234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Fixture investigation data source.</w:t>
            </w:r>
          </w:p>
        </w:tc>
      </w:tr>
    </w:tbl>
    <w:p>
      <w:pPr>
        <w:spacing w:after="40"/>
      </w:pPr>
    </w:p>
    <w:p>
      <w:pPr>
        <w:pStyle w:val="Heading2"/>
        <w:keepNext/>
      </w:pPr>
      <w:r>
        <w:t>5.1 Storage boundary</w:t>
      </w:r>
    </w:p>
    <w:p>
      <w:r>
        <w:rPr>
          <w:rFonts w:ascii="Arial" w:hAnsi="Arial" w:eastAsia="Arial"/>
          <w:b w:val="0"/>
          <w:i w:val="0"/>
          <w:color w:val="000000"/>
          <w:sz w:val="22"/>
        </w:rPr>
        <w:t>ClickHouse is the telemetry system of record for high-volume, time-oriented evidence. PostgreSQL is the system of record for lifecycle and configuration state that benefits from relational constraints. Redis is transport and delivery state, not the authoritative store for an investigation.</w:t>
      </w:r>
    </w:p>
    <w:p>
      <w:pPr>
        <w:pStyle w:val="Heading1"/>
        <w:keepNext/>
      </w:pPr>
      <w:r>
        <w:t>6. Current Data Flows</w:t>
      </w:r>
    </w:p>
    <w:p>
      <w:r>
        <w:rPr>
          <w:rFonts w:ascii="Arial" w:hAnsi="Arial" w:eastAsia="Arial"/>
          <w:b/>
          <w:i w:val="0"/>
          <w:color w:val="000000"/>
          <w:sz w:val="22"/>
        </w:rPr>
        <w:t xml:space="preserve">Log ingestion: </w:t>
      </w:r>
      <w:r>
        <w:rPr>
          <w:rFonts w:ascii="Arial" w:hAnsi="Arial" w:eastAsia="Arial"/>
          <w:b w:val="0"/>
          <w:i w:val="0"/>
          <w:color w:val="000000"/>
          <w:sz w:val="22"/>
        </w:rPr>
        <w:t>POST /v1/logs publishes a log event to the logs stream. The log worker parses it, fingerprints error-level messages, upserts the PostgreSQL error group, writes the log to ClickHouse, and acknowledges the stream entry.</w:t>
      </w:r>
    </w:p>
    <w:p>
      <w:r>
        <w:rPr>
          <w:rFonts w:ascii="Arial" w:hAnsi="Arial" w:eastAsia="Arial"/>
          <w:b/>
          <w:i w:val="0"/>
          <w:color w:val="000000"/>
          <w:sz w:val="22"/>
        </w:rPr>
        <w:t xml:space="preserve">Span ingestion: </w:t>
      </w:r>
      <w:r>
        <w:rPr>
          <w:rFonts w:ascii="Arial" w:hAnsi="Arial" w:eastAsia="Arial"/>
          <w:b w:val="0"/>
          <w:i w:val="0"/>
          <w:color w:val="000000"/>
          <w:sz w:val="22"/>
        </w:rPr>
        <w:t>POST /v1/spans publishes a span to the spans stream. The span worker writes it to ClickHouse and acknowledges the entry.</w:t>
      </w:r>
    </w:p>
    <w:p>
      <w:r>
        <w:rPr>
          <w:rFonts w:ascii="Arial" w:hAnsi="Arial" w:eastAsia="Arial"/>
          <w:b/>
          <w:i w:val="0"/>
          <w:color w:val="000000"/>
          <w:sz w:val="22"/>
        </w:rPr>
        <w:t xml:space="preserve">Metric and alerting: </w:t>
      </w:r>
      <w:r>
        <w:rPr>
          <w:rFonts w:ascii="Arial" w:hAnsi="Arial" w:eastAsia="Arial"/>
          <w:b w:val="0"/>
          <w:i w:val="0"/>
          <w:color w:val="000000"/>
          <w:sz w:val="22"/>
        </w:rPr>
        <w:t>POST /v1/metrics publishes a metric. The metric worker stores it, loads enabled rules, evaluates matching metric thresholds, and creates an alert plus an investigation window when no active alert is found.</w:t>
      </w:r>
    </w:p>
    <w:p>
      <w:r>
        <w:rPr>
          <w:rFonts w:ascii="Arial" w:hAnsi="Arial" w:eastAsia="Arial"/>
          <w:b/>
          <w:i w:val="0"/>
          <w:color w:val="000000"/>
          <w:sz w:val="22"/>
        </w:rPr>
        <w:t xml:space="preserve">Alert recovery: </w:t>
      </w:r>
      <w:r>
        <w:rPr>
          <w:rFonts w:ascii="Arial" w:hAnsi="Arial" w:eastAsia="Arial"/>
          <w:b w:val="0"/>
          <w:i w:val="0"/>
          <w:color w:val="000000"/>
          <w:sz w:val="22"/>
        </w:rPr>
        <w:t>A polling worker reads active alerts and recent metric windows. When all sampled metrics satisfy the recovery condition and are not stale, it marks the alert resolved.</w:t>
      </w:r>
    </w:p>
    <w:p>
      <w:r>
        <w:rPr>
          <w:rFonts w:ascii="Arial" w:hAnsi="Arial" w:eastAsia="Arial"/>
          <w:b/>
          <w:i w:val="0"/>
          <w:color w:val="000000"/>
          <w:sz w:val="22"/>
        </w:rPr>
        <w:t xml:space="preserve">Investigation query: </w:t>
      </w:r>
      <w:r>
        <w:rPr>
          <w:rFonts w:ascii="Arial" w:hAnsi="Arial" w:eastAsia="Arial"/>
          <w:b w:val="0"/>
          <w:i w:val="0"/>
          <w:color w:val="000000"/>
          <w:sz w:val="22"/>
        </w:rPr>
        <w:t>GET /v1/alerts/:id/investigation loads alert state, the evidence window, candidate trace IDs, trace trees, logs, and metrics; then it derives the investigation response synchronously.</w:t>
      </w:r>
    </w:p>
    <w:p>
      <w:pPr>
        <w:pStyle w:val="Heading1"/>
        <w:keepNext/>
      </w:pPr>
      <w:r>
        <w:t>7. Deterministic Investigation Model</w:t>
      </w:r>
    </w:p>
    <w:p>
      <w:r>
        <w:rPr>
          <w:rFonts w:ascii="Arial" w:hAnsi="Arial" w:eastAsia="Arial"/>
          <w:b w:val="0"/>
          <w:i w:val="0"/>
          <w:color w:val="000000"/>
          <w:sz w:val="22"/>
        </w:rPr>
        <w:t>The investigation layer is an application-level analysis pipeline executed during an investigation request. It converts stored telemetry into progressively richer, traceable read models.</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900"/>
        <w:gridCol w:w="1850"/>
        <w:gridCol w:w="2600"/>
        <w:gridCol w:w="4010"/>
      </w:tblGrid>
      <w:tr>
        <w:trPr>
          <w:tblHeader w:val="true"/>
          <w:cantSplit/>
        </w:trPr>
        <w:tc>
          <w:tcPr>
            <w:tcW w:type="dxa" w:w="90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Order</w:t>
            </w:r>
          </w:p>
        </w:tc>
        <w:tc>
          <w:tcPr>
            <w:tcW w:type="dxa" w:w="185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Derived product</w:t>
            </w:r>
          </w:p>
        </w:tc>
        <w:tc>
          <w:tcPr>
            <w:tcW w:type="dxa" w:w="260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Inputs</w:t>
            </w:r>
          </w:p>
        </w:tc>
        <w:tc>
          <w:tcPr>
            <w:tcW w:type="dxa" w:w="401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Current meaning</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1</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Findings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Metrics, logs, trace trees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Individual metric threshold observations, log errors, or error spans with technical severity.</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2</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Integrity issues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Logs and trace trees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Missing trace references, missing span references, or service/span mismatches.</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3</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Correlations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Findings and integrity issues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Factual relationships such as same span, same trace, or temporal proximity within a service.</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4</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Evidence groups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Findings and correlations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Connected sets of findings produced from correlation relationships.</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5</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Signals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Evidence groups, findings, traces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Structural patterns including multi-signal evidence, cross-service failures, and trace error chains.</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6</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Cause candidates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Evidence groups, findings, signals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Service-scoped hypotheses backed by failure findings and structural signals.</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7</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Candidate facts</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Candidates, findings, signals, traces</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Counts and properties describing errors, trace coverage, severity, and span position.</w:t>
            </w:r>
          </w:p>
        </w:tc>
      </w:tr>
      <w:tr>
        <w:trPr>
          <w:cantSplit/>
        </w:trPr>
        <w:tc>
          <w:tcPr>
            <w:tcW w:type="dxa" w:w="9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8</w:t>
            </w:r>
          </w:p>
        </w:tc>
        <w:tc>
          <w:tcPr>
            <w:tcW w:type="dxa" w:w="18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Evidence ranks and response</w:t>
            </w:r>
          </w:p>
        </w:tc>
        <w:tc>
          <w:tcPr>
            <w:tcW w:type="dxa" w:w="26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Findings, correlations, signals, alert lifecycle</w:t>
            </w:r>
          </w:p>
        </w:tc>
        <w:tc>
          <w:tcPr>
            <w:tcW w:type="dxa" w:w="40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Deterministic ordering plus summary, timeline, evidence products, and raw evidence.</w:t>
            </w:r>
          </w:p>
        </w:tc>
      </w:tr>
    </w:tbl>
    <w:p>
      <w:pPr>
        <w:spacing w:after="40"/>
      </w:pPr>
    </w:p>
    <w:p>
      <w:pPr>
        <w:spacing w:before="120" w:after="200"/>
        <w:ind w:left="173" w:right="115"/>
        <w:shd w:fill="FFF8E8"/>
        <w:pBdr>
          <w:left w:val="single" w:sz="18" w:space="6" w:color="7A5A00"/>
        </w:pBdr>
      </w:pPr>
      <w:r>
        <w:rPr>
          <w:rFonts w:ascii="Arial" w:hAnsi="Arial" w:eastAsia="Arial"/>
          <w:b/>
          <w:i w:val="0"/>
          <w:color w:val="172B4D"/>
          <w:sz w:val="22"/>
        </w:rPr>
        <w:t xml:space="preserve">Interpretation rule: </w:t>
      </w:r>
      <w:r>
        <w:rPr>
          <w:rFonts w:ascii="Arial" w:hAnsi="Arial" w:eastAsia="Arial"/>
          <w:b w:val="0"/>
          <w:i w:val="0"/>
          <w:color w:val="172B4D"/>
          <w:sz w:val="22"/>
        </w:rPr>
        <w:t>Correlations and cause candidates are evidence-backed hypotheses. The current UI and service language must not present them as established causality.</w:t>
      </w:r>
    </w:p>
    <w:p>
      <w:pPr>
        <w:pStyle w:val="Heading1"/>
        <w:keepNext/>
      </w:pPr>
      <w:r>
        <w:t>8. Interfaces and Contracts</w:t>
      </w:r>
    </w:p>
    <w:p>
      <w:pPr>
        <w:pStyle w:val="Heading2"/>
        <w:keepNext/>
      </w:pPr>
      <w:r>
        <w:t>8.1 Write interfaces</w:t>
      </w:r>
    </w:p>
    <w:p>
      <w:pPr>
        <w:numPr>
          <w:ilvl w:val="0"/>
          <w:numId w:val="10"/>
        </w:numPr>
        <w:spacing w:after="160" w:line="280" w:lineRule="auto"/>
      </w:pPr>
      <w:r>
        <w:rPr>
          <w:rFonts w:ascii="Arial" w:hAnsi="Arial" w:eastAsia="Arial"/>
          <w:b w:val="0"/>
          <w:i w:val="0"/>
          <w:color w:val="000000"/>
          <w:sz w:val="22"/>
        </w:rPr>
        <w:t>POST /v1/logs accepts one internal LogEvent JSON object.</w:t>
      </w:r>
    </w:p>
    <w:p>
      <w:pPr>
        <w:numPr>
          <w:ilvl w:val="0"/>
          <w:numId w:val="10"/>
        </w:numPr>
        <w:spacing w:after="160" w:line="280" w:lineRule="auto"/>
      </w:pPr>
      <w:r>
        <w:rPr>
          <w:rFonts w:ascii="Arial" w:hAnsi="Arial" w:eastAsia="Arial"/>
          <w:b w:val="0"/>
          <w:i w:val="0"/>
          <w:color w:val="000000"/>
          <w:sz w:val="22"/>
        </w:rPr>
        <w:t>POST /v1/spans accepts one internal Span JSON object.</w:t>
      </w:r>
    </w:p>
    <w:p>
      <w:pPr>
        <w:numPr>
          <w:ilvl w:val="0"/>
          <w:numId w:val="10"/>
        </w:numPr>
        <w:spacing w:after="160" w:line="280" w:lineRule="auto"/>
      </w:pPr>
      <w:r>
        <w:rPr>
          <w:rFonts w:ascii="Arial" w:hAnsi="Arial" w:eastAsia="Arial"/>
          <w:b w:val="0"/>
          <w:i w:val="0"/>
          <w:color w:val="000000"/>
          <w:sz w:val="22"/>
        </w:rPr>
        <w:t>POST /v1/metrics accepts one internal MetricEvent JSON object.</w:t>
      </w:r>
    </w:p>
    <w:p>
      <w:pPr>
        <w:numPr>
          <w:ilvl w:val="0"/>
          <w:numId w:val="10"/>
        </w:numPr>
        <w:spacing w:after="160" w:line="280" w:lineRule="auto"/>
      </w:pPr>
      <w:r>
        <w:rPr>
          <w:rFonts w:ascii="Arial" w:hAnsi="Arial" w:eastAsia="Arial"/>
          <w:b w:val="0"/>
          <w:i w:val="0"/>
          <w:color w:val="000000"/>
          <w:sz w:val="22"/>
        </w:rPr>
        <w:t>The current ingestion surface is custom JSON; it is not an OTLP receiver.</w:t>
      </w:r>
    </w:p>
    <w:p>
      <w:pPr>
        <w:pStyle w:val="Heading2"/>
        <w:keepNext/>
      </w:pPr>
      <w:r>
        <w:t>8.2 Read and control interfaces</w:t>
      </w:r>
    </w:p>
    <w:p>
      <w:pPr>
        <w:numPr>
          <w:ilvl w:val="0"/>
          <w:numId w:val="10"/>
        </w:numPr>
        <w:spacing w:after="160" w:line="280" w:lineRule="auto"/>
      </w:pPr>
      <w:r>
        <w:rPr>
          <w:rFonts w:ascii="Arial" w:hAnsi="Arial" w:eastAsia="Arial"/>
          <w:b w:val="0"/>
          <w:i w:val="0"/>
          <w:color w:val="000000"/>
          <w:sz w:val="22"/>
        </w:rPr>
        <w:t>Logs, metrics, traces, incidents, statistics, error groups, alert rules, alerts, and investigations are exposed through /v1 routes.</w:t>
      </w:r>
    </w:p>
    <w:p>
      <w:pPr>
        <w:numPr>
          <w:ilvl w:val="0"/>
          <w:numId w:val="10"/>
        </w:numPr>
        <w:spacing w:after="160" w:line="280" w:lineRule="auto"/>
      </w:pPr>
      <w:r>
        <w:rPr>
          <w:rFonts w:ascii="Arial" w:hAnsi="Arial" w:eastAsia="Arial"/>
          <w:b w:val="0"/>
          <w:i w:val="0"/>
          <w:color w:val="000000"/>
          <w:sz w:val="22"/>
        </w:rPr>
        <w:t>The primary UI integration contract is GET /v1/alerts/:alertId/investigation.</w:t>
      </w:r>
    </w:p>
    <w:p>
      <w:pPr>
        <w:numPr>
          <w:ilvl w:val="0"/>
          <w:numId w:val="10"/>
        </w:numPr>
        <w:spacing w:after="160" w:line="280" w:lineRule="auto"/>
      </w:pPr>
      <w:r>
        <w:rPr>
          <w:rFonts w:ascii="Arial" w:hAnsi="Arial" w:eastAsia="Arial"/>
          <w:b w:val="0"/>
          <w:i w:val="0"/>
          <w:color w:val="000000"/>
          <w:sz w:val="22"/>
        </w:rPr>
        <w:t>The frontend validates investigation responses at runtime before rendering them.</w:t>
      </w:r>
    </w:p>
    <w:p>
      <w:pPr>
        <w:numPr>
          <w:ilvl w:val="0"/>
          <w:numId w:val="10"/>
        </w:numPr>
        <w:spacing w:after="160" w:line="280" w:lineRule="auto"/>
      </w:pPr>
      <w:r>
        <w:rPr>
          <w:rFonts w:ascii="Arial" w:hAnsi="Arial" w:eastAsia="Arial"/>
          <w:b w:val="0"/>
          <w:i w:val="0"/>
          <w:color w:val="000000"/>
          <w:sz w:val="22"/>
        </w:rPr>
        <w:t>The frontend defaults to fixture mode; HTTP mode is selected through Vite environment configuration.</w:t>
      </w:r>
    </w:p>
    <w:p>
      <w:pPr>
        <w:pStyle w:val="Heading1"/>
        <w:keepNext/>
      </w:pPr>
      <w:r>
        <w:t>9. Architectural Boundaries and Invariants</w:t>
      </w:r>
    </w:p>
    <w:p>
      <w:pPr>
        <w:numPr>
          <w:ilvl w:val="0"/>
          <w:numId w:val="11"/>
        </w:numPr>
        <w:spacing w:after="160" w:line="280" w:lineRule="auto"/>
      </w:pPr>
      <w:r>
        <w:rPr>
          <w:rFonts w:ascii="Arial" w:hAnsi="Arial" w:eastAsia="Arial"/>
          <w:b w:val="0"/>
          <w:i w:val="0"/>
          <w:color w:val="000000"/>
          <w:sz w:val="22"/>
        </w:rPr>
        <w:t>Routes should remain transport adapters; application workflows belong in services.</w:t>
      </w:r>
    </w:p>
    <w:p>
      <w:pPr>
        <w:numPr>
          <w:ilvl w:val="0"/>
          <w:numId w:val="11"/>
        </w:numPr>
        <w:spacing w:after="160" w:line="280" w:lineRule="auto"/>
      </w:pPr>
      <w:r>
        <w:rPr>
          <w:rFonts w:ascii="Arial" w:hAnsi="Arial" w:eastAsia="Arial"/>
          <w:b w:val="0"/>
          <w:i w:val="0"/>
          <w:color w:val="000000"/>
          <w:sz w:val="22"/>
        </w:rPr>
        <w:t>Repositories own database-specific SQL and ClickHouse query syntax.</w:t>
      </w:r>
    </w:p>
    <w:p>
      <w:pPr>
        <w:numPr>
          <w:ilvl w:val="0"/>
          <w:numId w:val="11"/>
        </w:numPr>
        <w:spacing w:after="160" w:line="280" w:lineRule="auto"/>
      </w:pPr>
      <w:r>
        <w:rPr>
          <w:rFonts w:ascii="Arial" w:hAnsi="Arial" w:eastAsia="Arial"/>
          <w:b w:val="0"/>
          <w:i w:val="0"/>
          <w:color w:val="000000"/>
          <w:sz w:val="22"/>
        </w:rPr>
        <w:t>Composition modules construct concrete dependencies explicitly.</w:t>
      </w:r>
    </w:p>
    <w:p>
      <w:pPr>
        <w:numPr>
          <w:ilvl w:val="0"/>
          <w:numId w:val="11"/>
        </w:numPr>
        <w:spacing w:after="160" w:line="280" w:lineRule="auto"/>
      </w:pPr>
      <w:r>
        <w:rPr>
          <w:rFonts w:ascii="Arial" w:hAnsi="Arial" w:eastAsia="Arial"/>
          <w:b w:val="0"/>
          <w:i w:val="0"/>
          <w:color w:val="000000"/>
          <w:sz w:val="22"/>
        </w:rPr>
        <w:t>Telemetry ingestion is asynchronous: an accepted HTTP response means the event was published to Redis, not that it is already queryable in ClickHouse.</w:t>
      </w:r>
    </w:p>
    <w:p>
      <w:pPr>
        <w:numPr>
          <w:ilvl w:val="0"/>
          <w:numId w:val="11"/>
        </w:numPr>
        <w:spacing w:after="160" w:line="280" w:lineRule="auto"/>
      </w:pPr>
      <w:r>
        <w:rPr>
          <w:rFonts w:ascii="Arial" w:hAnsi="Arial" w:eastAsia="Arial"/>
          <w:b w:val="0"/>
          <w:i w:val="0"/>
          <w:color w:val="000000"/>
          <w:sz w:val="22"/>
        </w:rPr>
        <w:t>A stream message is acknowledged only after its processor completes successfully.</w:t>
      </w:r>
    </w:p>
    <w:p>
      <w:pPr>
        <w:numPr>
          <w:ilvl w:val="0"/>
          <w:numId w:val="11"/>
        </w:numPr>
        <w:spacing w:after="160" w:line="280" w:lineRule="auto"/>
      </w:pPr>
      <w:r>
        <w:rPr>
          <w:rFonts w:ascii="Arial" w:hAnsi="Arial" w:eastAsia="Arial"/>
          <w:b w:val="0"/>
          <w:i w:val="0"/>
          <w:color w:val="000000"/>
          <w:sz w:val="22"/>
        </w:rPr>
        <w:t>ClickHouse owns telemetry facts; PostgreSQL owns alert and investigation lifecycle state.</w:t>
      </w:r>
    </w:p>
    <w:p>
      <w:pPr>
        <w:numPr>
          <w:ilvl w:val="0"/>
          <w:numId w:val="11"/>
        </w:numPr>
        <w:spacing w:after="160" w:line="280" w:lineRule="auto"/>
      </w:pPr>
      <w:r>
        <w:rPr>
          <w:rFonts w:ascii="Arial" w:hAnsi="Arial" w:eastAsia="Arial"/>
          <w:b w:val="0"/>
          <w:i w:val="0"/>
          <w:color w:val="000000"/>
          <w:sz w:val="22"/>
        </w:rPr>
        <w:t>Investigation derivations are deterministic functions of the selected evidence window and current rules.</w:t>
      </w:r>
    </w:p>
    <w:p>
      <w:pPr>
        <w:numPr>
          <w:ilvl w:val="0"/>
          <w:numId w:val="11"/>
        </w:numPr>
        <w:spacing w:after="160" w:line="280" w:lineRule="auto"/>
      </w:pPr>
      <w:r>
        <w:rPr>
          <w:rFonts w:ascii="Arial" w:hAnsi="Arial" w:eastAsia="Arial"/>
          <w:b w:val="0"/>
          <w:i w:val="0"/>
          <w:color w:val="000000"/>
          <w:sz w:val="22"/>
        </w:rPr>
        <w:t>Evidence relationships do not establish causality and must remain distinguishable from proven root cause.</w:t>
      </w:r>
    </w:p>
    <w:p>
      <w:pPr>
        <w:pStyle w:val="Heading1"/>
        <w:keepNext/>
      </w:pPr>
      <w:r>
        <w:t>10. Consequences and Trade-offs</w:t>
      </w:r>
    </w:p>
    <w:p>
      <w:pPr>
        <w:pStyle w:val="Heading2"/>
        <w:keepNext/>
      </w:pPr>
      <w:r>
        <w:t>10.1 Positive consequences</w:t>
      </w:r>
    </w:p>
    <w:p>
      <w:pPr>
        <w:numPr>
          <w:ilvl w:val="0"/>
          <w:numId w:val="10"/>
        </w:numPr>
        <w:spacing w:after="160" w:line="280" w:lineRule="auto"/>
      </w:pPr>
      <w:r>
        <w:rPr>
          <w:rFonts w:ascii="Arial" w:hAnsi="Arial" w:eastAsia="Arial"/>
          <w:b w:val="0"/>
          <w:i w:val="0"/>
          <w:color w:val="000000"/>
          <w:sz w:val="22"/>
        </w:rPr>
        <w:t>One repository and one primary language keep the learning and operational surface manageable.</w:t>
      </w:r>
    </w:p>
    <w:p>
      <w:pPr>
        <w:numPr>
          <w:ilvl w:val="0"/>
          <w:numId w:val="10"/>
        </w:numPr>
        <w:spacing w:after="160" w:line="280" w:lineRule="auto"/>
      </w:pPr>
      <w:r>
        <w:rPr>
          <w:rFonts w:ascii="Arial" w:hAnsi="Arial" w:eastAsia="Arial"/>
          <w:b w:val="0"/>
          <w:i w:val="0"/>
          <w:color w:val="000000"/>
          <w:sz w:val="22"/>
        </w:rPr>
        <w:t>Independent worker processes isolate ingestion latency from persistence and alert evaluation.</w:t>
      </w:r>
    </w:p>
    <w:p>
      <w:pPr>
        <w:numPr>
          <w:ilvl w:val="0"/>
          <w:numId w:val="10"/>
        </w:numPr>
        <w:spacing w:after="160" w:line="280" w:lineRule="auto"/>
      </w:pPr>
      <w:r>
        <w:rPr>
          <w:rFonts w:ascii="Arial" w:hAnsi="Arial" w:eastAsia="Arial"/>
          <w:b w:val="0"/>
          <w:i w:val="0"/>
          <w:color w:val="000000"/>
          <w:sz w:val="22"/>
        </w:rPr>
        <w:t>Polyglot persistence aligns analytical telemetry queries with ClickHouse and relational lifecycle state with PostgreSQL.</w:t>
      </w:r>
    </w:p>
    <w:p>
      <w:pPr>
        <w:numPr>
          <w:ilvl w:val="0"/>
          <w:numId w:val="10"/>
        </w:numPr>
        <w:spacing w:after="160" w:line="280" w:lineRule="auto"/>
      </w:pPr>
      <w:r>
        <w:rPr>
          <w:rFonts w:ascii="Arial" w:hAnsi="Arial" w:eastAsia="Arial"/>
          <w:b w:val="0"/>
          <w:i w:val="0"/>
          <w:color w:val="000000"/>
          <w:sz w:val="22"/>
        </w:rPr>
        <w:t>Manual composition makes dependencies visible and testable without framework reflection.</w:t>
      </w:r>
    </w:p>
    <w:p>
      <w:pPr>
        <w:numPr>
          <w:ilvl w:val="0"/>
          <w:numId w:val="10"/>
        </w:numPr>
        <w:spacing w:after="160" w:line="280" w:lineRule="auto"/>
      </w:pPr>
      <w:r>
        <w:rPr>
          <w:rFonts w:ascii="Arial" w:hAnsi="Arial" w:eastAsia="Arial"/>
          <w:b w:val="0"/>
          <w:i w:val="0"/>
          <w:color w:val="000000"/>
          <w:sz w:val="22"/>
        </w:rPr>
        <w:t>The deterministic investigation model is inspectable and can explain why evidence was grouped or ranked.</w:t>
      </w:r>
    </w:p>
    <w:p>
      <w:pPr>
        <w:numPr>
          <w:ilvl w:val="0"/>
          <w:numId w:val="10"/>
        </w:numPr>
        <w:spacing w:after="160" w:line="280" w:lineRule="auto"/>
      </w:pPr>
      <w:r>
        <w:rPr>
          <w:rFonts w:ascii="Arial" w:hAnsi="Arial" w:eastAsia="Arial"/>
          <w:b w:val="0"/>
          <w:i w:val="0"/>
          <w:color w:val="000000"/>
          <w:sz w:val="22"/>
        </w:rPr>
        <w:t>The frontend data-source boundary allows investigation UI work without live infrastructure.</w:t>
      </w:r>
    </w:p>
    <w:p>
      <w:pPr>
        <w:pStyle w:val="Heading2"/>
        <w:keepNext/>
      </w:pPr>
      <w:r>
        <w:t>10.2 Negative consequences</w:t>
      </w:r>
    </w:p>
    <w:p>
      <w:pPr>
        <w:numPr>
          <w:ilvl w:val="0"/>
          <w:numId w:val="10"/>
        </w:numPr>
        <w:spacing w:after="160" w:line="280" w:lineRule="auto"/>
      </w:pPr>
      <w:r>
        <w:rPr>
          <w:rFonts w:ascii="Arial" w:hAnsi="Arial" w:eastAsia="Arial"/>
          <w:b w:val="0"/>
          <w:i w:val="0"/>
          <w:color w:val="000000"/>
          <w:sz w:val="22"/>
        </w:rPr>
        <w:t>The system operates several processes and three infrastructure stores despite being a small-team product.</w:t>
      </w:r>
    </w:p>
    <w:p>
      <w:pPr>
        <w:numPr>
          <w:ilvl w:val="0"/>
          <w:numId w:val="10"/>
        </w:numPr>
        <w:spacing w:after="160" w:line="280" w:lineRule="auto"/>
      </w:pPr>
      <w:r>
        <w:rPr>
          <w:rFonts w:ascii="Arial" w:hAnsi="Arial" w:eastAsia="Arial"/>
          <w:b w:val="0"/>
          <w:i w:val="0"/>
          <w:color w:val="000000"/>
          <w:sz w:val="22"/>
        </w:rPr>
        <w:t>Cross-store workflows cannot rely on a single database transaction.</w:t>
      </w:r>
    </w:p>
    <w:p>
      <w:pPr>
        <w:numPr>
          <w:ilvl w:val="0"/>
          <w:numId w:val="10"/>
        </w:numPr>
        <w:spacing w:after="160" w:line="280" w:lineRule="auto"/>
      </w:pPr>
      <w:r>
        <w:rPr>
          <w:rFonts w:ascii="Arial" w:hAnsi="Arial" w:eastAsia="Arial"/>
          <w:b w:val="0"/>
          <w:i w:val="0"/>
          <w:color w:val="000000"/>
          <w:sz w:val="22"/>
        </w:rPr>
        <w:t>Request-time investigation assembly can perform substantial query fan-out and CPU work.</w:t>
      </w:r>
    </w:p>
    <w:p>
      <w:pPr>
        <w:numPr>
          <w:ilvl w:val="0"/>
          <w:numId w:val="10"/>
        </w:numPr>
        <w:spacing w:after="160" w:line="280" w:lineRule="auto"/>
      </w:pPr>
      <w:r>
        <w:rPr>
          <w:rFonts w:ascii="Arial" w:hAnsi="Arial" w:eastAsia="Arial"/>
          <w:b w:val="0"/>
          <w:i w:val="0"/>
          <w:color w:val="000000"/>
          <w:sz w:val="22"/>
        </w:rPr>
        <w:t>Redis consumer-group delivery introduces pending-entry recovery, retry, idempotency, and retention responsibilities.</w:t>
      </w:r>
    </w:p>
    <w:p>
      <w:pPr>
        <w:numPr>
          <w:ilvl w:val="0"/>
          <w:numId w:val="10"/>
        </w:numPr>
        <w:spacing w:after="160" w:line="280" w:lineRule="auto"/>
      </w:pPr>
      <w:r>
        <w:rPr>
          <w:rFonts w:ascii="Arial" w:hAnsi="Arial" w:eastAsia="Arial"/>
          <w:b w:val="0"/>
          <w:i w:val="0"/>
          <w:color w:val="000000"/>
          <w:sz w:val="22"/>
        </w:rPr>
        <w:t>Manually composed services create a large constructor graph in the investigation composition module.</w:t>
      </w:r>
    </w:p>
    <w:p>
      <w:pPr>
        <w:numPr>
          <w:ilvl w:val="0"/>
          <w:numId w:val="10"/>
        </w:numPr>
        <w:spacing w:after="160" w:line="280" w:lineRule="auto"/>
      </w:pPr>
      <w:r>
        <w:rPr>
          <w:rFonts w:ascii="Arial" w:hAnsi="Arial" w:eastAsia="Arial"/>
          <w:b w:val="0"/>
          <w:i w:val="0"/>
          <w:color w:val="000000"/>
          <w:sz w:val="22"/>
        </w:rPr>
        <w:t>Custom telemetry contracts differ from standard OpenTelemetry wire contracts.</w:t>
      </w:r>
    </w:p>
    <w:p>
      <w:pPr>
        <w:pStyle w:val="Heading1"/>
        <w:keepNext/>
      </w:pPr>
      <w:r>
        <w:t>11. Known Current Limitations</w:t>
      </w:r>
    </w:p>
    <w:p>
      <w:r>
        <w:rPr>
          <w:rFonts w:ascii="Arial" w:hAnsi="Arial" w:eastAsia="Arial"/>
          <w:b w:val="0"/>
          <w:i w:val="0"/>
          <w:color w:val="000000"/>
          <w:sz w:val="22"/>
        </w:rPr>
        <w:t>The following items are part of the as-built baseline. They are documented as present architectural risk, not as a future implementation plan.</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1050"/>
        <w:gridCol w:w="2100"/>
        <w:gridCol w:w="4510"/>
        <w:gridCol w:w="1700"/>
      </w:tblGrid>
      <w:tr>
        <w:trPr>
          <w:tblHeader w:val="true"/>
          <w:cantSplit/>
        </w:trPr>
        <w:tc>
          <w:tcPr>
            <w:tcW w:type="dxa" w:w="105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Severity</w:t>
            </w:r>
          </w:p>
        </w:tc>
        <w:tc>
          <w:tcPr>
            <w:tcW w:type="dxa" w:w="210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Limitation</w:t>
            </w:r>
          </w:p>
        </w:tc>
        <w:tc>
          <w:tcPr>
            <w:tcW w:type="dxa" w:w="451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Current effect</w:t>
            </w:r>
          </w:p>
        </w:tc>
        <w:tc>
          <w:tcPr>
            <w:tcW w:type="dxa" w:w="1700"/>
            <w:shd w:fill="E8EEF5"/>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Evidence</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Critical</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Consumer-group start position</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New groups are created at '$'; entries published before first group creation are not delivered through the normal '&gt;' read path.</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stream.consumer.ts</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Critical</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Schema reproducibility</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Only the ClickHouse logs table is created in source. Span and metric schemas are not represented, and PostgreSQL migrations do not fully match repository columns and module format.</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schema; migrations</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High</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lifecycle consistency</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creation and investigation creation are separate writes. Recovery updates the alert repository directly, so an investigation window may remain unfinalized.</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alert service; recovery</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High</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Concurrent duplicate alerts</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The check for an active alert and the insert are separate operations without a database uniqueness guard.</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metric evaluator; migration</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High</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Runtime trust boundary</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Route bodies are TypeScript-cast without Fastify JSON schemas; ingestion has no authentication, tenant identity, rate limit, or payload-size policy.</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routes; app.ts</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High</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Uneven retry semantics</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Recovery and dead-letter handling exist for logs but not for span or metric workers.</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recovery; workers</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High</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Unbounded stream storage</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Publishers append without an explicit maximum length, and acknowledgements do not remove stream entries.</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publishers</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Medium</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Single-message processing</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Consumers request one message and repositories insert one row at a time, limiting ClickHouse batching efficiency.</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consumer; repositories</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Medium</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fan-out</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Candidate trace IDs are loaded and queried with an unrestricted Promise.all during a request.</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service</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Medium</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Configuration and readiness</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and ClickHouse connection details are hard-coded, and /health reports liveness without verifying dependency readiness.</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config; health route</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Medium</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Local frontend integration</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 CORS allows port 4173 while Vite development defaults to port 5173 unless separately configured.</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app; vite config</w:t>
            </w:r>
          </w:p>
        </w:tc>
      </w:tr>
      <w:tr>
        <w:trPr>
          <w:cantSplit/>
        </w:trPr>
        <w:tc>
          <w:tcPr>
            <w:tcW w:type="dxa" w:w="105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Medium</w:t>
            </w:r>
          </w:p>
        </w:tc>
        <w:tc>
          <w:tcPr>
            <w:tcW w:type="dxa" w:w="2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Verification entry point</w:t>
            </w:r>
          </w:p>
        </w:tc>
        <w:tc>
          <w:tcPr>
            <w:tcW w:type="dxa" w:w="451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 test files exist, but the package test script remains a failing placeholder.</w:t>
            </w:r>
          </w:p>
        </w:tc>
        <w:tc>
          <w:tcPr>
            <w:tcW w:type="dxa" w:w="17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package; tests</w:t>
            </w:r>
          </w:p>
        </w:tc>
      </w:tr>
    </w:tbl>
    <w:p>
      <w:pPr>
        <w:spacing w:after="40"/>
      </w:pPr>
    </w:p>
    <w:p>
      <w:pPr>
        <w:pStyle w:val="Heading1"/>
        <w:keepNext/>
      </w:pPr>
      <w:r>
        <w:t>12. Alternatives Considered</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2500"/>
        <w:gridCol w:w="1500"/>
        <w:gridCol w:w="5360"/>
      </w:tblGrid>
      <w:tr>
        <w:trPr>
          <w:tblHeader w:val="true"/>
          <w:cantSplit/>
        </w:trPr>
        <w:tc>
          <w:tcPr>
            <w:tcW w:type="dxa" w:w="25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Alternative</w:t>
            </w:r>
          </w:p>
        </w:tc>
        <w:tc>
          <w:tcPr>
            <w:tcW w:type="dxa" w:w="15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Decision</w:t>
            </w:r>
          </w:p>
        </w:tc>
        <w:tc>
          <w:tcPr>
            <w:tcW w:type="dxa" w:w="536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Rationale</w:t>
            </w:r>
          </w:p>
        </w:tc>
      </w:tr>
      <w:tr>
        <w:trPr>
          <w:cantSplit/>
        </w:trPr>
        <w:tc>
          <w:tcPr>
            <w:tcW w:type="dxa" w:w="2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Synchronous API-to-database writes</w:t>
            </w:r>
          </w:p>
        </w:tc>
        <w:tc>
          <w:tcPr>
            <w:tcW w:type="dxa" w:w="1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Not selected</w:t>
            </w:r>
          </w:p>
        </w:tc>
        <w:tc>
          <w:tcPr>
            <w:tcW w:type="dxa" w:w="53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Simpler delivery semantics, but couples request latency and availability directly to ClickHouse and PostgreSQL processing.</w:t>
            </w:r>
          </w:p>
        </w:tc>
      </w:tr>
      <w:tr>
        <w:trPr>
          <w:cantSplit/>
        </w:trPr>
        <w:tc>
          <w:tcPr>
            <w:tcW w:type="dxa" w:w="2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One database for all data</w:t>
            </w:r>
          </w:p>
        </w:tc>
        <w:tc>
          <w:tcPr>
            <w:tcW w:type="dxa" w:w="1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Not selected</w:t>
            </w:r>
          </w:p>
        </w:tc>
        <w:tc>
          <w:tcPr>
            <w:tcW w:type="dxa" w:w="53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Reduces infrastructure count, but combines high-volume analytical telemetry with relational lifecycle workloads.</w:t>
            </w:r>
          </w:p>
        </w:tc>
      </w:tr>
      <w:tr>
        <w:trPr>
          <w:cantSplit/>
        </w:trPr>
        <w:tc>
          <w:tcPr>
            <w:tcW w:type="dxa" w:w="2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Microservice per telemetry or domain function</w:t>
            </w:r>
          </w:p>
        </w:tc>
        <w:tc>
          <w:tcPr>
            <w:tcW w:type="dxa" w:w="1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Not selected</w:t>
            </w:r>
          </w:p>
        </w:tc>
        <w:tc>
          <w:tcPr>
            <w:tcW w:type="dxa" w:w="53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Offers hard deployment boundaries but adds network contracts, deployment coordination, and operational overhead disproportionate to the current team and scope.</w:t>
            </w:r>
          </w:p>
        </w:tc>
      </w:tr>
      <w:tr>
        <w:trPr>
          <w:cantSplit/>
        </w:trPr>
        <w:tc>
          <w:tcPr>
            <w:tcW w:type="dxa" w:w="2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Kafka as the event backbone</w:t>
            </w:r>
          </w:p>
        </w:tc>
        <w:tc>
          <w:tcPr>
            <w:tcW w:type="dxa" w:w="1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Not selected</w:t>
            </w:r>
          </w:p>
        </w:tc>
        <w:tc>
          <w:tcPr>
            <w:tcW w:type="dxa" w:w="53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Provides a deeper streaming platform, but Redis Streams has a smaller current operational footprint for this implementation.</w:t>
            </w:r>
          </w:p>
        </w:tc>
      </w:tr>
      <w:tr>
        <w:trPr>
          <w:cantSplit/>
        </w:trPr>
        <w:tc>
          <w:tcPr>
            <w:tcW w:type="dxa" w:w="2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AI-first root-cause generation</w:t>
            </w:r>
          </w:p>
        </w:tc>
        <w:tc>
          <w:tcPr>
            <w:tcW w:type="dxa" w:w="15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Not selected</w:t>
            </w:r>
          </w:p>
        </w:tc>
        <w:tc>
          <w:tcPr>
            <w:tcW w:type="dxa" w:w="53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Could produce richer prose, but would weaken the current requirement that every derived result be deterministic and linked to observable evidence.</w:t>
            </w:r>
          </w:p>
        </w:tc>
      </w:tr>
    </w:tbl>
    <w:p>
      <w:pPr>
        <w:spacing w:after="40"/>
      </w:pPr>
    </w:p>
    <w:p>
      <w:pPr>
        <w:pStyle w:val="Heading1"/>
        <w:keepNext/>
      </w:pPr>
      <w:r>
        <w:t>13. Decision Compliance</w:t>
      </w:r>
    </w:p>
    <w:p>
      <w:r>
        <w:rPr>
          <w:rFonts w:ascii="Arial" w:hAnsi="Arial" w:eastAsia="Arial"/>
          <w:b w:val="0"/>
          <w:i w:val="0"/>
          <w:color w:val="000000"/>
          <w:sz w:val="22"/>
        </w:rPr>
        <w:t>A change remains consistent with ADR-001 when all of the following statements remain true:</w:t>
      </w:r>
    </w:p>
    <w:p>
      <w:pPr>
        <w:numPr>
          <w:ilvl w:val="0"/>
          <w:numId w:val="10"/>
        </w:numPr>
        <w:spacing w:after="160" w:line="280" w:lineRule="auto"/>
      </w:pPr>
      <w:r>
        <w:rPr>
          <w:rFonts w:ascii="Arial" w:hAnsi="Arial" w:eastAsia="Arial"/>
          <w:b w:val="0"/>
          <w:i w:val="0"/>
          <w:color w:val="000000"/>
          <w:sz w:val="22"/>
        </w:rPr>
        <w:t>The HTTP/query application remains a layered modular monolith in the current repository.</w:t>
      </w:r>
    </w:p>
    <w:p>
      <w:pPr>
        <w:numPr>
          <w:ilvl w:val="0"/>
          <w:numId w:val="10"/>
        </w:numPr>
        <w:spacing w:after="160" w:line="280" w:lineRule="auto"/>
      </w:pPr>
      <w:r>
        <w:rPr>
          <w:rFonts w:ascii="Arial" w:hAnsi="Arial" w:eastAsia="Arial"/>
          <w:b w:val="0"/>
          <w:i w:val="0"/>
          <w:color w:val="000000"/>
          <w:sz w:val="22"/>
        </w:rPr>
        <w:t>Telemetry persistence remains asynchronous through signal-specific Redis Streams and workers.</w:t>
      </w:r>
    </w:p>
    <w:p>
      <w:pPr>
        <w:numPr>
          <w:ilvl w:val="0"/>
          <w:numId w:val="10"/>
        </w:numPr>
        <w:spacing w:after="160" w:line="280" w:lineRule="auto"/>
      </w:pPr>
      <w:r>
        <w:rPr>
          <w:rFonts w:ascii="Arial" w:hAnsi="Arial" w:eastAsia="Arial"/>
          <w:b w:val="0"/>
          <w:i w:val="0"/>
          <w:color w:val="000000"/>
          <w:sz w:val="22"/>
        </w:rPr>
        <w:t>ClickHouse remains the telemetry fact store and PostgreSQL remains the relational control-state store.</w:t>
      </w:r>
    </w:p>
    <w:p>
      <w:pPr>
        <w:numPr>
          <w:ilvl w:val="0"/>
          <w:numId w:val="10"/>
        </w:numPr>
        <w:spacing w:after="160" w:line="280" w:lineRule="auto"/>
      </w:pPr>
      <w:r>
        <w:rPr>
          <w:rFonts w:ascii="Arial" w:hAnsi="Arial" w:eastAsia="Arial"/>
          <w:b w:val="0"/>
          <w:i w:val="0"/>
          <w:color w:val="000000"/>
          <w:sz w:val="22"/>
        </w:rPr>
        <w:t>Investigation outputs remain derived from explicit evidence and do not represent correlation as proven causality.</w:t>
      </w:r>
    </w:p>
    <w:p>
      <w:pPr>
        <w:numPr>
          <w:ilvl w:val="0"/>
          <w:numId w:val="10"/>
        </w:numPr>
        <w:spacing w:after="160" w:line="280" w:lineRule="auto"/>
      </w:pPr>
      <w:r>
        <w:rPr>
          <w:rFonts w:ascii="Arial" w:hAnsi="Arial" w:eastAsia="Arial"/>
          <w:b w:val="0"/>
          <w:i w:val="0"/>
          <w:color w:val="000000"/>
          <w:sz w:val="22"/>
        </w:rPr>
        <w:t>Infrastructure-specific access remains behind repositories, while orchestration remains in services.</w:t>
      </w:r>
    </w:p>
    <w:p>
      <w:pPr>
        <w:pStyle w:val="Heading1"/>
        <w:keepNext/>
      </w:pPr>
      <w:r>
        <w:t>14. Codebase Map</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3100"/>
        <w:gridCol w:w="6260"/>
      </w:tblGrid>
      <w:tr>
        <w:trPr>
          <w:tblHeader w:val="true"/>
          <w:cantSplit/>
        </w:trPr>
        <w:tc>
          <w:tcPr>
            <w:tcW w:type="dxa" w:w="31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Concern</w:t>
            </w:r>
          </w:p>
        </w:tc>
        <w:tc>
          <w:tcPr>
            <w:tcW w:type="dxa" w:w="626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Current location</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Application bootstrap and routes</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backend/src/app.ts; backend/src/routes</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Manual dependency composition</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backend/src/composition</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Application services</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backend/src/services</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Persistence adapters</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backend/src/repository</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Redis publishers</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backend/src/publishers; backend/src/worker/publisher</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Workers and delivery handling</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backend/src/worker</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Telemetry/control types</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backend/src/types</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PostgreSQL migrations</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backend/migrations</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ClickHouse schema bootstrap</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backend/src/database/shema.ts</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Infrastructure composition</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backend/docker-compose.yml</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Investigation frontend</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frontend/src</w:t>
            </w:r>
          </w:p>
        </w:tc>
      </w:tr>
      <w:tr>
        <w:trPr>
          <w:cantSplit/>
        </w:trPr>
        <w:tc>
          <w:tcPr>
            <w:tcW w:type="dxa" w:w="31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Frontend contract documentation</w:t>
            </w:r>
          </w:p>
        </w:tc>
        <w:tc>
          <w:tcPr>
            <w:tcW w:type="dxa" w:w="62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frontend/docs; doc/frontend</w:t>
            </w:r>
          </w:p>
        </w:tc>
      </w:tr>
    </w:tbl>
    <w:p>
      <w:pPr>
        <w:spacing w:after="40"/>
      </w:pPr>
    </w:p>
    <w:p>
      <w:pPr>
        <w:pStyle w:val="Heading1"/>
        <w:keepNext/>
      </w:pPr>
      <w:r>
        <w:t>15. Glossary</w:t>
      </w:r>
    </w:p>
    <w:tbl>
      <w:tblPr>
        <w:tblStyle w:val="TableGrid"/>
        <w:tblW w:type="dxa" w:w="9360"/>
        <w:jc w:val="left"/>
        <w:tblLayout w:type="fixed"/>
        <w:tblLook w:firstColumn="1" w:firstRow="1" w:lastColumn="0" w:lastRow="0" w:noHBand="0" w:noVBand="1" w:val="04A0"/>
        <w:tblInd w:w="120" w:type="dxa"/>
        <w:tblBorders>
          <w:top w:val="single" w:sz="5" w:space="0" w:color="C7D0DB"/>
          <w:left w:val="single" w:sz="5" w:space="0" w:color="C7D0DB"/>
          <w:bottom w:val="single" w:sz="5" w:space="0" w:color="C7D0DB"/>
          <w:right w:val="single" w:sz="5" w:space="0" w:color="C7D0DB"/>
          <w:insideH w:val="single" w:sz="5" w:space="0" w:color="C7D0DB"/>
          <w:insideV w:val="single" w:sz="5" w:space="0" w:color="C7D0DB"/>
        </w:tblBorders>
      </w:tblPr>
      <w:tblGrid>
        <w:gridCol w:w="2200"/>
        <w:gridCol w:w="7160"/>
      </w:tblGrid>
      <w:tr>
        <w:trPr>
          <w:tblHeader w:val="true"/>
          <w:cantSplit/>
        </w:trPr>
        <w:tc>
          <w:tcPr>
            <w:tcW w:type="dxa" w:w="220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Term</w:t>
            </w:r>
          </w:p>
        </w:tc>
        <w:tc>
          <w:tcPr>
            <w:tcW w:type="dxa" w:w="7160"/>
            <w:shd w:fill="F2F4F7"/>
            <w:tcMar>
              <w:top w:w="90" w:type="dxa"/>
              <w:bottom w:w="90" w:type="dxa"/>
              <w:start w:w="120" w:type="dxa"/>
              <w:end w:w="120" w:type="dxa"/>
            </w:tcMar>
            <w:vAlign w:val="center"/>
          </w:tcPr>
          <w:p>
            <w:pPr>
              <w:spacing w:after="40" w:line="240" w:lineRule="auto"/>
            </w:pPr>
            <w:r>
              <w:rPr>
                <w:rFonts w:ascii="Arial" w:hAnsi="Arial" w:eastAsia="Arial"/>
                <w:b/>
                <w:i w:val="0"/>
                <w:color w:val="172B4D"/>
                <w:sz w:val="18"/>
              </w:rPr>
              <w:t>Definition</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Finding</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 single deterministic observation derived from a metric, log, or span.</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Correlation</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 factual relationship between findings, such as shared trace context or temporal proximity.</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Evidence group</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 connected set of findings joined by current correlation rules.</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Signal</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 structural pattern derived from grouped evidence and trace shape.</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Cause candidate</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 service-scoped hypothesis supported by current failure evidence; not a proven cause.</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Control state</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Rules and lifecycle records whose authority resides in PostgreSQL.</w:t>
            </w:r>
          </w:p>
        </w:tc>
      </w:tr>
      <w:tr>
        <w:trPr>
          <w:cantSplit/>
        </w:trPr>
        <w:tc>
          <w:tcPr>
            <w:tcW w:type="dxa" w:w="220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Telemetry fact</w:t>
            </w:r>
          </w:p>
        </w:tc>
        <w:tc>
          <w:tcPr>
            <w:tcW w:type="dxa" w:w="7160"/>
            <w:tcMar>
              <w:top w:w="90" w:type="dxa"/>
              <w:bottom w:w="90" w:type="dxa"/>
              <w:start w:w="120" w:type="dxa"/>
              <w:end w:w="120" w:type="dxa"/>
            </w:tcMar>
            <w:vAlign w:val="center"/>
          </w:tcPr>
          <w:p>
            <w:pPr>
              <w:spacing w:after="40" w:line="252" w:lineRule="auto"/>
            </w:pPr>
            <w:r>
              <w:rPr>
                <w:rFonts w:ascii="Arial" w:hAnsi="Arial" w:eastAsia="Arial"/>
                <w:b w:val="0"/>
                <w:i w:val="0"/>
                <w:color w:val="000000"/>
                <w:sz w:val="18"/>
              </w:rPr>
              <w:t>An observed log, metric, or span whose authority resides in ClickHouse.</w:t>
            </w:r>
          </w:p>
        </w:tc>
      </w:tr>
    </w:tbl>
    <w:p>
      <w:pPr>
        <w:spacing w:after="40"/>
      </w:pPr>
    </w:p>
    <w:p>
      <w:pPr>
        <w:pStyle w:val="Heading1"/>
        <w:keepNext/>
      </w:pPr>
      <w:r>
        <w:t>Record Maintenance</w:t>
      </w:r>
    </w:p>
    <w:p>
      <w:r>
        <w:rPr>
          <w:rFonts w:ascii="Arial" w:hAnsi="Arial" w:eastAsia="Arial"/>
          <w:b w:val="0"/>
          <w:i w:val="0"/>
          <w:color w:val="000000"/>
          <w:sz w:val="22"/>
        </w:rPr>
        <w:t>This record describes the repository state reviewed on 26 August 2026. If the accepted architectural decision changes materially, this ADR should be marked superseded and linked to the replacing ADR. Ordinary implementation details that preserve the decision do not require a status change.</w:t>
      </w:r>
    </w:p>
    <w:p>
      <w:pPr>
        <w:spacing w:after="0"/>
      </w:pPr>
      <w:r>
        <w:rPr>
          <w:rFonts w:ascii="Arial" w:hAnsi="Arial" w:eastAsia="Arial"/>
          <w:b w:val="0"/>
          <w:i/>
          <w:color w:val="5E6C84"/>
          <w:sz w:val="22"/>
        </w:rPr>
        <w:t>End of ADR-001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b w:val="0"/>
        <w:i w:val="0"/>
        <w:color w:val="5E6C84"/>
        <w:sz w:val="17"/>
      </w:rPr>
      <w:t xml:space="preserve">Current Architecture Baseline   |   Page </w:t>
    </w:r>
    <w:r>
      <w:rPr>
        <w:rFonts w:ascii="Arial" w:hAnsi="Arial" w:eastAsia="Arial"/>
        <w:b w:val="0"/>
        <w:i w:val="0"/>
        <w:color w:val="5E6C8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eastAsia="Arial"/>
        <w:b/>
        <w:i w:val="0"/>
        <w:color w:val="5E6C84"/>
        <w:sz w:val="17"/>
      </w:rPr>
      <w:t>ARCHITECTURE DECISION RECORD</w:t>
    </w:r>
    <w:r>
      <w:rPr>
        <w:rFonts w:ascii="Arial" w:hAnsi="Arial" w:eastAsia="Arial"/>
        <w:b/>
        <w:i w:val="0"/>
        <w:color w:val="2E74B5"/>
        <w:sz w:val="17"/>
      </w:rPr>
      <w:t xml:space="preserve">   |   ADR-001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spacing w:after="160" w:line="280" w:lineRule="auto"/>
      </w:pPr>
    </w:lvl>
  </w:abstractNum>
  <w:abstractNum w:abstractNumId="10">
    <w:multiLevelType w:val="singleLevel"/>
    <w:lvl w:ilvl="0">
      <w:start w:val="1"/>
      <w:numFmt w:val="decimal"/>
      <w:lvlText w:val="%1."/>
      <w:lvlJc w:val="left"/>
      <w:pPr>
        <w:ind w:left="720" w:hanging="360"/>
        <w:spacing w:after="160" w:line="28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7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val="0"/>
      <w:iCs/>
      <w:color w:val="5E6C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ADR-001 - Current Architecture Baseline</dc:title>
  <dc:subject>As-built architecture decision record for the intelligent observability platform</dc:subject>
  <dc:creator>Project Architecture</dc:creator>
  <cp:keywords>ADR, architecture, observability, TypeScript, Fastify, Redis Streams, ClickHouse, PostgreSQL</cp:keywords>
  <dc:description>Current-state record only; future development intentionally excluded.</dc:description>
  <cp:lastModifiedBy/>
  <cp:revision>1</cp:revision>
  <dcterms:created xsi:type="dcterms:W3CDTF">2013-12-23T23:15:00Z</dcterms:created>
  <dcterms:modified xsi:type="dcterms:W3CDTF">2013-12-23T23:15:00Z</dcterms:modified>
  <cp:category/>
</cp:coreProperties>
</file>