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1E3A8A"/>
          <w:sz w:val="44"/>
          <w:szCs w:val="44"/>
        </w:rPr>
        <w:t xml:space="preserve">NEXT-GENERATION ATS &amp; RECRUITMENT OPERATING SYSTEM</w:t>
      </w:r>
    </w:p>
    <w:p>
      <w:pPr>
        <w:spacing w:after="300" w:before="0"/>
        <w:jc w:val="center"/>
      </w:pPr>
      <w:r>
        <w:rPr>
          <w:rFonts w:ascii="Calibri" w:cs="Calibri" w:eastAsia="Calibri" w:hAnsi="Calibri"/>
          <w:i/>
          <w:iCs/>
          <w:color w:val="2563EB"/>
          <w:sz w:val="24"/>
          <w:szCs w:val="24"/>
        </w:rPr>
        <w:t xml:space="preserve">Comprehensive User Manual, Feature Blueprint &amp; Operational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8FAFC" w:val="clear"/>
            <w:tcMar>
              <w:top w:type="dxa" w:w="140"/>
              <w:left w:type="dxa" w:w="180"/>
              <w:bottom w:type="dxa" w:w="140"/>
              <w:right w:type="dxa" w:w="180"/>
            </w:tcMar>
          </w:tcPr>
          <w:p>
            <w:pPr>
              <w:spacing w:after="40" w:before="0"/>
              <w:jc w:val="center"/>
            </w:pPr>
            <w:r>
              <w:rPr>
                <w:rFonts w:ascii="Calibri" w:cs="Calibri" w:eastAsia="Calibri" w:hAnsi="Calibri"/>
                <w:b/>
                <w:bCs/>
                <w:color w:val="1E3A8A"/>
                <w:sz w:val="20"/>
                <w:szCs w:val="20"/>
              </w:rPr>
              <w:t xml:space="preserve">OFFICIAL PRODUCT MANUAL &amp; OPERATIONAL GUIDE</w:t>
            </w:r>
          </w:p>
          <w:p>
            <w:pPr>
              <w:spacing w:after="0" w:before="0"/>
              <w:jc w:val="center"/>
            </w:pPr>
            <w:r>
              <w:rPr>
                <w:rFonts w:ascii="Calibri" w:cs="Calibri" w:eastAsia="Calibri" w:hAnsi="Calibri"/>
                <w:color w:val="64748B"/>
                <w:sz w:val="18"/>
                <w:szCs w:val="18"/>
              </w:rPr>
              <w:t xml:space="preserve">Prepared for: Recruitment Consultancies, Staffing Agencies &amp; Corporate HR Teams</w:t>
            </w:r>
          </w:p>
        </w:tc>
      </w:tr>
    </w:tbl>
    <w:p>
      <w:pPr>
        <w:spacing w:after="200" w:before="200"/>
      </w:pPr>
    </w:p>
    <w:p>
      <w:pPr>
        <w:pStyle w:val="Heading1"/>
        <w:spacing w:after="160" w:before="400"/>
      </w:pPr>
      <w:r>
        <w:rPr>
          <w:rFonts w:ascii="Calibri" w:cs="Calibri" w:eastAsia="Calibri" w:hAnsi="Calibri"/>
          <w:b/>
          <w:bCs/>
          <w:color w:val="1E3A8A"/>
          <w:sz w:val="32"/>
          <w:szCs w:val="32"/>
        </w:rPr>
        <w:t xml:space="preserve">1. EXECUTIVE OVERVIEW: WHY AGENCIES NEED THIS PORTAL</w:t>
      </w:r>
    </w:p>
    <w:p>
      <w:pPr>
        <w:spacing w:after="100" w:before="60"/>
      </w:pPr>
      <w:r>
        <w:rPr>
          <w:rFonts w:ascii="Calibri" w:cs="Calibri" w:eastAsia="Calibri" w:hAnsi="Calibri"/>
          <w:b/>
          <w:bCs/>
          <w:color w:val="1E293B"/>
          <w:sz w:val="22"/>
          <w:szCs w:val="22"/>
        </w:rPr>
        <w:t xml:space="preserve">The Core Problem: </w:t>
      </w:r>
      <w:r>
        <w:rPr>
          <w:rFonts w:ascii="Calibri" w:cs="Calibri" w:eastAsia="Calibri" w:hAnsi="Calibri"/>
          <w:color w:val="1E293B"/>
          <w:sz w:val="22"/>
          <w:szCs w:val="22"/>
        </w:rPr>
        <w:t xml:space="preserve">Traditional recruitment agencies in India and worldwide struggle with fragmented operations. Most staffing teams manage candidate resumes on personal desktop folders, send CVs through individual Gmail or WhatsApp accounts, and track interviews on messy Excel sheets. This causes severe data loss, internal recruiter disputes, and wasted portal credits.</w:t>
      </w:r>
    </w:p>
    <w:p>
      <w:pPr>
        <w:spacing w:after="100" w:before="60"/>
      </w:pPr>
      <w:r>
        <w:rPr>
          <w:rFonts w:ascii="Calibri" w:cs="Calibri" w:eastAsia="Calibri" w:hAnsi="Calibri"/>
          <w:b/>
          <w:bCs/>
          <w:color w:val="1E293B"/>
          <w:sz w:val="22"/>
          <w:szCs w:val="22"/>
        </w:rPr>
        <w:t xml:space="preserve">The Solution: </w:t>
      </w:r>
      <w:r>
        <w:rPr>
          <w:rFonts w:ascii="Calibri" w:cs="Calibri" w:eastAsia="Calibri" w:hAnsi="Calibri"/>
          <w:color w:val="1E293B"/>
          <w:sz w:val="22"/>
          <w:szCs w:val="22"/>
        </w:rPr>
        <w:t xml:space="preserve">This ATS platform is an all-in-one digital operating engine engineered specifically for high-volume staffing agencies. It unifies candidate inflow, AI-powered resume parsing, 106+ enterprise client job matching, automated biometric face attendance, instant salary Annexure calculation, and recruiter commission tracking into one high-speed dashboard.</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60"/>
              <w:left w:type="dxa" w:w="240"/>
              <w:bottom w:type="dxa" w:w="160"/>
              <w:right w:type="dxa" w:w="200"/>
            </w:tcMar>
          </w:tcPr>
          <w:p>
            <w:pPr>
              <w:spacing w:after="60" w:before="0"/>
            </w:pPr>
            <w:r>
              <w:rPr>
                <w:rFonts w:ascii="Calibri" w:cs="Calibri" w:eastAsia="Calibri" w:hAnsi="Calibri"/>
                <w:b/>
                <w:bCs/>
                <w:color w:val="2563EB"/>
                <w:sz w:val="22"/>
                <w:szCs w:val="22"/>
              </w:rPr>
              <w:t xml:space="preserve">💡 HIGH IMPACT BUSINESS VALUE</w:t>
            </w:r>
          </w:p>
          <w:p>
            <w:pPr>
              <w:spacing w:after="0" w:before="0"/>
            </w:pPr>
            <w:r>
              <w:rPr>
                <w:rFonts w:ascii="Calibri" w:cs="Calibri" w:eastAsia="Calibri" w:hAnsi="Calibri"/>
                <w:i/>
                <w:iCs/>
                <w:color w:val="1E293B"/>
                <w:sz w:val="21"/>
                <w:szCs w:val="21"/>
              </w:rPr>
              <w:t xml:space="preserve">By replacing 4 disjointed tools (ATS software, biometric hardware machines, manual MS Word offer letters, and commission Excel workbooks), agencies reduce time-to-hire by up to 70% while ensuring 100% company data protection.</w:t>
            </w:r>
          </w:p>
        </w:tc>
      </w:tr>
    </w:tbl>
    <w:p>
      <w:pPr>
        <w:spacing w:after="120" w:before="120"/>
      </w:pPr>
    </w:p>
    <w:p>
      <w:pPr>
        <w:pStyle w:val="Heading1"/>
        <w:spacing w:after="160" w:before="400"/>
      </w:pPr>
      <w:r>
        <w:rPr>
          <w:rFonts w:ascii="Calibri" w:cs="Calibri" w:eastAsia="Calibri" w:hAnsi="Calibri"/>
          <w:b/>
          <w:bCs/>
          <w:color w:val="1E3A8A"/>
          <w:sz w:val="32"/>
          <w:szCs w:val="32"/>
        </w:rPr>
        <w:t xml:space="preserve">2. SYSTEM USER ROLES &amp; ACCESS CONTROL</w:t>
      </w:r>
    </w:p>
    <w:p>
      <w:pPr>
        <w:spacing w:after="100" w:before="60"/>
      </w:pPr>
      <w:r>
        <w:rPr>
          <w:rFonts w:ascii="Calibri" w:cs="Calibri" w:eastAsia="Calibri" w:hAnsi="Calibri"/>
          <w:color w:val="1E293B"/>
          <w:sz w:val="22"/>
          <w:szCs w:val="22"/>
        </w:rPr>
        <w:t xml:space="preserve">The portal uses strict Role-Based Access Control (RBAC) to guarantee data security and operational clarity across the agency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Mar>
              <w:top w:type="dxa" w:w="120"/>
              <w:left w:type="dxa" w:w="120"/>
              <w:bottom w:type="dxa" w:w="120"/>
              <w:right w:type="dxa" w:w="120"/>
            </w:tcMar>
          </w:tcPr>
          <w:p>
            <w:r>
              <w:rPr>
                <w:b/>
                <w:bCs/>
                <w:color w:val="FFFFFF"/>
                <w:sz w:val="20"/>
                <w:szCs w:val="20"/>
              </w:rPr>
              <w:t xml:space="preserve">Role</w:t>
            </w:r>
          </w:p>
        </w:tc>
        <w:tc>
          <w:tcPr>
            <w:shd w:fill="1E3A8A" w:val="clear"/>
            <w:tcMar>
              <w:top w:type="dxa" w:w="120"/>
              <w:left w:type="dxa" w:w="120"/>
              <w:bottom w:type="dxa" w:w="120"/>
              <w:right w:type="dxa" w:w="120"/>
            </w:tcMar>
          </w:tcPr>
          <w:p>
            <w:r>
              <w:rPr>
                <w:b/>
                <w:bCs/>
                <w:color w:val="FFFFFF"/>
                <w:sz w:val="20"/>
                <w:szCs w:val="20"/>
              </w:rPr>
              <w:t xml:space="preserve">Target User</w:t>
            </w:r>
          </w:p>
        </w:tc>
        <w:tc>
          <w:tcPr>
            <w:shd w:fill="1E3A8A" w:val="clear"/>
            <w:tcMar>
              <w:top w:type="dxa" w:w="120"/>
              <w:left w:type="dxa" w:w="120"/>
              <w:bottom w:type="dxa" w:w="120"/>
              <w:right w:type="dxa" w:w="120"/>
            </w:tcMar>
          </w:tcPr>
          <w:p>
            <w:r>
              <w:rPr>
                <w:b/>
                <w:bCs/>
                <w:color w:val="FFFFFF"/>
                <w:sz w:val="20"/>
                <w:szCs w:val="20"/>
              </w:rPr>
              <w:t xml:space="preserve">Operational Permissions &amp; Capabilities</w:t>
            </w:r>
          </w:p>
        </w:tc>
      </w:tr>
      <w:tr>
        <w:tc>
          <w:tcPr>
            <w:tcMar>
              <w:top w:type="dxa" w:w="100"/>
              <w:left w:type="dxa" w:w="120"/>
              <w:bottom w:type="dxa" w:w="100"/>
              <w:right w:type="dxa" w:w="120"/>
            </w:tcMar>
          </w:tcPr>
          <w:p>
            <w:pPr>
              <w:spacing w:after="100" w:before="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Admin</w:t>
            </w:r>
          </w:p>
        </w:tc>
        <w:tc>
          <w:tcP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Agency Owner, CEO, Managing Director</w:t>
            </w:r>
          </w:p>
        </w:tc>
        <w:tc>
          <w:tcP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Full system governance: configure client JRs, manage user logins, view all financial revenues and recruiter placement incentives, and access audit logs.</w:t>
            </w:r>
          </w:p>
        </w:tc>
      </w:tr>
      <w:tr>
        <w:tc>
          <w:tcPr>
            <w:shd w:fill="F8FAFC" w:val="clear"/>
            <w:tcMar>
              <w:top w:type="dxa" w:w="100"/>
              <w:left w:type="dxa" w:w="120"/>
              <w:bottom w:type="dxa" w:w="100"/>
              <w:right w:type="dxa" w:w="120"/>
            </w:tcMar>
          </w:tcPr>
          <w:p>
            <w:pPr>
              <w:spacing w:after="100" w:before="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Manager</w:t>
            </w:r>
          </w:p>
        </w:tc>
        <w:tc>
          <w:tcPr>
            <w:shd w:fill="F8FAFC" w:val="clea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Operations Head, Branch Manager</w:t>
            </w:r>
          </w:p>
        </w:tc>
        <w:tc>
          <w:tcPr>
            <w:shd w:fill="F8FAFC" w:val="clea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Monitors cross-department candidate funnels, team attendance, interview conversion rates, and client placement targets.</w:t>
            </w:r>
          </w:p>
        </w:tc>
      </w:tr>
      <w:tr>
        <w:tc>
          <w:tcPr>
            <w:tcMar>
              <w:top w:type="dxa" w:w="100"/>
              <w:left w:type="dxa" w:w="120"/>
              <w:bottom w:type="dxa" w:w="100"/>
              <w:right w:type="dxa" w:w="120"/>
            </w:tcMar>
          </w:tcPr>
          <w:p>
            <w:pPr>
              <w:spacing w:after="100" w:before="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Team Lead</w:t>
            </w:r>
          </w:p>
        </w:tc>
        <w:tc>
          <w:tcP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Recruitment Team Lead (TL)</w:t>
            </w:r>
          </w:p>
        </w:tc>
        <w:tc>
          <w:tcP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Oversees assigned recruiters, sets daily calling and submission quotas, approves candidate profiles, and unblocks pipeline bottlenecks.</w:t>
            </w:r>
          </w:p>
        </w:tc>
      </w:tr>
      <w:tr>
        <w:tc>
          <w:tcPr>
            <w:shd w:fill="F8FAFC" w:val="clear"/>
            <w:tcMar>
              <w:top w:type="dxa" w:w="100"/>
              <w:left w:type="dxa" w:w="120"/>
              <w:bottom w:type="dxa" w:w="100"/>
              <w:right w:type="dxa" w:w="120"/>
            </w:tcMar>
          </w:tcPr>
          <w:p>
            <w:pPr>
              <w:spacing w:after="100" w:before="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Recruiter</w:t>
            </w:r>
          </w:p>
        </w:tc>
        <w:tc>
          <w:tcPr>
            <w:shd w:fill="F8FAFC" w:val="clea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Talent Acquisition Executive</w:t>
            </w:r>
          </w:p>
        </w:tc>
        <w:tc>
          <w:tcPr>
            <w:shd w:fill="F8FAFC" w:val="clea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Scans resumes, locks candidate ownership for 30 days, manages pipeline from Screening to Joined, and requests automated offer letters.</w:t>
            </w:r>
          </w:p>
        </w:tc>
      </w:tr>
      <w:tr>
        <w:tc>
          <w:tcPr>
            <w:tcMar>
              <w:top w:type="dxa" w:w="100"/>
              <w:left w:type="dxa" w:w="120"/>
              <w:bottom w:type="dxa" w:w="100"/>
              <w:right w:type="dxa" w:w="120"/>
            </w:tcMar>
          </w:tcPr>
          <w:p>
            <w:pPr>
              <w:spacing w:after="100" w:before="60"/>
            </w:pPr>
            <w:r>
              <w:rPr>
                <w:rFonts w:ascii="Calibri" w:cs="Calibri" w:eastAsia="Calibri" w:hAnsi="Calibri"/>
                <w:b/>
                <w:bCs/>
                <w:color w:val="1E293B"/>
                <w:sz w:val="22"/>
                <w:szCs w:val="22"/>
              </w:rPr>
              <w:t xml:space="preserve">⚡ </w:t>
            </w:r>
            <w:r>
              <w:rPr>
                <w:rFonts w:ascii="Calibri" w:cs="Calibri" w:eastAsia="Calibri" w:hAnsi="Calibri"/>
                <w:color w:val="1E293B"/>
                <w:sz w:val="22"/>
                <w:szCs w:val="22"/>
              </w:rPr>
              <w:t xml:space="preserve">Sourcer</w:t>
            </w:r>
          </w:p>
        </w:tc>
        <w:tc>
          <w:tcP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Data Entry &amp; Sourcing Specialist (e.g. Suhail &amp; Wasiq)</w:t>
            </w:r>
          </w:p>
        </w:tc>
        <w:tc>
          <w:tcPr>
            <w:tcMar>
              <w:top w:type="dxa" w:w="100"/>
              <w:left w:type="dxa" w:w="120"/>
              <w:bottom w:type="dxa" w:w="100"/>
              <w:right w:type="dxa" w:w="120"/>
            </w:tcMar>
          </w:tcPr>
          <w:p>
            <w:pPr>
              <w:spacing w:after="100" w:before="60"/>
            </w:pPr>
            <w:r>
              <w:rPr>
                <w:rFonts w:ascii="Calibri" w:cs="Calibri" w:eastAsia="Calibri" w:hAnsi="Calibri"/>
                <w:color w:val="1E293B"/>
                <w:sz w:val="22"/>
                <w:szCs w:val="22"/>
              </w:rPr>
              <w:t xml:space="preserve">Uploads high-volume Bulk ZIP archives directly into the shared General Pool. Does not lock candidates, making them instantly available for all recruiters.</w:t>
            </w:r>
          </w:p>
        </w:tc>
      </w:tr>
    </w:tbl>
    <w:p>
      <w:pPr>
        <w:spacing w:after="100" w:before="200"/>
      </w:pPr>
    </w:p>
    <w:p>
      <w:pPr>
        <w:pStyle w:val="Heading1"/>
        <w:spacing w:after="160" w:before="400"/>
      </w:pPr>
      <w:r>
        <w:rPr>
          <w:rFonts w:ascii="Calibri" w:cs="Calibri" w:eastAsia="Calibri" w:hAnsi="Calibri"/>
          <w:b/>
          <w:bCs/>
          <w:color w:val="1E3A8A"/>
          <w:sz w:val="32"/>
          <w:szCs w:val="32"/>
        </w:rPr>
        <w:t xml:space="preserve">3. BIOMETRIC FACE ATTENDANCE SYSTEM</w:t>
      </w:r>
    </w:p>
    <w:p>
      <w:pPr>
        <w:spacing w:after="100" w:before="60"/>
      </w:pPr>
      <w:r>
        <w:rPr>
          <w:rFonts w:ascii="Calibri" w:cs="Calibri" w:eastAsia="Calibri" w:hAnsi="Calibri"/>
          <w:color w:val="1E293B"/>
          <w:sz w:val="22"/>
          <w:szCs w:val="22"/>
        </w:rPr>
        <w:t xml:space="preserve">Traditional biometric fingerprint scanners cost ₹15,000–₹30,000, frequently malfunction, and require manual data export to calculate payroll. The ATS portal eliminates this hardware entirely by embedding real-time neural network face verification directly into the browser.</w:t>
      </w:r>
    </w:p>
    <w:p>
      <w:pPr>
        <w:pStyle w:val="Heading2"/>
        <w:spacing w:after="120" w:before="280"/>
      </w:pPr>
      <w:r>
        <w:rPr>
          <w:rFonts w:ascii="Calibri" w:cs="Calibri" w:eastAsia="Calibri" w:hAnsi="Calibri"/>
          <w:b/>
          <w:bCs/>
          <w:color w:val="2563EB"/>
          <w:sz w:val="26"/>
          <w:szCs w:val="26"/>
        </w:rPr>
        <w:t xml:space="preserve">How Staff Attendance Operates:</w:t>
      </w:r>
    </w:p>
    <w:p>
      <w:pPr>
        <w:pStyle w:val="ListParagraph"/>
        <w:numPr>
          <w:ilvl w:val="0"/>
          <w:numId w:val="1"/>
        </w:numPr>
        <w:spacing w:after="60" w:before="40"/>
      </w:pPr>
      <w:r>
        <w:rPr>
          <w:rFonts w:ascii="Calibri" w:cs="Calibri" w:eastAsia="Calibri" w:hAnsi="Calibri"/>
          <w:b/>
          <w:bCs/>
          <w:color w:val="1E293B"/>
          <w:sz w:val="22"/>
          <w:szCs w:val="22"/>
        </w:rPr>
        <w:t xml:space="preserve">Step 1: </w:t>
      </w:r>
      <w:r>
        <w:rPr>
          <w:rFonts w:ascii="Calibri" w:cs="Calibri" w:eastAsia="Calibri" w:hAnsi="Calibri"/>
          <w:color w:val="1E293B"/>
          <w:sz w:val="22"/>
          <w:szCs w:val="22"/>
        </w:rPr>
        <w:t xml:space="preserve">The recruiter navigates to the login screen on their laptop or office desktop.</w:t>
      </w:r>
    </w:p>
    <w:p>
      <w:pPr>
        <w:pStyle w:val="ListParagraph"/>
        <w:numPr>
          <w:ilvl w:val="0"/>
          <w:numId w:val="1"/>
        </w:numPr>
        <w:spacing w:after="60" w:before="40"/>
      </w:pPr>
      <w:r>
        <w:rPr>
          <w:rFonts w:ascii="Calibri" w:cs="Calibri" w:eastAsia="Calibri" w:hAnsi="Calibri"/>
          <w:b/>
          <w:bCs/>
          <w:color w:val="1E293B"/>
          <w:sz w:val="22"/>
          <w:szCs w:val="22"/>
        </w:rPr>
        <w:t xml:space="preserve">Step 2: </w:t>
      </w:r>
      <w:r>
        <w:rPr>
          <w:rFonts w:ascii="Calibri" w:cs="Calibri" w:eastAsia="Calibri" w:hAnsi="Calibri"/>
          <w:color w:val="1E293B"/>
          <w:sz w:val="22"/>
          <w:szCs w:val="22"/>
        </w:rPr>
        <w:t xml:space="preserve">They enter their authorized credentials (Email/Password).</w:t>
      </w:r>
    </w:p>
    <w:p>
      <w:pPr>
        <w:pStyle w:val="ListParagraph"/>
        <w:numPr>
          <w:ilvl w:val="0"/>
          <w:numId w:val="1"/>
        </w:numPr>
        <w:spacing w:after="60" w:before="40"/>
      </w:pPr>
      <w:r>
        <w:rPr>
          <w:rFonts w:ascii="Calibri" w:cs="Calibri" w:eastAsia="Calibri" w:hAnsi="Calibri"/>
          <w:b/>
          <w:bCs/>
          <w:color w:val="1E293B"/>
          <w:sz w:val="22"/>
          <w:szCs w:val="22"/>
        </w:rPr>
        <w:t xml:space="preserve">Step 3: </w:t>
      </w:r>
      <w:r>
        <w:rPr>
          <w:rFonts w:ascii="Calibri" w:cs="Calibri" w:eastAsia="Calibri" w:hAnsi="Calibri"/>
          <w:color w:val="1E293B"/>
          <w:sz w:val="22"/>
          <w:szCs w:val="22"/>
        </w:rPr>
        <w:t xml:space="preserve">The system activates the standard front-facing webcam for 2 seconds.</w:t>
      </w:r>
    </w:p>
    <w:p>
      <w:pPr>
        <w:pStyle w:val="ListParagraph"/>
        <w:numPr>
          <w:ilvl w:val="0"/>
          <w:numId w:val="1"/>
        </w:numPr>
        <w:spacing w:after="60" w:before="40"/>
      </w:pPr>
      <w:r>
        <w:rPr>
          <w:rFonts w:ascii="Calibri" w:cs="Calibri" w:eastAsia="Calibri" w:hAnsi="Calibri"/>
          <w:b/>
          <w:bCs/>
          <w:color w:val="1E293B"/>
          <w:sz w:val="22"/>
          <w:szCs w:val="22"/>
        </w:rPr>
        <w:t xml:space="preserve">Step 4: </w:t>
      </w:r>
      <w:r>
        <w:rPr>
          <w:rFonts w:ascii="Calibri" w:cs="Calibri" w:eastAsia="Calibri" w:hAnsi="Calibri"/>
          <w:color w:val="1E293B"/>
          <w:sz w:val="22"/>
          <w:szCs w:val="22"/>
        </w:rPr>
        <w:t xml:space="preserve">The neural face detector computes 128-dimensional facial landmarks, confirms physical liveness, and registers attendance with an untamperable timestamp.</w:t>
      </w:r>
    </w:p>
    <w:p>
      <w:pPr>
        <w:pStyle w:val="ListParagraph"/>
        <w:numPr>
          <w:ilvl w:val="0"/>
          <w:numId w:val="1"/>
        </w:numPr>
        <w:spacing w:after="60" w:before="40"/>
      </w:pPr>
      <w:r>
        <w:rPr>
          <w:rFonts w:ascii="Calibri" w:cs="Calibri" w:eastAsia="Calibri" w:hAnsi="Calibri"/>
          <w:b/>
          <w:bCs/>
          <w:color w:val="1E293B"/>
          <w:sz w:val="22"/>
          <w:szCs w:val="22"/>
        </w:rPr>
        <w:t xml:space="preserve">Step 5: </w:t>
      </w:r>
      <w:r>
        <w:rPr>
          <w:rFonts w:ascii="Calibri" w:cs="Calibri" w:eastAsia="Calibri" w:hAnsi="Calibri"/>
          <w:color w:val="1E293B"/>
          <w:sz w:val="22"/>
          <w:szCs w:val="22"/>
        </w:rPr>
        <w:t xml:space="preserve">The recruiter dashboard immediately unlocks for the day.</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60"/>
              <w:left w:type="dxa" w:w="240"/>
              <w:bottom w:type="dxa" w:w="160"/>
              <w:right w:type="dxa" w:w="200"/>
            </w:tcMar>
          </w:tcPr>
          <w:p>
            <w:pPr>
              <w:spacing w:after="60" w:before="0"/>
            </w:pPr>
            <w:r>
              <w:rPr>
                <w:rFonts w:ascii="Calibri" w:cs="Calibri" w:eastAsia="Calibri" w:hAnsi="Calibri"/>
                <w:b/>
                <w:bCs/>
                <w:color w:val="2563EB"/>
                <w:sz w:val="22"/>
                <w:szCs w:val="22"/>
              </w:rPr>
              <w:t xml:space="preserve">💡 FRAUD PROTECTION GUARANTEE</w:t>
            </w:r>
          </w:p>
          <w:p>
            <w:pPr>
              <w:spacing w:after="0" w:before="0"/>
            </w:pPr>
            <w:r>
              <w:rPr>
                <w:rFonts w:ascii="Calibri" w:cs="Calibri" w:eastAsia="Calibri" w:hAnsi="Calibri"/>
                <w:i/>
                <w:iCs/>
                <w:color w:val="1E293B"/>
                <w:sz w:val="21"/>
                <w:szCs w:val="21"/>
              </w:rPr>
              <w:t xml:space="preserve">Zero Buddy-Punching: Facial embeddings are verified client-side. Team members cannot punch in on behalf of colleagues, and proxy logins from remote locations are completely prevented.</w:t>
            </w:r>
          </w:p>
        </w:tc>
      </w:tr>
    </w:tbl>
    <w:p>
      <w:pPr>
        <w:spacing w:after="100" w:before="200"/>
      </w:pPr>
    </w:p>
    <w:p>
      <w:pPr>
        <w:pStyle w:val="Heading1"/>
        <w:spacing w:after="160" w:before="400"/>
      </w:pPr>
      <w:r>
        <w:rPr>
          <w:rFonts w:ascii="Calibri" w:cs="Calibri" w:eastAsia="Calibri" w:hAnsi="Calibri"/>
          <w:b/>
          <w:bCs/>
          <w:color w:val="1E3A8A"/>
          <w:sz w:val="32"/>
          <w:szCs w:val="32"/>
        </w:rPr>
        <w:t xml:space="preserve">4. MULTI-CHANNEL CANDIDATE INFLOW (HOW RESUMES ENTER)</w:t>
      </w:r>
    </w:p>
    <w:p>
      <w:pPr>
        <w:spacing w:after="100" w:before="60"/>
      </w:pPr>
      <w:r>
        <w:rPr>
          <w:rFonts w:ascii="Calibri" w:cs="Calibri" w:eastAsia="Calibri" w:hAnsi="Calibri"/>
          <w:color w:val="1E293B"/>
          <w:sz w:val="22"/>
          <w:szCs w:val="22"/>
        </w:rPr>
        <w:t xml:space="preserve">To ensure no candidate slips through the cracks, the platform offers three streamlined methods to ingest resumes into the database:</w:t>
      </w:r>
    </w:p>
    <w:p>
      <w:pPr>
        <w:pStyle w:val="Heading2"/>
        <w:spacing w:after="120" w:before="280"/>
      </w:pPr>
      <w:r>
        <w:rPr>
          <w:rFonts w:ascii="Calibri" w:cs="Calibri" w:eastAsia="Calibri" w:hAnsi="Calibri"/>
          <w:b/>
          <w:bCs/>
          <w:color w:val="2563EB"/>
          <w:sz w:val="26"/>
          <w:szCs w:val="26"/>
        </w:rPr>
        <w:t xml:space="preserve">Method A: Digital Front-Desk Walk-In Kiosk</w:t>
      </w:r>
    </w:p>
    <w:p>
      <w:pPr>
        <w:spacing w:after="100" w:before="60"/>
      </w:pPr>
      <w:r>
        <w:rPr>
          <w:rFonts w:ascii="Calibri" w:cs="Calibri" w:eastAsia="Calibri" w:hAnsi="Calibri"/>
          <w:color w:val="1E293B"/>
          <w:sz w:val="22"/>
          <w:szCs w:val="22"/>
        </w:rPr>
        <w:t xml:space="preserve">Place a tablet or dedicated desktop at your agency reception. When candidates arrive in person for interviews, they complete the digital intake form themselves.</w:t>
      </w:r>
    </w:p>
    <w:p>
      <w:pPr>
        <w:pStyle w:val="ListParagraph"/>
        <w:numPr>
          <w:ilvl w:val="0"/>
          <w:numId w:val="1"/>
        </w:numPr>
        <w:spacing w:after="60" w:before="40"/>
      </w:pPr>
      <w:r>
        <w:rPr>
          <w:rFonts w:ascii="Calibri" w:cs="Calibri" w:eastAsia="Calibri" w:hAnsi="Calibri"/>
          <w:b/>
          <w:bCs/>
          <w:color w:val="1E293B"/>
          <w:sz w:val="22"/>
          <w:szCs w:val="22"/>
        </w:rPr>
        <w:t xml:space="preserve">Self-Service Intake: </w:t>
      </w:r>
      <w:r>
        <w:rPr>
          <w:rFonts w:ascii="Calibri" w:cs="Calibri" w:eastAsia="Calibri" w:hAnsi="Calibri"/>
          <w:color w:val="1E293B"/>
          <w:sz w:val="22"/>
          <w:szCs w:val="22"/>
        </w:rPr>
        <w:t xml:space="preserve">Candidate fills out: Full Name, Phone, Email, Current City, Total Experience, Educational Degrees, Current CTC, and Expected CTC.</w:t>
      </w:r>
    </w:p>
    <w:p>
      <w:pPr>
        <w:pStyle w:val="ListParagraph"/>
        <w:numPr>
          <w:ilvl w:val="0"/>
          <w:numId w:val="1"/>
        </w:numPr>
        <w:spacing w:after="60" w:before="40"/>
      </w:pPr>
      <w:r>
        <w:rPr>
          <w:rFonts w:ascii="Calibri" w:cs="Calibri" w:eastAsia="Calibri" w:hAnsi="Calibri"/>
          <w:b/>
          <w:bCs/>
          <w:color w:val="1E293B"/>
          <w:sz w:val="22"/>
          <w:szCs w:val="22"/>
        </w:rPr>
        <w:t xml:space="preserve">Document Upload: </w:t>
      </w:r>
      <w:r>
        <w:rPr>
          <w:rFonts w:ascii="Calibri" w:cs="Calibri" w:eastAsia="Calibri" w:hAnsi="Calibri"/>
          <w:color w:val="1E293B"/>
          <w:sz w:val="22"/>
          <w:szCs w:val="22"/>
        </w:rPr>
        <w:t xml:space="preserve">Attaches their resume file (PDF or Word doc) and submits.</w:t>
      </w:r>
    </w:p>
    <w:p>
      <w:pPr>
        <w:pStyle w:val="ListParagraph"/>
        <w:numPr>
          <w:ilvl w:val="0"/>
          <w:numId w:val="1"/>
        </w:numPr>
        <w:spacing w:after="60" w:before="40"/>
      </w:pPr>
      <w:r>
        <w:rPr>
          <w:rFonts w:ascii="Calibri" w:cs="Calibri" w:eastAsia="Calibri" w:hAnsi="Calibri"/>
          <w:b/>
          <w:bCs/>
          <w:color w:val="1E293B"/>
          <w:sz w:val="22"/>
          <w:szCs w:val="22"/>
        </w:rPr>
        <w:t xml:space="preserve">Zero Paperwork: </w:t>
      </w:r>
      <w:r>
        <w:rPr>
          <w:rFonts w:ascii="Calibri" w:cs="Calibri" w:eastAsia="Calibri" w:hAnsi="Calibri"/>
          <w:color w:val="1E293B"/>
          <w:sz w:val="22"/>
          <w:szCs w:val="22"/>
        </w:rPr>
        <w:t xml:space="preserve">Candidate is instantly registered in the central ATS database without your front-desk receptionist having to manually re-type physical paper forms.</w:t>
      </w:r>
    </w:p>
    <w:p>
      <w:pPr>
        <w:pStyle w:val="Heading2"/>
        <w:spacing w:after="120" w:before="280"/>
      </w:pPr>
      <w:r>
        <w:rPr>
          <w:rFonts w:ascii="Calibri" w:cs="Calibri" w:eastAsia="Calibri" w:hAnsi="Calibri"/>
          <w:b/>
          <w:bCs/>
          <w:color w:val="2563EB"/>
          <w:sz w:val="26"/>
          <w:szCs w:val="26"/>
        </w:rPr>
        <w:t xml:space="preserve">Method B: Single Resume Deep Scan</w:t>
      </w:r>
    </w:p>
    <w:p>
      <w:pPr>
        <w:spacing w:after="100" w:before="60"/>
      </w:pPr>
      <w:r>
        <w:rPr>
          <w:rFonts w:ascii="Calibri" w:cs="Calibri" w:eastAsia="Calibri" w:hAnsi="Calibri"/>
          <w:color w:val="1E293B"/>
          <w:sz w:val="22"/>
          <w:szCs w:val="22"/>
        </w:rPr>
        <w:t xml:space="preserve">When a recruiter receives an individual resume via email or WhatsApp, they upload it directly into the Resume Scan module.</w:t>
      </w:r>
    </w:p>
    <w:p>
      <w:pPr>
        <w:pStyle w:val="ListParagraph"/>
        <w:numPr>
          <w:ilvl w:val="0"/>
          <w:numId w:val="1"/>
        </w:numPr>
        <w:spacing w:after="60" w:before="40"/>
      </w:pPr>
      <w:r>
        <w:rPr>
          <w:rFonts w:ascii="Calibri" w:cs="Calibri" w:eastAsia="Calibri" w:hAnsi="Calibri"/>
          <w:b/>
          <w:bCs/>
          <w:color w:val="1E293B"/>
          <w:sz w:val="22"/>
          <w:szCs w:val="22"/>
        </w:rPr>
        <w:t xml:space="preserve">Instant Drag &amp; Drop: </w:t>
      </w:r>
      <w:r>
        <w:rPr>
          <w:rFonts w:ascii="Calibri" w:cs="Calibri" w:eastAsia="Calibri" w:hAnsi="Calibri"/>
          <w:color w:val="1E293B"/>
          <w:sz w:val="22"/>
          <w:szCs w:val="22"/>
        </w:rPr>
        <w:t xml:space="preserve">Drag and drop any .pdf, .docx, .doc, or .txt file.</w:t>
      </w:r>
    </w:p>
    <w:p>
      <w:pPr>
        <w:pStyle w:val="ListParagraph"/>
        <w:numPr>
          <w:ilvl w:val="0"/>
          <w:numId w:val="1"/>
        </w:numPr>
        <w:spacing w:after="60" w:before="40"/>
      </w:pPr>
      <w:r>
        <w:rPr>
          <w:rFonts w:ascii="Calibri" w:cs="Calibri" w:eastAsia="Calibri" w:hAnsi="Calibri"/>
          <w:b/>
          <w:bCs/>
          <w:color w:val="1E293B"/>
          <w:sz w:val="22"/>
          <w:szCs w:val="22"/>
        </w:rPr>
        <w:t xml:space="preserve">High-Speed Parsing: </w:t>
      </w:r>
      <w:r>
        <w:rPr>
          <w:rFonts w:ascii="Calibri" w:cs="Calibri" w:eastAsia="Calibri" w:hAnsi="Calibri"/>
          <w:color w:val="1E293B"/>
          <w:sz w:val="22"/>
          <w:szCs w:val="22"/>
        </w:rPr>
        <w:t xml:space="preserve">In 2 seconds, the parser extracts contact info, experience history, skills, and education.</w:t>
      </w:r>
    </w:p>
    <w:p>
      <w:pPr>
        <w:pStyle w:val="ListParagraph"/>
        <w:numPr>
          <w:ilvl w:val="0"/>
          <w:numId w:val="1"/>
        </w:numPr>
        <w:spacing w:after="60" w:before="40"/>
      </w:pPr>
      <w:r>
        <w:rPr>
          <w:rFonts w:ascii="Calibri" w:cs="Calibri" w:eastAsia="Calibri" w:hAnsi="Calibri"/>
          <w:b/>
          <w:bCs/>
          <w:color w:val="1E293B"/>
          <w:sz w:val="22"/>
          <w:szCs w:val="22"/>
        </w:rPr>
        <w:t xml:space="preserve">Dual Match Intelligence: </w:t>
      </w:r>
      <w:r>
        <w:rPr>
          <w:rFonts w:ascii="Calibri" w:cs="Calibri" w:eastAsia="Calibri" w:hAnsi="Calibri"/>
          <w:color w:val="1E293B"/>
          <w:sz w:val="22"/>
          <w:szCs w:val="22"/>
        </w:rPr>
        <w:t xml:space="preserve">Real-time Dual Match Intelligence activates: the left panel scores the candidate against open client JRs, while the right panel cross-references 18,000+ database records for similarity.</w:t>
      </w:r>
    </w:p>
    <w:p>
      <w:pPr>
        <w:pStyle w:val="Heading2"/>
        <w:spacing w:after="120" w:before="280"/>
      </w:pPr>
      <w:r>
        <w:rPr>
          <w:rFonts w:ascii="Calibri" w:cs="Calibri" w:eastAsia="Calibri" w:hAnsi="Calibri"/>
          <w:b/>
          <w:bCs/>
          <w:color w:val="2563EB"/>
          <w:sz w:val="26"/>
          <w:szCs w:val="26"/>
        </w:rPr>
        <w:t xml:space="preserve">Method C: Bulk ZIP &amp; Multi-Resume Batch Scanner</w:t>
      </w:r>
    </w:p>
    <w:p>
      <w:pPr>
        <w:spacing w:after="100" w:before="60"/>
      </w:pPr>
      <w:r>
        <w:rPr>
          <w:rFonts w:ascii="Calibri" w:cs="Calibri" w:eastAsia="Calibri" w:hAnsi="Calibri"/>
          <w:color w:val="1E293B"/>
          <w:sz w:val="22"/>
          <w:szCs w:val="22"/>
        </w:rPr>
        <w:t xml:space="preserve">When agencies download bulk applicant packages (50 to 200+ resumes) from job portals like Naukri, Indeed, or LinkedIn, manual screening is impossible. The Bulk ZIP scanner processes hundreds of resumes at once.</w:t>
      </w:r>
    </w:p>
    <w:p>
      <w:pPr>
        <w:pStyle w:val="ListParagraph"/>
        <w:numPr>
          <w:ilvl w:val="0"/>
          <w:numId w:val="1"/>
        </w:numPr>
        <w:spacing w:after="60" w:before="40"/>
      </w:pPr>
      <w:r>
        <w:rPr>
          <w:rFonts w:ascii="Calibri" w:cs="Calibri" w:eastAsia="Calibri" w:hAnsi="Calibri"/>
          <w:b/>
          <w:bCs/>
          <w:color w:val="1E293B"/>
          <w:sz w:val="22"/>
          <w:szCs w:val="22"/>
        </w:rPr>
        <w:t xml:space="preserve">High Capacity: </w:t>
      </w:r>
      <w:r>
        <w:rPr>
          <w:rFonts w:ascii="Calibri" w:cs="Calibri" w:eastAsia="Calibri" w:hAnsi="Calibri"/>
          <w:color w:val="1E293B"/>
          <w:sz w:val="22"/>
          <w:szCs w:val="22"/>
        </w:rPr>
        <w:t xml:space="preserve">Upload a single .ZIP archive containing up to 250 resumes (or select 100+ files at once).</w:t>
      </w:r>
    </w:p>
    <w:p>
      <w:pPr>
        <w:pStyle w:val="ListParagraph"/>
        <w:numPr>
          <w:ilvl w:val="0"/>
          <w:numId w:val="1"/>
        </w:numPr>
        <w:spacing w:after="60" w:before="40"/>
      </w:pPr>
      <w:r>
        <w:rPr>
          <w:rFonts w:ascii="Calibri" w:cs="Calibri" w:eastAsia="Calibri" w:hAnsi="Calibri"/>
          <w:b/>
          <w:bCs/>
          <w:color w:val="1E293B"/>
          <w:sz w:val="22"/>
          <w:szCs w:val="22"/>
        </w:rPr>
        <w:t xml:space="preserve">Batch Pipeline: </w:t>
      </w:r>
      <w:r>
        <w:rPr>
          <w:rFonts w:ascii="Calibri" w:cs="Calibri" w:eastAsia="Calibri" w:hAnsi="Calibri"/>
          <w:color w:val="1E293B"/>
          <w:sz w:val="22"/>
          <w:szCs w:val="22"/>
        </w:rPr>
        <w:t xml:space="preserve">The engine extracts files in an isolated background workspace, strips hidden system folders, and parses every candidate automatically.</w:t>
      </w:r>
    </w:p>
    <w:p>
      <w:pPr>
        <w:pStyle w:val="ListParagraph"/>
        <w:numPr>
          <w:ilvl w:val="0"/>
          <w:numId w:val="1"/>
        </w:numPr>
        <w:spacing w:after="60" w:before="40"/>
      </w:pPr>
      <w:r>
        <w:rPr>
          <w:rFonts w:ascii="Calibri" w:cs="Calibri" w:eastAsia="Calibri" w:hAnsi="Calibri"/>
          <w:b/>
          <w:bCs/>
          <w:color w:val="1E293B"/>
          <w:sz w:val="22"/>
          <w:szCs w:val="22"/>
        </w:rPr>
        <w:t xml:space="preserve">Intelligent Summary: </w:t>
      </w:r>
      <w:r>
        <w:rPr>
          <w:rFonts w:ascii="Calibri" w:cs="Calibri" w:eastAsia="Calibri" w:hAnsi="Calibri"/>
          <w:color w:val="1E293B"/>
          <w:sz w:val="22"/>
          <w:szCs w:val="22"/>
        </w:rPr>
        <w:t xml:space="preserve">Provides an instant KPI summary: Total Parsed, Top JR Matches (≥75%), and Existing Profiles vs. Fresh Profiles.</w:t>
      </w:r>
    </w:p>
    <w:p>
      <w:pPr>
        <w:pStyle w:val="ListParagraph"/>
        <w:numPr>
          <w:ilvl w:val="0"/>
          <w:numId w:val="1"/>
        </w:numPr>
        <w:spacing w:after="60" w:before="40"/>
      </w:pPr>
      <w:r>
        <w:rPr>
          <w:rFonts w:ascii="Calibri" w:cs="Calibri" w:eastAsia="Calibri" w:hAnsi="Calibri"/>
          <w:b/>
          <w:bCs/>
          <w:color w:val="1E293B"/>
          <w:sz w:val="22"/>
          <w:szCs w:val="22"/>
        </w:rPr>
        <w:t xml:space="preserve">1-Click Ingestion: </w:t>
      </w:r>
      <w:r>
        <w:rPr>
          <w:rFonts w:ascii="Calibri" w:cs="Calibri" w:eastAsia="Calibri" w:hAnsi="Calibri"/>
          <w:color w:val="1E293B"/>
          <w:sz w:val="22"/>
          <w:szCs w:val="22"/>
        </w:rPr>
        <w:t xml:space="preserve">Recruiters select all qualified candidates and click "Save to ATS Database" in 1 click.</w:t>
      </w:r>
    </w:p>
    <w:p>
      <w:pPr>
        <w:spacing w:after="100" w:before="200"/>
      </w:pPr>
    </w:p>
    <w:p>
      <w:pPr>
        <w:pStyle w:val="Heading1"/>
        <w:spacing w:after="160" w:before="400"/>
      </w:pPr>
      <w:r>
        <w:rPr>
          <w:rFonts w:ascii="Calibri" w:cs="Calibri" w:eastAsia="Calibri" w:hAnsi="Calibri"/>
          <w:b/>
          <w:bCs/>
          <w:color w:val="1E3A8A"/>
          <w:sz w:val="32"/>
          <w:szCs w:val="32"/>
        </w:rPr>
        <w:t xml:space="preserve">5. AI MATCHING &amp; 106+ PRE-LOADED ENTERPRISE JRs</w:t>
      </w:r>
    </w:p>
    <w:p>
      <w:pPr>
        <w:spacing w:after="100" w:before="60"/>
      </w:pPr>
      <w:r>
        <w:rPr>
          <w:rFonts w:ascii="Calibri" w:cs="Calibri" w:eastAsia="Calibri" w:hAnsi="Calibri"/>
          <w:color w:val="1E293B"/>
          <w:sz w:val="22"/>
          <w:szCs w:val="22"/>
        </w:rPr>
        <w:t xml:space="preserve">The platform includes a built-in taxonomy classifier pre-loaded with 106 active enterprise Job Descriptions (ranging from Customer Support, International BPO, Inside Sales, Software Engineering, to BFSI and HR Operations).</w:t>
      </w:r>
    </w:p>
    <w:p>
      <w:pPr>
        <w:pStyle w:val="Heading2"/>
        <w:spacing w:after="120" w:before="280"/>
      </w:pPr>
      <w:r>
        <w:rPr>
          <w:rFonts w:ascii="Calibri" w:cs="Calibri" w:eastAsia="Calibri" w:hAnsi="Calibri"/>
          <w:b/>
          <w:bCs/>
          <w:color w:val="2563EB"/>
          <w:sz w:val="26"/>
          <w:szCs w:val="26"/>
        </w:rPr>
        <w:t xml:space="preserve">How Fitment Scoring Works:</w:t>
      </w:r>
    </w:p>
    <w:p>
      <w:pPr>
        <w:pStyle w:val="ListParagraph"/>
        <w:numPr>
          <w:ilvl w:val="0"/>
          <w:numId w:val="1"/>
        </w:numPr>
        <w:spacing w:after="60" w:before="40"/>
      </w:pPr>
      <w:r>
        <w:rPr>
          <w:rFonts w:ascii="Calibri" w:cs="Calibri" w:eastAsia="Calibri" w:hAnsi="Calibri"/>
          <w:b/>
          <w:bCs/>
          <w:color w:val="1E293B"/>
          <w:sz w:val="22"/>
          <w:szCs w:val="22"/>
        </w:rPr>
        <w:t xml:space="preserve">90% – 100% (Top Fit): </w:t>
      </w:r>
      <w:r>
        <w:rPr>
          <w:rFonts w:ascii="Calibri" w:cs="Calibri" w:eastAsia="Calibri" w:hAnsi="Calibri"/>
          <w:color w:val="1E293B"/>
          <w:sz w:val="22"/>
          <w:szCs w:val="22"/>
        </w:rPr>
        <w:t xml:space="preserve">Candidate exceeds all mandatory skill criteria, matches the required experience bracket, and fits domain keywords perfectly.</w:t>
      </w:r>
    </w:p>
    <w:p>
      <w:pPr>
        <w:pStyle w:val="ListParagraph"/>
        <w:numPr>
          <w:ilvl w:val="0"/>
          <w:numId w:val="1"/>
        </w:numPr>
        <w:spacing w:after="60" w:before="40"/>
      </w:pPr>
      <w:r>
        <w:rPr>
          <w:rFonts w:ascii="Calibri" w:cs="Calibri" w:eastAsia="Calibri" w:hAnsi="Calibri"/>
          <w:b/>
          <w:bCs/>
          <w:color w:val="1E293B"/>
          <w:sz w:val="22"/>
          <w:szCs w:val="22"/>
        </w:rPr>
        <w:t xml:space="preserve">70% – 89% (Good Fit): </w:t>
      </w:r>
      <w:r>
        <w:rPr>
          <w:rFonts w:ascii="Calibri" w:cs="Calibri" w:eastAsia="Calibri" w:hAnsi="Calibri"/>
          <w:color w:val="1E293B"/>
          <w:sz w:val="22"/>
          <w:szCs w:val="22"/>
        </w:rPr>
        <w:t xml:space="preserve">Candidate has strong transferable skills with minor gaps that can be trained.</w:t>
      </w:r>
    </w:p>
    <w:p>
      <w:pPr>
        <w:pStyle w:val="ListParagraph"/>
        <w:numPr>
          <w:ilvl w:val="0"/>
          <w:numId w:val="1"/>
        </w:numPr>
        <w:spacing w:after="60" w:before="40"/>
      </w:pPr>
      <w:r>
        <w:rPr>
          <w:rFonts w:ascii="Calibri" w:cs="Calibri" w:eastAsia="Calibri" w:hAnsi="Calibri"/>
          <w:b/>
          <w:bCs/>
          <w:color w:val="1E293B"/>
          <w:sz w:val="22"/>
          <w:szCs w:val="22"/>
        </w:rPr>
        <w:t xml:space="preserve">Below 50% (Low Match): </w:t>
      </w:r>
      <w:r>
        <w:rPr>
          <w:rFonts w:ascii="Calibri" w:cs="Calibri" w:eastAsia="Calibri" w:hAnsi="Calibri"/>
          <w:color w:val="1E293B"/>
          <w:sz w:val="22"/>
          <w:szCs w:val="22"/>
        </w:rPr>
        <w:t xml:space="preserve">Candidate lacks primary qualifications; flagged so recruiters do not waste time pitching unsuitable openings.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60"/>
              <w:left w:type="dxa" w:w="240"/>
              <w:bottom w:type="dxa" w:w="160"/>
              <w:right w:type="dxa" w:w="200"/>
            </w:tcMar>
          </w:tcPr>
          <w:p>
            <w:pPr>
              <w:spacing w:after="60" w:before="0"/>
            </w:pPr>
            <w:r>
              <w:rPr>
                <w:rFonts w:ascii="Calibri" w:cs="Calibri" w:eastAsia="Calibri" w:hAnsi="Calibri"/>
                <w:b/>
                <w:bCs/>
                <w:color w:val="2563EB"/>
                <w:sz w:val="22"/>
                <w:szCs w:val="22"/>
              </w:rPr>
              <w:t xml:space="preserve">💡 RECRUITER EFFICIENCY FEATURE</w:t>
            </w:r>
          </w:p>
          <w:p>
            <w:pPr>
              <w:spacing w:after="0" w:before="0"/>
            </w:pPr>
            <w:r>
              <w:rPr>
                <w:rFonts w:ascii="Calibri" w:cs="Calibri" w:eastAsia="Calibri" w:hAnsi="Calibri"/>
                <w:i/>
                <w:iCs/>
                <w:color w:val="1E293B"/>
                <w:sz w:val="21"/>
                <w:szCs w:val="21"/>
              </w:rPr>
              <w:t xml:space="preserve">1-Click Job Tagging: Recruiters click "Tag to JR" to link the candidate profile directly to client vacancies (e.g. JR-104: Infosys Tech Support) with complete hiring manager notes.</w:t>
            </w:r>
          </w:p>
        </w:tc>
      </w:tr>
    </w:tbl>
    <w:p>
      <w:pPr>
        <w:spacing w:after="100" w:before="200"/>
      </w:pPr>
    </w:p>
    <w:p>
      <w:pPr>
        <w:pStyle w:val="Heading1"/>
        <w:spacing w:after="160" w:before="400"/>
      </w:pPr>
      <w:r>
        <w:rPr>
          <w:rFonts w:ascii="Calibri" w:cs="Calibri" w:eastAsia="Calibri" w:hAnsi="Calibri"/>
          <w:b/>
          <w:bCs/>
          <w:color w:val="1E3A8A"/>
          <w:sz w:val="32"/>
          <w:szCs w:val="32"/>
        </w:rPr>
        <w:t xml:space="preserve">6. CANDIDATE OWNERSHIP &amp; 30-DAY LOCK RULES</w:t>
      </w:r>
    </w:p>
    <w:p>
      <w:pPr>
        <w:spacing w:after="100" w:before="60"/>
      </w:pPr>
      <w:r>
        <w:rPr>
          <w:rFonts w:ascii="Calibri" w:cs="Calibri" w:eastAsia="Calibri" w:hAnsi="Calibri"/>
          <w:color w:val="1E293B"/>
          <w:sz w:val="22"/>
          <w:szCs w:val="22"/>
        </w:rPr>
        <w:t xml:space="preserve">Internal disputes between recruiters over candidate ownership destroy agency culture and waste client goodwill. The ATS portal completely eliminates this through automated locking algorithms.</w:t>
      </w:r>
    </w:p>
    <w:p>
      <w:pPr>
        <w:pStyle w:val="Heading2"/>
        <w:spacing w:after="120" w:before="280"/>
      </w:pPr>
      <w:r>
        <w:rPr>
          <w:rFonts w:ascii="Calibri" w:cs="Calibri" w:eastAsia="Calibri" w:hAnsi="Calibri"/>
          <w:b/>
          <w:bCs/>
          <w:color w:val="2563EB"/>
          <w:sz w:val="26"/>
          <w:szCs w:val="26"/>
        </w:rPr>
        <w:t xml:space="preserve">Core Rules of Candidate Ownership:</w:t>
      </w:r>
    </w:p>
    <w:p>
      <w:pPr>
        <w:pStyle w:val="ListParagraph"/>
        <w:numPr>
          <w:ilvl w:val="0"/>
          <w:numId w:val="1"/>
        </w:numPr>
        <w:spacing w:after="60" w:before="40"/>
      </w:pPr>
      <w:r>
        <w:rPr>
          <w:rFonts w:ascii="Calibri" w:cs="Calibri" w:eastAsia="Calibri" w:hAnsi="Calibri"/>
          <w:b/>
          <w:bCs/>
          <w:color w:val="1E293B"/>
          <w:sz w:val="22"/>
          <w:szCs w:val="22"/>
        </w:rPr>
        <w:t xml:space="preserve">Rule 1: Exclusive 30-Day Lock: </w:t>
      </w:r>
      <w:r>
        <w:rPr>
          <w:rFonts w:ascii="Calibri" w:cs="Calibri" w:eastAsia="Calibri" w:hAnsi="Calibri"/>
          <w:color w:val="1E293B"/>
          <w:sz w:val="22"/>
          <w:szCs w:val="22"/>
        </w:rPr>
        <w:t xml:space="preserve">When a recruiter uploads or claims a candidate, the system assigns exclusive ownership to that recruiter with an active 30-day countdown lock.</w:t>
      </w:r>
    </w:p>
    <w:p>
      <w:pPr>
        <w:pStyle w:val="ListParagraph"/>
        <w:numPr>
          <w:ilvl w:val="0"/>
          <w:numId w:val="1"/>
        </w:numPr>
        <w:spacing w:after="60" w:before="40"/>
      </w:pPr>
      <w:r>
        <w:rPr>
          <w:rFonts w:ascii="Calibri" w:cs="Calibri" w:eastAsia="Calibri" w:hAnsi="Calibri"/>
          <w:b/>
          <w:bCs/>
          <w:color w:val="1E293B"/>
          <w:sz w:val="22"/>
          <w:szCs w:val="22"/>
        </w:rPr>
        <w:t xml:space="preserve">Rule 2: Anti-Poaching Protection: </w:t>
      </w:r>
      <w:r>
        <w:rPr>
          <w:rFonts w:ascii="Calibri" w:cs="Calibri" w:eastAsia="Calibri" w:hAnsi="Calibri"/>
          <w:color w:val="1E293B"/>
          <w:sz w:val="22"/>
          <w:szCs w:val="22"/>
        </w:rPr>
        <w:t xml:space="preserve">If another recruiter attempts to save or claim the same phone number or email, the system prevents duplicate claiming and informs them of the existing owner.</w:t>
      </w:r>
    </w:p>
    <w:p>
      <w:pPr>
        <w:pStyle w:val="ListParagraph"/>
        <w:numPr>
          <w:ilvl w:val="0"/>
          <w:numId w:val="1"/>
        </w:numPr>
        <w:spacing w:after="60" w:before="40"/>
      </w:pPr>
      <w:r>
        <w:rPr>
          <w:rFonts w:ascii="Calibri" w:cs="Calibri" w:eastAsia="Calibri" w:hAnsi="Calibri"/>
          <w:b/>
          <w:bCs/>
          <w:color w:val="1E293B"/>
          <w:sz w:val="22"/>
          <w:szCs w:val="22"/>
        </w:rPr>
        <w:t xml:space="preserve">Rule 3: Automatic Recycling: </w:t>
      </w:r>
      <w:r>
        <w:rPr>
          <w:rFonts w:ascii="Calibri" w:cs="Calibri" w:eastAsia="Calibri" w:hAnsi="Calibri"/>
          <w:color w:val="1E293B"/>
          <w:sz w:val="22"/>
          <w:szCs w:val="22"/>
        </w:rPr>
        <w:t xml:space="preserve">If the assigned recruiter does not move the candidate to an active interview or placement stage within 30 days, the lock automatically expires and the candidate returns to the General Pool.</w:t>
      </w:r>
    </w:p>
    <w:p>
      <w:pPr>
        <w:pStyle w:val="ListParagraph"/>
        <w:numPr>
          <w:ilvl w:val="0"/>
          <w:numId w:val="1"/>
        </w:numPr>
        <w:spacing w:after="60" w:before="40"/>
      </w:pPr>
      <w:r>
        <w:rPr>
          <w:rFonts w:ascii="Calibri" w:cs="Calibri" w:eastAsia="Calibri" w:hAnsi="Calibri"/>
          <w:b/>
          <w:bCs/>
          <w:color w:val="1E293B"/>
          <w:sz w:val="22"/>
          <w:szCs w:val="22"/>
        </w:rPr>
        <w:t xml:space="preserve">Rule 4: Sourcing Pool Integration: </w:t>
      </w:r>
      <w:r>
        <w:rPr>
          <w:rFonts w:ascii="Calibri" w:cs="Calibri" w:eastAsia="Calibri" w:hAnsi="Calibri"/>
          <w:color w:val="1E293B"/>
          <w:sz w:val="22"/>
          <w:szCs w:val="22"/>
        </w:rPr>
        <w:t xml:space="preserve">Dedicated sourcers (e.g., Suhail &amp; Wasiq) upload all resumes into the shared General Pool (General Data) with NO recruiter lock, allowing all 30+ agency recruiters to view, filter, and claim them instantly.</w:t>
      </w:r>
    </w:p>
    <w:p>
      <w:pPr>
        <w:spacing w:after="100" w:before="200"/>
      </w:pPr>
    </w:p>
    <w:p>
      <w:pPr>
        <w:pStyle w:val="Heading1"/>
        <w:spacing w:after="160" w:before="400"/>
      </w:pPr>
      <w:r>
        <w:rPr>
          <w:rFonts w:ascii="Calibri" w:cs="Calibri" w:eastAsia="Calibri" w:hAnsi="Calibri"/>
          <w:b/>
          <w:bCs/>
          <w:color w:val="1E3A8A"/>
          <w:sz w:val="32"/>
          <w:szCs w:val="32"/>
        </w:rPr>
        <w:t xml:space="preserve">7. STANDARDIZED 7-STAGE RECRUITMENT PIPELINE</w:t>
      </w:r>
    </w:p>
    <w:p>
      <w:pPr>
        <w:spacing w:after="100" w:before="60"/>
      </w:pPr>
      <w:r>
        <w:rPr>
          <w:rFonts w:ascii="Calibri" w:cs="Calibri" w:eastAsia="Calibri" w:hAnsi="Calibri"/>
          <w:color w:val="1E293B"/>
          <w:sz w:val="22"/>
          <w:szCs w:val="22"/>
        </w:rPr>
        <w:t xml:space="preserve">Every candidate in the agency moves through a clear, transparent 7-stage hiring workflow visible to Team Leads and Management:</w:t>
      </w:r>
    </w:p>
    <w:p>
      <w:pPr>
        <w:pStyle w:val="ListParagraph"/>
        <w:numPr>
          <w:ilvl w:val="0"/>
          <w:numId w:val="1"/>
        </w:numPr>
        <w:spacing w:after="60" w:before="40"/>
      </w:pPr>
      <w:r>
        <w:rPr>
          <w:rFonts w:ascii="Calibri" w:cs="Calibri" w:eastAsia="Calibri" w:hAnsi="Calibri"/>
          <w:b/>
          <w:bCs/>
          <w:color w:val="1E293B"/>
          <w:sz w:val="22"/>
          <w:szCs w:val="22"/>
        </w:rPr>
        <w:t xml:space="preserve">Stage 1 — Sourced: </w:t>
      </w:r>
      <w:r>
        <w:rPr>
          <w:rFonts w:ascii="Calibri" w:cs="Calibri" w:eastAsia="Calibri" w:hAnsi="Calibri"/>
          <w:color w:val="1E293B"/>
          <w:sz w:val="22"/>
          <w:szCs w:val="22"/>
        </w:rPr>
        <w:t xml:space="preserve">Candidate profile enters via Walk-in, Single Scan, or Bulk ZIP archive.</w:t>
      </w:r>
    </w:p>
    <w:p>
      <w:pPr>
        <w:pStyle w:val="ListParagraph"/>
        <w:numPr>
          <w:ilvl w:val="0"/>
          <w:numId w:val="1"/>
        </w:numPr>
        <w:spacing w:after="60" w:before="40"/>
      </w:pPr>
      <w:r>
        <w:rPr>
          <w:rFonts w:ascii="Calibri" w:cs="Calibri" w:eastAsia="Calibri" w:hAnsi="Calibri"/>
          <w:b/>
          <w:bCs/>
          <w:color w:val="1E293B"/>
          <w:sz w:val="22"/>
          <w:szCs w:val="22"/>
        </w:rPr>
        <w:t xml:space="preserve">Stage 2 — Screening: </w:t>
      </w:r>
      <w:r>
        <w:rPr>
          <w:rFonts w:ascii="Calibri" w:cs="Calibri" w:eastAsia="Calibri" w:hAnsi="Calibri"/>
          <w:color w:val="1E293B"/>
          <w:sz w:val="22"/>
          <w:szCs w:val="22"/>
        </w:rPr>
        <w:t xml:space="preserve">Recruiter conducts initial phone screening: verifies notice period, expected CTC, and location readiness.</w:t>
      </w:r>
    </w:p>
    <w:p>
      <w:pPr>
        <w:pStyle w:val="ListParagraph"/>
        <w:numPr>
          <w:ilvl w:val="0"/>
          <w:numId w:val="1"/>
        </w:numPr>
        <w:spacing w:after="60" w:before="40"/>
      </w:pPr>
      <w:r>
        <w:rPr>
          <w:rFonts w:ascii="Calibri" w:cs="Calibri" w:eastAsia="Calibri" w:hAnsi="Calibri"/>
          <w:b/>
          <w:bCs/>
          <w:color w:val="1E293B"/>
          <w:sz w:val="22"/>
          <w:szCs w:val="22"/>
        </w:rPr>
        <w:t xml:space="preserve">Stage 3 — HR Round: </w:t>
      </w:r>
      <w:r>
        <w:rPr>
          <w:rFonts w:ascii="Calibri" w:cs="Calibri" w:eastAsia="Calibri" w:hAnsi="Calibri"/>
          <w:color w:val="1E293B"/>
          <w:sz w:val="22"/>
          <w:szCs w:val="22"/>
        </w:rPr>
        <w:t xml:space="preserve">Candidate clears internal agency interview and communication evaluation.</w:t>
      </w:r>
    </w:p>
    <w:p>
      <w:pPr>
        <w:pStyle w:val="ListParagraph"/>
        <w:numPr>
          <w:ilvl w:val="0"/>
          <w:numId w:val="1"/>
        </w:numPr>
        <w:spacing w:after="60" w:before="40"/>
      </w:pPr>
      <w:r>
        <w:rPr>
          <w:rFonts w:ascii="Calibri" w:cs="Calibri" w:eastAsia="Calibri" w:hAnsi="Calibri"/>
          <w:b/>
          <w:bCs/>
          <w:color w:val="1E293B"/>
          <w:sz w:val="22"/>
          <w:szCs w:val="22"/>
        </w:rPr>
        <w:t xml:space="preserve">Stage 4 — Ops / Client Round: </w:t>
      </w:r>
      <w:r>
        <w:rPr>
          <w:rFonts w:ascii="Calibri" w:cs="Calibri" w:eastAsia="Calibri" w:hAnsi="Calibri"/>
          <w:color w:val="1E293B"/>
          <w:sz w:val="22"/>
          <w:szCs w:val="22"/>
        </w:rPr>
        <w:t xml:space="preserve">Candidate attends client technical interview, group discussion, or operations assessment.</w:t>
      </w:r>
    </w:p>
    <w:p>
      <w:pPr>
        <w:pStyle w:val="ListParagraph"/>
        <w:numPr>
          <w:ilvl w:val="0"/>
          <w:numId w:val="1"/>
        </w:numPr>
        <w:spacing w:after="60" w:before="40"/>
      </w:pPr>
      <w:r>
        <w:rPr>
          <w:rFonts w:ascii="Calibri" w:cs="Calibri" w:eastAsia="Calibri" w:hAnsi="Calibri"/>
          <w:b/>
          <w:bCs/>
          <w:color w:val="1E293B"/>
          <w:sz w:val="22"/>
          <w:szCs w:val="22"/>
        </w:rPr>
        <w:t xml:space="preserve">Stage 5 — Offer Selected: </w:t>
      </w:r>
      <w:r>
        <w:rPr>
          <w:rFonts w:ascii="Calibri" w:cs="Calibri" w:eastAsia="Calibri" w:hAnsi="Calibri"/>
          <w:color w:val="1E293B"/>
          <w:sz w:val="22"/>
          <w:szCs w:val="22"/>
        </w:rPr>
        <w:t xml:space="preserve">Client officially selects candidate and releases approved CTC budget.</w:t>
      </w:r>
    </w:p>
    <w:p>
      <w:pPr>
        <w:pStyle w:val="ListParagraph"/>
        <w:numPr>
          <w:ilvl w:val="0"/>
          <w:numId w:val="1"/>
        </w:numPr>
        <w:spacing w:after="60" w:before="40"/>
      </w:pPr>
      <w:r>
        <w:rPr>
          <w:rFonts w:ascii="Calibri" w:cs="Calibri" w:eastAsia="Calibri" w:hAnsi="Calibri"/>
          <w:b/>
          <w:bCs/>
          <w:color w:val="1E293B"/>
          <w:sz w:val="22"/>
          <w:szCs w:val="22"/>
        </w:rPr>
        <w:t xml:space="preserve">Stage 6 — Yet to Join: </w:t>
      </w:r>
      <w:r>
        <w:rPr>
          <w:rFonts w:ascii="Calibri" w:cs="Calibri" w:eastAsia="Calibri" w:hAnsi="Calibri"/>
          <w:color w:val="1E293B"/>
          <w:sz w:val="22"/>
          <w:szCs w:val="22"/>
        </w:rPr>
        <w:t xml:space="preserve">Candidate submits KYC documentation, resignation proof, and signs the offer acceptance form.</w:t>
      </w:r>
    </w:p>
    <w:p>
      <w:pPr>
        <w:pStyle w:val="ListParagraph"/>
        <w:numPr>
          <w:ilvl w:val="0"/>
          <w:numId w:val="1"/>
        </w:numPr>
        <w:spacing w:after="60" w:before="40"/>
      </w:pPr>
      <w:r>
        <w:rPr>
          <w:rFonts w:ascii="Calibri" w:cs="Calibri" w:eastAsia="Calibri" w:hAnsi="Calibri"/>
          <w:b/>
          <w:bCs/>
          <w:color w:val="1E293B"/>
          <w:sz w:val="22"/>
          <w:szCs w:val="22"/>
        </w:rPr>
        <w:t xml:space="preserve">Stage 7 — Successfully Joined: </w:t>
      </w:r>
      <w:r>
        <w:rPr>
          <w:rFonts w:ascii="Calibri" w:cs="Calibri" w:eastAsia="Calibri" w:hAnsi="Calibri"/>
          <w:color w:val="1E293B"/>
          <w:sz w:val="22"/>
          <w:szCs w:val="22"/>
        </w:rPr>
        <w:t xml:space="preserve">Candidate officially reports to client office on Day 1. This action immediately logs the placement revenue and calculates recruiter commission.</w:t>
      </w:r>
    </w:p>
    <w:p>
      <w:pPr>
        <w:spacing w:after="100" w:before="200"/>
      </w:pPr>
    </w:p>
    <w:p>
      <w:pPr>
        <w:pStyle w:val="Heading1"/>
        <w:spacing w:after="160" w:before="400"/>
      </w:pPr>
      <w:r>
        <w:rPr>
          <w:rFonts w:ascii="Calibri" w:cs="Calibri" w:eastAsia="Calibri" w:hAnsi="Calibri"/>
          <w:b/>
          <w:bCs/>
          <w:color w:val="1E3A8A"/>
          <w:sz w:val="32"/>
          <w:szCs w:val="32"/>
        </w:rPr>
        <w:t xml:space="preserve">8. AUTOMATED OFFER LETTER &amp; SALARY ANNEXURE GENERATOR</w:t>
      </w:r>
    </w:p>
    <w:p>
      <w:pPr>
        <w:spacing w:after="100" w:before="60"/>
      </w:pPr>
      <w:r>
        <w:rPr>
          <w:rFonts w:ascii="Calibri" w:cs="Calibri" w:eastAsia="Calibri" w:hAnsi="Calibri"/>
          <w:color w:val="1E293B"/>
          <w:sz w:val="22"/>
          <w:szCs w:val="22"/>
        </w:rPr>
        <w:t xml:space="preserve">Manually typing offer letters in Microsoft Word and calculating complex Indian tax structures takes 30–45 minutes per candidate and causes math errors. The ATS generates compliant, professional offer letters in 30 seconds.</w:t>
      </w:r>
    </w:p>
    <w:p>
      <w:pPr>
        <w:pStyle w:val="Heading2"/>
        <w:spacing w:after="120" w:before="280"/>
      </w:pPr>
      <w:r>
        <w:rPr>
          <w:rFonts w:ascii="Calibri" w:cs="Calibri" w:eastAsia="Calibri" w:hAnsi="Calibri"/>
          <w:b/>
          <w:bCs/>
          <w:color w:val="2563EB"/>
          <w:sz w:val="26"/>
          <w:szCs w:val="26"/>
        </w:rPr>
        <w:t xml:space="preserve">Automated Calculations Included:</w:t>
      </w:r>
    </w:p>
    <w:p>
      <w:pPr>
        <w:pStyle w:val="ListParagraph"/>
        <w:numPr>
          <w:ilvl w:val="0"/>
          <w:numId w:val="1"/>
        </w:numPr>
        <w:spacing w:after="60" w:before="40"/>
      </w:pPr>
      <w:r>
        <w:rPr>
          <w:rFonts w:ascii="Calibri" w:cs="Calibri" w:eastAsia="Calibri" w:hAnsi="Calibri"/>
          <w:b/>
          <w:bCs/>
          <w:color w:val="1E293B"/>
          <w:sz w:val="22"/>
          <w:szCs w:val="22"/>
        </w:rPr>
        <w:t xml:space="preserve">Basic Salary: </w:t>
      </w:r>
      <w:r>
        <w:rPr>
          <w:rFonts w:ascii="Calibri" w:cs="Calibri" w:eastAsia="Calibri" w:hAnsi="Calibri"/>
          <w:color w:val="1E293B"/>
          <w:sz w:val="22"/>
          <w:szCs w:val="22"/>
        </w:rPr>
        <w:t xml:space="preserve">Calculated automatically at 40%–50% of agreed CTC.</w:t>
      </w:r>
    </w:p>
    <w:p>
      <w:pPr>
        <w:pStyle w:val="ListParagraph"/>
        <w:numPr>
          <w:ilvl w:val="0"/>
          <w:numId w:val="1"/>
        </w:numPr>
        <w:spacing w:after="60" w:before="40"/>
      </w:pPr>
      <w:r>
        <w:rPr>
          <w:rFonts w:ascii="Calibri" w:cs="Calibri" w:eastAsia="Calibri" w:hAnsi="Calibri"/>
          <w:b/>
          <w:bCs/>
          <w:color w:val="1E293B"/>
          <w:sz w:val="22"/>
          <w:szCs w:val="22"/>
        </w:rPr>
        <w:t xml:space="preserve">House Rent Allowance (HRA): </w:t>
      </w:r>
      <w:r>
        <w:rPr>
          <w:rFonts w:ascii="Calibri" w:cs="Calibri" w:eastAsia="Calibri" w:hAnsi="Calibri"/>
          <w:color w:val="1E293B"/>
          <w:sz w:val="22"/>
          <w:szCs w:val="22"/>
        </w:rPr>
        <w:t xml:space="preserve">Calculated in compliance with Indian income tax standards.</w:t>
      </w:r>
    </w:p>
    <w:p>
      <w:pPr>
        <w:pStyle w:val="ListParagraph"/>
        <w:numPr>
          <w:ilvl w:val="0"/>
          <w:numId w:val="1"/>
        </w:numPr>
        <w:spacing w:after="60" w:before="40"/>
      </w:pPr>
      <w:r>
        <w:rPr>
          <w:rFonts w:ascii="Calibri" w:cs="Calibri" w:eastAsia="Calibri" w:hAnsi="Calibri"/>
          <w:b/>
          <w:bCs/>
          <w:color w:val="1E293B"/>
          <w:sz w:val="22"/>
          <w:szCs w:val="22"/>
        </w:rPr>
        <w:t xml:space="preserve">Special Allowance: </w:t>
      </w:r>
      <w:r>
        <w:rPr>
          <w:rFonts w:ascii="Calibri" w:cs="Calibri" w:eastAsia="Calibri" w:hAnsi="Calibri"/>
          <w:color w:val="1E293B"/>
          <w:sz w:val="22"/>
          <w:szCs w:val="22"/>
        </w:rPr>
        <w:t xml:space="preserve">Flexible balancing allowance for tax optimization.</w:t>
      </w:r>
    </w:p>
    <w:p>
      <w:pPr>
        <w:pStyle w:val="ListParagraph"/>
        <w:numPr>
          <w:ilvl w:val="0"/>
          <w:numId w:val="1"/>
        </w:numPr>
        <w:spacing w:after="60" w:before="40"/>
      </w:pPr>
      <w:r>
        <w:rPr>
          <w:rFonts w:ascii="Calibri" w:cs="Calibri" w:eastAsia="Calibri" w:hAnsi="Calibri"/>
          <w:b/>
          <w:bCs/>
          <w:color w:val="1E293B"/>
          <w:sz w:val="22"/>
          <w:szCs w:val="22"/>
        </w:rPr>
        <w:t xml:space="preserve">Provident Fund (PF): </w:t>
      </w:r>
      <w:r>
        <w:rPr>
          <w:rFonts w:ascii="Calibri" w:cs="Calibri" w:eastAsia="Calibri" w:hAnsi="Calibri"/>
          <w:color w:val="1E293B"/>
          <w:sz w:val="22"/>
          <w:szCs w:val="22"/>
        </w:rPr>
        <w:t xml:space="preserve">Statutory 12% employee and employer deductions computed accurately.</w:t>
      </w:r>
    </w:p>
    <w:p>
      <w:pPr>
        <w:pStyle w:val="ListParagraph"/>
        <w:numPr>
          <w:ilvl w:val="0"/>
          <w:numId w:val="1"/>
        </w:numPr>
        <w:spacing w:after="60" w:before="40"/>
      </w:pPr>
      <w:r>
        <w:rPr>
          <w:rFonts w:ascii="Calibri" w:cs="Calibri" w:eastAsia="Calibri" w:hAnsi="Calibri"/>
          <w:b/>
          <w:bCs/>
          <w:color w:val="1E293B"/>
          <w:sz w:val="22"/>
          <w:szCs w:val="22"/>
        </w:rPr>
        <w:t xml:space="preserve">Employee State Insurance (ESI): </w:t>
      </w:r>
      <w:r>
        <w:rPr>
          <w:rFonts w:ascii="Calibri" w:cs="Calibri" w:eastAsia="Calibri" w:hAnsi="Calibri"/>
          <w:color w:val="1E293B"/>
          <w:sz w:val="22"/>
          <w:szCs w:val="22"/>
        </w:rPr>
        <w:t xml:space="preserve">Automatic threshold application for statutory medical cover.</w:t>
      </w:r>
    </w:p>
    <w:p>
      <w:pPr>
        <w:pStyle w:val="ListParagraph"/>
        <w:numPr>
          <w:ilvl w:val="0"/>
          <w:numId w:val="1"/>
        </w:numPr>
        <w:spacing w:after="60" w:before="40"/>
      </w:pPr>
      <w:r>
        <w:rPr>
          <w:rFonts w:ascii="Calibri" w:cs="Calibri" w:eastAsia="Calibri" w:hAnsi="Calibri"/>
          <w:b/>
          <w:bCs/>
          <w:color w:val="1E293B"/>
          <w:sz w:val="22"/>
          <w:szCs w:val="22"/>
        </w:rPr>
        <w:t xml:space="preserve">Professional Tax (PT): </w:t>
      </w:r>
      <w:r>
        <w:rPr>
          <w:rFonts w:ascii="Calibri" w:cs="Calibri" w:eastAsia="Calibri" w:hAnsi="Calibri"/>
          <w:color w:val="1E293B"/>
          <w:sz w:val="22"/>
          <w:szCs w:val="22"/>
        </w:rPr>
        <w:t xml:space="preserve">State-specific professional tax deductions deducted automatically.</w:t>
      </w:r>
    </w:p>
    <w:p>
      <w:pPr>
        <w:pStyle w:val="ListParagraph"/>
        <w:numPr>
          <w:ilvl w:val="0"/>
          <w:numId w:val="1"/>
        </w:numPr>
        <w:spacing w:after="60" w:before="40"/>
      </w:pPr>
      <w:r>
        <w:rPr>
          <w:rFonts w:ascii="Calibri" w:cs="Calibri" w:eastAsia="Calibri" w:hAnsi="Calibri"/>
          <w:b/>
          <w:bCs/>
          <w:color w:val="1E293B"/>
          <w:sz w:val="22"/>
          <w:szCs w:val="22"/>
        </w:rPr>
        <w:t xml:space="preserve">Monthly Gross &amp; Net Take-Home: </w:t>
      </w:r>
      <w:r>
        <w:rPr>
          <w:rFonts w:ascii="Calibri" w:cs="Calibri" w:eastAsia="Calibri" w:hAnsi="Calibri"/>
          <w:color w:val="1E293B"/>
          <w:sz w:val="22"/>
          <w:szCs w:val="22"/>
        </w:rPr>
        <w:t xml:space="preserve">Calculated accurately so candidates have complete transparency on in-hand pay.</w:t>
      </w:r>
    </w:p>
    <w:p>
      <w:pPr>
        <w:pStyle w:val="ListParagraph"/>
        <w:numPr>
          <w:ilvl w:val="0"/>
          <w:numId w:val="1"/>
        </w:numPr>
        <w:spacing w:after="60" w:before="40"/>
      </w:pPr>
      <w:r>
        <w:rPr>
          <w:rFonts w:ascii="Calibri" w:cs="Calibri" w:eastAsia="Calibri" w:hAnsi="Calibri"/>
          <w:b/>
          <w:bCs/>
          <w:color w:val="1E293B"/>
          <w:sz w:val="22"/>
          <w:szCs w:val="22"/>
        </w:rPr>
        <w:t xml:space="preserve">Auto Amount-in-Words: </w:t>
      </w:r>
      <w:r>
        <w:rPr>
          <w:rFonts w:ascii="Calibri" w:cs="Calibri" w:eastAsia="Calibri" w:hAnsi="Calibri"/>
          <w:color w:val="1E293B"/>
          <w:sz w:val="22"/>
          <w:szCs w:val="22"/>
        </w:rPr>
        <w:t xml:space="preserve">Converts figures to formal legal words (e.g., "Rupees Three Lakhs Twenty-Four Thousand Only").</w:t>
      </w:r>
    </w:p>
    <w:p>
      <w:pPr>
        <w:spacing w:after="100" w:before="200"/>
      </w:pPr>
    </w:p>
    <w:p>
      <w:pPr>
        <w:pStyle w:val="Heading1"/>
        <w:spacing w:after="160" w:before="400"/>
      </w:pPr>
      <w:r>
        <w:rPr>
          <w:rFonts w:ascii="Calibri" w:cs="Calibri" w:eastAsia="Calibri" w:hAnsi="Calibri"/>
          <w:b/>
          <w:bCs/>
          <w:color w:val="1E3A8A"/>
          <w:sz w:val="32"/>
          <w:szCs w:val="32"/>
        </w:rPr>
        <w:t xml:space="preserve">9. RECRUITER COMMISSION &amp; INCENTIVE LEDGER</w:t>
      </w:r>
    </w:p>
    <w:p>
      <w:pPr>
        <w:spacing w:after="100" w:before="60"/>
      </w:pPr>
      <w:r>
        <w:rPr>
          <w:rFonts w:ascii="Calibri" w:cs="Calibri" w:eastAsia="Calibri" w:hAnsi="Calibri"/>
          <w:color w:val="1E293B"/>
          <w:sz w:val="22"/>
          <w:szCs w:val="22"/>
        </w:rPr>
        <w:t xml:space="preserve">Agency leadership spends days at the end of every month calculating recruiter commissions across hundreds of candidate Excel entries. The ATS automates this calculation in real-time.</w:t>
      </w:r>
    </w:p>
    <w:p>
      <w:pPr>
        <w:pStyle w:val="ListParagraph"/>
        <w:numPr>
          <w:ilvl w:val="0"/>
          <w:numId w:val="1"/>
        </w:numPr>
        <w:spacing w:after="60" w:before="40"/>
      </w:pPr>
      <w:r>
        <w:rPr>
          <w:rFonts w:ascii="Calibri" w:cs="Calibri" w:eastAsia="Calibri" w:hAnsi="Calibri"/>
          <w:b/>
          <w:bCs/>
          <w:color w:val="1E293B"/>
          <w:sz w:val="22"/>
          <w:szCs w:val="22"/>
        </w:rPr>
        <w:t xml:space="preserve">Automatic Trigger: </w:t>
      </w:r>
      <w:r>
        <w:rPr>
          <w:rFonts w:ascii="Calibri" w:cs="Calibri" w:eastAsia="Calibri" w:hAnsi="Calibri"/>
          <w:color w:val="1E293B"/>
          <w:sz w:val="22"/>
          <w:szCs w:val="22"/>
        </w:rPr>
        <w:t xml:space="preserve">The moment a candidate status changes to "Successfully Joined", the pre-set placement fee percentage is credited to the recruiter’s ledger.</w:t>
      </w:r>
    </w:p>
    <w:p>
      <w:pPr>
        <w:pStyle w:val="ListParagraph"/>
        <w:numPr>
          <w:ilvl w:val="0"/>
          <w:numId w:val="1"/>
        </w:numPr>
        <w:spacing w:after="60" w:before="40"/>
      </w:pPr>
      <w:r>
        <w:rPr>
          <w:rFonts w:ascii="Calibri" w:cs="Calibri" w:eastAsia="Calibri" w:hAnsi="Calibri"/>
          <w:b/>
          <w:bCs/>
          <w:color w:val="1E293B"/>
          <w:sz w:val="22"/>
          <w:szCs w:val="22"/>
        </w:rPr>
        <w:t xml:space="preserve">Live Recruiter KPIs: </w:t>
      </w:r>
      <w:r>
        <w:rPr>
          <w:rFonts w:ascii="Calibri" w:cs="Calibri" w:eastAsia="Calibri" w:hAnsi="Calibri"/>
          <w:color w:val="1E293B"/>
          <w:sz w:val="22"/>
          <w:szCs w:val="22"/>
        </w:rPr>
        <w:t xml:space="preserve">Shows daily calls made, interviews scheduled, offers pending, and placements closed.</w:t>
      </w:r>
    </w:p>
    <w:p>
      <w:pPr>
        <w:pStyle w:val="ListParagraph"/>
        <w:numPr>
          <w:ilvl w:val="0"/>
          <w:numId w:val="1"/>
        </w:numPr>
        <w:spacing w:after="60" w:before="40"/>
      </w:pPr>
      <w:r>
        <w:rPr>
          <w:rFonts w:ascii="Calibri" w:cs="Calibri" w:eastAsia="Calibri" w:hAnsi="Calibri"/>
          <w:b/>
          <w:bCs/>
          <w:color w:val="1E293B"/>
          <w:sz w:val="22"/>
          <w:szCs w:val="22"/>
        </w:rPr>
        <w:t xml:space="preserve">Agency Leaderboard: </w:t>
      </w:r>
      <w:r>
        <w:rPr>
          <w:rFonts w:ascii="Calibri" w:cs="Calibri" w:eastAsia="Calibri" w:hAnsi="Calibri"/>
          <w:color w:val="1E293B"/>
          <w:sz w:val="22"/>
          <w:szCs w:val="22"/>
        </w:rPr>
        <w:t xml:space="preserve">Shows top-performing consultants and monthly billing revenue by client.</w:t>
      </w:r>
    </w:p>
    <w:p>
      <w:pPr>
        <w:spacing w:after="100" w:before="200"/>
      </w:pPr>
    </w:p>
    <w:p>
      <w:pPr>
        <w:pStyle w:val="Heading1"/>
        <w:spacing w:after="160" w:before="400"/>
      </w:pPr>
      <w:r>
        <w:rPr>
          <w:rFonts w:ascii="Calibri" w:cs="Calibri" w:eastAsia="Calibri" w:hAnsi="Calibri"/>
          <w:b/>
          <w:bCs/>
          <w:color w:val="1E3A8A"/>
          <w:sz w:val="32"/>
          <w:szCs w:val="32"/>
        </w:rPr>
        <w:t xml:space="preserve">10. DATA SECURITY, PRIVACY &amp; CORPORATE GOVERNANCE</w:t>
      </w:r>
    </w:p>
    <w:p>
      <w:pPr>
        <w:spacing w:after="100" w:before="60"/>
      </w:pPr>
      <w:r>
        <w:rPr>
          <w:rFonts w:ascii="Calibri" w:cs="Calibri" w:eastAsia="Calibri" w:hAnsi="Calibri"/>
          <w:color w:val="1E293B"/>
          <w:sz w:val="22"/>
          <w:szCs w:val="22"/>
        </w:rPr>
        <w:t xml:space="preserve">Candidate data is the core intellectual property of any recruitment consultancy. The ATS enforces rigorous safeguards to protect your business assets:</w:t>
      </w:r>
    </w:p>
    <w:p>
      <w:pPr>
        <w:pStyle w:val="ListParagraph"/>
        <w:numPr>
          <w:ilvl w:val="0"/>
          <w:numId w:val="1"/>
        </w:numPr>
        <w:spacing w:after="60" w:before="40"/>
      </w:pPr>
      <w:r>
        <w:rPr>
          <w:rFonts w:ascii="Calibri" w:cs="Calibri" w:eastAsia="Calibri" w:hAnsi="Calibri"/>
          <w:b/>
          <w:bCs/>
          <w:color w:val="1E293B"/>
          <w:sz w:val="22"/>
          <w:szCs w:val="22"/>
        </w:rPr>
        <w:t xml:space="preserve">Anti-Data Theft: </w:t>
      </w:r>
      <w:r>
        <w:rPr>
          <w:rFonts w:ascii="Calibri" w:cs="Calibri" w:eastAsia="Calibri" w:hAnsi="Calibri"/>
          <w:color w:val="1E293B"/>
          <w:sz w:val="22"/>
          <w:szCs w:val="22"/>
        </w:rPr>
        <w:t xml:space="preserve">Recruiters cannot mass-export phone numbers and emails to personal USBs or external files without Admin authorization.</w:t>
      </w:r>
    </w:p>
    <w:p>
      <w:pPr>
        <w:pStyle w:val="ListParagraph"/>
        <w:numPr>
          <w:ilvl w:val="0"/>
          <w:numId w:val="1"/>
        </w:numPr>
        <w:spacing w:after="60" w:before="40"/>
      </w:pPr>
      <w:r>
        <w:rPr>
          <w:rFonts w:ascii="Calibri" w:cs="Calibri" w:eastAsia="Calibri" w:hAnsi="Calibri"/>
          <w:b/>
          <w:bCs/>
          <w:color w:val="1E293B"/>
          <w:sz w:val="22"/>
          <w:szCs w:val="22"/>
        </w:rPr>
        <w:t xml:space="preserve">Zero Data Leak on Resignation: </w:t>
      </w:r>
      <w:r>
        <w:rPr>
          <w:rFonts w:ascii="Calibri" w:cs="Calibri" w:eastAsia="Calibri" w:hAnsi="Calibri"/>
          <w:color w:val="1E293B"/>
          <w:sz w:val="22"/>
          <w:szCs w:val="22"/>
        </w:rPr>
        <w:t xml:space="preserve">When a recruiter resigns, their account is deactivated with 1 click. All their candidate histories, notes, and leads remain intact inside the company database.</w:t>
      </w:r>
    </w:p>
    <w:p>
      <w:pPr>
        <w:pStyle w:val="ListParagraph"/>
        <w:numPr>
          <w:ilvl w:val="0"/>
          <w:numId w:val="1"/>
        </w:numPr>
        <w:spacing w:after="60" w:before="40"/>
      </w:pPr>
      <w:r>
        <w:rPr>
          <w:rFonts w:ascii="Calibri" w:cs="Calibri" w:eastAsia="Calibri" w:hAnsi="Calibri"/>
          <w:b/>
          <w:bCs/>
          <w:color w:val="1E293B"/>
          <w:sz w:val="22"/>
          <w:szCs w:val="22"/>
        </w:rPr>
        <w:t xml:space="preserve">Comprehensive Audit Trail: </w:t>
      </w:r>
      <w:r>
        <w:rPr>
          <w:rFonts w:ascii="Calibri" w:cs="Calibri" w:eastAsia="Calibri" w:hAnsi="Calibri"/>
          <w:color w:val="1E293B"/>
          <w:sz w:val="22"/>
          <w:szCs w:val="22"/>
        </w:rPr>
        <w:t xml:space="preserve">Every status change, candidate update, and interview schedule is logged with an immutable user timestamp.</w:t>
      </w:r>
    </w:p>
    <w:p>
      <w:pPr>
        <w:pStyle w:val="ListParagraph"/>
        <w:numPr>
          <w:ilvl w:val="0"/>
          <w:numId w:val="1"/>
        </w:numPr>
        <w:spacing w:after="60" w:before="40"/>
      </w:pPr>
      <w:r>
        <w:rPr>
          <w:rFonts w:ascii="Calibri" w:cs="Calibri" w:eastAsia="Calibri" w:hAnsi="Calibri"/>
          <w:b/>
          <w:bCs/>
          <w:color w:val="1E293B"/>
          <w:sz w:val="22"/>
          <w:szCs w:val="22"/>
        </w:rPr>
        <w:t xml:space="preserve">Demo Sandbox Protection: </w:t>
      </w:r>
      <w:r>
        <w:rPr>
          <w:rFonts w:ascii="Calibri" w:cs="Calibri" w:eastAsia="Calibri" w:hAnsi="Calibri"/>
          <w:color w:val="1E293B"/>
          <w:sz w:val="22"/>
          <w:szCs w:val="22"/>
        </w:rPr>
        <w:t xml:space="preserve">A dedicated sandbox layer allows prospective clients or new trainees to explore the platform without altering real production agency records.</w:t>
      </w:r>
    </w:p>
    <w:p>
      <w:pPr>
        <w:spacing w:after="1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EFF6FF" w:val="clear"/>
            <w:tcMar>
              <w:top w:type="dxa" w:w="160"/>
              <w:left w:type="dxa" w:w="240"/>
              <w:bottom w:type="dxa" w:w="160"/>
              <w:right w:type="dxa" w:w="200"/>
            </w:tcMar>
          </w:tcPr>
          <w:p>
            <w:pPr>
              <w:spacing w:after="60" w:before="0"/>
            </w:pPr>
            <w:r>
              <w:rPr>
                <w:rFonts w:ascii="Calibri" w:cs="Calibri" w:eastAsia="Calibri" w:hAnsi="Calibri"/>
                <w:b/>
                <w:bCs/>
                <w:color w:val="2563EB"/>
                <w:sz w:val="22"/>
                <w:szCs w:val="22"/>
              </w:rPr>
              <w:t xml:space="preserve">💡 CONCLUSION &amp; SUMMARY FOR PROSPECTIVE CLIENTS</w:t>
            </w:r>
          </w:p>
          <w:p>
            <w:pPr>
              <w:spacing w:after="0" w:before="0"/>
            </w:pPr>
            <w:r>
              <w:rPr>
                <w:rFonts w:ascii="Calibri" w:cs="Calibri" w:eastAsia="Calibri" w:hAnsi="Calibri"/>
                <w:i/>
                <w:iCs/>
                <w:color w:val="1E293B"/>
                <w:sz w:val="21"/>
                <w:szCs w:val="21"/>
              </w:rPr>
              <w:t xml:space="preserve">This ATS platform equips your agency with enterprise-grade technology: high-speed bulk ingestion, zero duplicate calling disputes, instant compliant offer generation, and total candidate data ownership. Your team places more candidates in less time with zero spreadsheet chaos.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ATS Recruitment Platform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2026-09-18T04:47:59.350Z</dcterms:created>
  <dcterms:modified xsi:type="dcterms:W3CDTF">2026-09-18T04:47:59.358Z</dcterms:modified>
</cp:coreProperties>
</file>

<file path=docProps/custom.xml><?xml version="1.0" encoding="utf-8"?>
<Properties xmlns="http://schemas.openxmlformats.org/officeDocument/2006/custom-properties" xmlns:vt="http://schemas.openxmlformats.org/officeDocument/2006/docPropsVTypes"/>
</file>