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A365D"/>
          <w:sz w:val="36"/>
        </w:rPr>
        <w:t>SmartInfluence AI Model &amp; Metrics Overview</w:t>
      </w:r>
    </w:p>
    <w:p>
      <w:pPr>
        <w:spacing w:after="240"/>
        <w:jc w:val="center"/>
      </w:pPr>
      <w:r>
        <w:rPr>
          <w:i/>
          <w:color w:val="718096"/>
          <w:sz w:val="22"/>
        </w:rPr>
        <w:t>Predictive Framework &amp; Machine Learning Metrics Guide</w:t>
      </w:r>
    </w:p>
    <w:p>
      <w:pPr>
        <w:spacing w:after="160"/>
        <w:jc w:val="center"/>
      </w:pPr>
      <w:r>
        <w:rPr>
          <w:color w:val="E2E8F0"/>
        </w:rPr>
        <w:t>─────────────────────────────────────────────────────────────────</w:t>
      </w:r>
    </w:p>
    <w:p>
      <w:pPr>
        <w:spacing w:line="276" w:lineRule="auto" w:after="160"/>
      </w:pPr>
      <w:r>
        <w:rPr>
          <w:b/>
          <w:color w:val="1A365D"/>
        </w:rPr>
        <w:t xml:space="preserve">Project Goal: </w:t>
      </w:r>
      <w:r>
        <w:t xml:space="preserve">SmartInfluence uses machine learning to classify Instagram creators into commercial sales success tiers based on public metrics (follower count, engagement rates, activity momentum, and content descriptions). By identifying outliers before allocating budget, the platform helps marketing teams filter out underperforming profiles and double down on high-value creators. Target sales cohorts are classified into three distinct categories: </w:t>
      </w:r>
      <w:r>
        <w:rPr>
          <w:b/>
        </w:rPr>
        <w:t>High Performer</w:t>
      </w:r>
      <w:r>
        <w:t xml:space="preserve"> (Sales &gt; $10K), </w:t>
      </w:r>
      <w:r>
        <w:rPr>
          <w:b/>
        </w:rPr>
        <w:t>Mid Performer</w:t>
      </w:r>
      <w:r>
        <w:t xml:space="preserve"> ($1K – $10K), and </w:t>
      </w:r>
      <w:r>
        <w:rPr>
          <w:b/>
        </w:rPr>
        <w:t>Low Performer</w:t>
      </w:r>
      <w:r>
        <w:t xml:space="preserve"> (Sales &lt; $1K).</w:t>
      </w:r>
    </w:p>
    <w:p>
      <w:pPr>
        <w:spacing w:after="80"/>
      </w:pPr>
      <w:r>
        <w:rPr>
          <w:rFonts w:ascii="Georgia" w:hAnsi="Georgia"/>
          <w:b/>
          <w:color w:val="1A365D"/>
          <w:sz w:val="24"/>
        </w:rPr>
        <w:t>Model Comparison Summary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1A365D"/>
            <w:tcMar>
              <w:top w:w="120" w:type="dxa"/>
              <w:bottom w:w="120" w:type="dxa"/>
              <w:left w:w="150" w:type="dxa"/>
              <w:right w:w="150" w:type="dxa"/>
            </w:tcMar>
            <w:vAlign w:val="center"/>
          </w:tcPr>
          <w:p>
            <w:pPr>
              <w:jc w:val="center"/>
            </w:pPr>
            <w:r>
              <w:rPr>
                <w:b/>
                <w:color w:val="FFFFFF"/>
                <w:sz w:val="19"/>
              </w:rPr>
              <w:t>Model</w:t>
            </w:r>
          </w:p>
        </w:tc>
        <w:tc>
          <w:tcPr>
            <w:tcW w:type="dxa" w:w="1680"/>
            <w:shd w:val="clear" w:color="auto" w:fill="1A365D"/>
            <w:tcMar>
              <w:top w:w="120" w:type="dxa"/>
              <w:bottom w:w="120" w:type="dxa"/>
              <w:left w:w="150" w:type="dxa"/>
              <w:right w:w="150" w:type="dxa"/>
            </w:tcMar>
            <w:vAlign w:val="center"/>
          </w:tcPr>
          <w:p>
            <w:pPr>
              <w:jc w:val="center"/>
            </w:pPr>
            <w:r>
              <w:rPr>
                <w:b/>
                <w:color w:val="FFFFFF"/>
                <w:sz w:val="19"/>
              </w:rPr>
              <w:t>Train Acc.</w:t>
            </w:r>
          </w:p>
        </w:tc>
        <w:tc>
          <w:tcPr>
            <w:tcW w:type="dxa" w:w="1680"/>
            <w:shd w:val="clear" w:color="auto" w:fill="1A365D"/>
            <w:tcMar>
              <w:top w:w="120" w:type="dxa"/>
              <w:bottom w:w="120" w:type="dxa"/>
              <w:left w:w="150" w:type="dxa"/>
              <w:right w:w="150" w:type="dxa"/>
            </w:tcMar>
            <w:vAlign w:val="center"/>
          </w:tcPr>
          <w:p>
            <w:pPr>
              <w:jc w:val="center"/>
            </w:pPr>
            <w:r>
              <w:rPr>
                <w:b/>
                <w:color w:val="FFFFFF"/>
                <w:sz w:val="19"/>
              </w:rPr>
              <w:t>Test Acc.</w:t>
            </w:r>
          </w:p>
        </w:tc>
        <w:tc>
          <w:tcPr>
            <w:tcW w:type="dxa" w:w="1680"/>
            <w:shd w:val="clear" w:color="auto" w:fill="1A365D"/>
            <w:tcMar>
              <w:top w:w="120" w:type="dxa"/>
              <w:bottom w:w="120" w:type="dxa"/>
              <w:left w:w="150" w:type="dxa"/>
              <w:right w:w="150" w:type="dxa"/>
            </w:tcMar>
            <w:vAlign w:val="center"/>
          </w:tcPr>
          <w:p>
            <w:pPr>
              <w:jc w:val="center"/>
            </w:pPr>
            <w:r>
              <w:rPr>
                <w:b/>
                <w:color w:val="FFFFFF"/>
                <w:sz w:val="19"/>
              </w:rPr>
              <w:t>Balanced Acc.</w:t>
            </w:r>
          </w:p>
        </w:tc>
        <w:tc>
          <w:tcPr>
            <w:tcW w:type="dxa" w:w="1680"/>
            <w:shd w:val="clear" w:color="auto" w:fill="1A365D"/>
            <w:tcMar>
              <w:top w:w="120" w:type="dxa"/>
              <w:bottom w:w="120" w:type="dxa"/>
              <w:left w:w="150" w:type="dxa"/>
              <w:right w:w="150" w:type="dxa"/>
            </w:tcMar>
            <w:vAlign w:val="center"/>
          </w:tcPr>
          <w:p>
            <w:pPr>
              <w:jc w:val="center"/>
            </w:pPr>
            <w:r>
              <w:rPr>
                <w:b/>
                <w:color w:val="FFFFFF"/>
                <w:sz w:val="19"/>
              </w:rPr>
              <w:t>5-Fold CV Mean</w:t>
            </w:r>
          </w:p>
        </w:tc>
        <w:tc>
          <w:tcPr>
            <w:tcW w:type="dxa" w:w="1680"/>
            <w:shd w:val="clear" w:color="auto" w:fill="1A365D"/>
            <w:tcMar>
              <w:top w:w="120" w:type="dxa"/>
              <w:bottom w:w="120" w:type="dxa"/>
              <w:left w:w="150" w:type="dxa"/>
              <w:right w:w="150" w:type="dxa"/>
            </w:tcMar>
            <w:vAlign w:val="center"/>
          </w:tcPr>
          <w:p>
            <w:pPr>
              <w:jc w:val="center"/>
            </w:pPr>
            <w:r>
              <w:rPr>
                <w:b/>
                <w:color w:val="FFFFFF"/>
                <w:sz w:val="19"/>
              </w:rPr>
              <w:t>CV Std. Dev.</w:t>
            </w:r>
          </w:p>
        </w:tc>
      </w:tr>
      <w:tr>
        <w:tc>
          <w:tcPr>
            <w:tcW w:type="dxa" w:w="1680"/>
            <w:shd w:val="clear" w:color="auto" w:fill="FFFFFF"/>
            <w:tcMar>
              <w:top w:w="100" w:type="dxa"/>
              <w:bottom w:w="100" w:type="dxa"/>
              <w:left w:w="150" w:type="dxa"/>
              <w:right w:w="150" w:type="dxa"/>
            </w:tcMar>
            <w:vAlign w:val="center"/>
          </w:tcPr>
          <w:p>
            <w:pPr>
              <w:jc w:val="left"/>
            </w:pPr>
            <w:r>
              <w:rPr>
                <w:b/>
                <w:sz w:val="18"/>
              </w:rPr>
              <w:t>XGBoost (Baseline)</w:t>
            </w:r>
          </w:p>
        </w:tc>
        <w:tc>
          <w:tcPr>
            <w:tcW w:type="dxa" w:w="1680"/>
            <w:shd w:val="clear" w:color="auto" w:fill="FFFFFF"/>
            <w:tcMar>
              <w:top w:w="100" w:type="dxa"/>
              <w:bottom w:w="100" w:type="dxa"/>
              <w:left w:w="150" w:type="dxa"/>
              <w:right w:w="150" w:type="dxa"/>
            </w:tcMar>
            <w:vAlign w:val="center"/>
          </w:tcPr>
          <w:p>
            <w:pPr>
              <w:jc w:val="center"/>
            </w:pPr>
            <w:r>
              <w:rPr>
                <w:sz w:val="18"/>
              </w:rPr>
              <w:t>88.90%</w:t>
            </w:r>
          </w:p>
        </w:tc>
        <w:tc>
          <w:tcPr>
            <w:tcW w:type="dxa" w:w="1680"/>
            <w:shd w:val="clear" w:color="auto" w:fill="FFFFFF"/>
            <w:tcMar>
              <w:top w:w="100" w:type="dxa"/>
              <w:bottom w:w="100" w:type="dxa"/>
              <w:left w:w="150" w:type="dxa"/>
              <w:right w:w="150" w:type="dxa"/>
            </w:tcMar>
            <w:vAlign w:val="center"/>
          </w:tcPr>
          <w:p>
            <w:pPr>
              <w:jc w:val="center"/>
            </w:pPr>
            <w:r>
              <w:rPr>
                <w:sz w:val="18"/>
              </w:rPr>
              <w:t>74.20%</w:t>
            </w:r>
          </w:p>
        </w:tc>
        <w:tc>
          <w:tcPr>
            <w:tcW w:type="dxa" w:w="1680"/>
            <w:shd w:val="clear" w:color="auto" w:fill="FFFFFF"/>
            <w:tcMar>
              <w:top w:w="100" w:type="dxa"/>
              <w:bottom w:w="100" w:type="dxa"/>
              <w:left w:w="150" w:type="dxa"/>
              <w:right w:w="150" w:type="dxa"/>
            </w:tcMar>
            <w:vAlign w:val="center"/>
          </w:tcPr>
          <w:p>
            <w:pPr>
              <w:jc w:val="center"/>
            </w:pPr>
            <w:r>
              <w:rPr>
                <w:sz w:val="18"/>
              </w:rPr>
              <w:t>60.09%</w:t>
            </w:r>
          </w:p>
        </w:tc>
        <w:tc>
          <w:tcPr>
            <w:tcW w:type="dxa" w:w="1680"/>
            <w:shd w:val="clear" w:color="auto" w:fill="FFFFFF"/>
            <w:tcMar>
              <w:top w:w="100" w:type="dxa"/>
              <w:bottom w:w="100" w:type="dxa"/>
              <w:left w:w="150" w:type="dxa"/>
              <w:right w:w="150" w:type="dxa"/>
            </w:tcMar>
            <w:vAlign w:val="center"/>
          </w:tcPr>
          <w:p>
            <w:pPr>
              <w:jc w:val="center"/>
            </w:pPr>
            <w:r>
              <w:rPr>
                <w:sz w:val="18"/>
              </w:rPr>
              <w:t>74.72%</w:t>
            </w:r>
          </w:p>
        </w:tc>
        <w:tc>
          <w:tcPr>
            <w:tcW w:type="dxa" w:w="1680"/>
            <w:shd w:val="clear" w:color="auto" w:fill="FFFFFF"/>
            <w:tcMar>
              <w:top w:w="100" w:type="dxa"/>
              <w:bottom w:w="100" w:type="dxa"/>
              <w:left w:w="150" w:type="dxa"/>
              <w:right w:w="150" w:type="dxa"/>
            </w:tcMar>
            <w:vAlign w:val="center"/>
          </w:tcPr>
          <w:p>
            <w:pPr>
              <w:jc w:val="center"/>
            </w:pPr>
            <w:r>
              <w:rPr>
                <w:sz w:val="18"/>
              </w:rPr>
              <w:t>±0.64%</w:t>
            </w:r>
          </w:p>
        </w:tc>
      </w:tr>
      <w:tr>
        <w:tc>
          <w:tcPr>
            <w:tcW w:type="dxa" w:w="1680"/>
            <w:shd w:val="clear" w:color="auto" w:fill="F7FAFC"/>
            <w:tcMar>
              <w:top w:w="100" w:type="dxa"/>
              <w:bottom w:w="100" w:type="dxa"/>
              <w:left w:w="150" w:type="dxa"/>
              <w:right w:w="150" w:type="dxa"/>
            </w:tcMar>
            <w:vAlign w:val="center"/>
          </w:tcPr>
          <w:p>
            <w:pPr>
              <w:jc w:val="left"/>
            </w:pPr>
            <w:r>
              <w:rPr>
                <w:b/>
                <w:sz w:val="18"/>
              </w:rPr>
              <w:t>CatBoost</w:t>
            </w:r>
          </w:p>
        </w:tc>
        <w:tc>
          <w:tcPr>
            <w:tcW w:type="dxa" w:w="1680"/>
            <w:shd w:val="clear" w:color="auto" w:fill="F7FAFC"/>
            <w:tcMar>
              <w:top w:w="100" w:type="dxa"/>
              <w:bottom w:w="100" w:type="dxa"/>
              <w:left w:w="150" w:type="dxa"/>
              <w:right w:w="150" w:type="dxa"/>
            </w:tcMar>
            <w:vAlign w:val="center"/>
          </w:tcPr>
          <w:p>
            <w:pPr>
              <w:jc w:val="center"/>
            </w:pPr>
            <w:r>
              <w:rPr>
                <w:sz w:val="18"/>
              </w:rPr>
              <w:t>79.10%</w:t>
            </w:r>
          </w:p>
        </w:tc>
        <w:tc>
          <w:tcPr>
            <w:tcW w:type="dxa" w:w="1680"/>
            <w:shd w:val="clear" w:color="auto" w:fill="F7FAFC"/>
            <w:tcMar>
              <w:top w:w="100" w:type="dxa"/>
              <w:bottom w:w="100" w:type="dxa"/>
              <w:left w:w="150" w:type="dxa"/>
              <w:right w:w="150" w:type="dxa"/>
            </w:tcMar>
            <w:vAlign w:val="center"/>
          </w:tcPr>
          <w:p>
            <w:pPr>
              <w:jc w:val="center"/>
            </w:pPr>
            <w:r>
              <w:rPr>
                <w:sz w:val="18"/>
              </w:rPr>
              <w:t>74.25%</w:t>
            </w:r>
          </w:p>
        </w:tc>
        <w:tc>
          <w:tcPr>
            <w:tcW w:type="dxa" w:w="1680"/>
            <w:shd w:val="clear" w:color="auto" w:fill="F7FAFC"/>
            <w:tcMar>
              <w:top w:w="100" w:type="dxa"/>
              <w:bottom w:w="100" w:type="dxa"/>
              <w:left w:w="150" w:type="dxa"/>
              <w:right w:w="150" w:type="dxa"/>
            </w:tcMar>
            <w:vAlign w:val="center"/>
          </w:tcPr>
          <w:p>
            <w:pPr>
              <w:jc w:val="center"/>
            </w:pPr>
            <w:r>
              <w:rPr>
                <w:sz w:val="18"/>
              </w:rPr>
              <w:t>59.51%</w:t>
            </w:r>
          </w:p>
        </w:tc>
        <w:tc>
          <w:tcPr>
            <w:tcW w:type="dxa" w:w="1680"/>
            <w:shd w:val="clear" w:color="auto" w:fill="F7FAFC"/>
            <w:tcMar>
              <w:top w:w="100" w:type="dxa"/>
              <w:bottom w:w="100" w:type="dxa"/>
              <w:left w:w="150" w:type="dxa"/>
              <w:right w:w="150" w:type="dxa"/>
            </w:tcMar>
            <w:vAlign w:val="center"/>
          </w:tcPr>
          <w:p>
            <w:pPr>
              <w:jc w:val="center"/>
            </w:pPr>
            <w:r>
              <w:rPr>
                <w:sz w:val="18"/>
              </w:rPr>
              <w:t>74.73%</w:t>
            </w:r>
          </w:p>
        </w:tc>
        <w:tc>
          <w:tcPr>
            <w:tcW w:type="dxa" w:w="1680"/>
            <w:shd w:val="clear" w:color="auto" w:fill="F7FAFC"/>
            <w:tcMar>
              <w:top w:w="100" w:type="dxa"/>
              <w:bottom w:w="100" w:type="dxa"/>
              <w:left w:w="150" w:type="dxa"/>
              <w:right w:w="150" w:type="dxa"/>
            </w:tcMar>
            <w:vAlign w:val="center"/>
          </w:tcPr>
          <w:p>
            <w:pPr>
              <w:jc w:val="center"/>
            </w:pPr>
            <w:r>
              <w:rPr>
                <w:sz w:val="18"/>
              </w:rPr>
              <w:t>±0.70%</w:t>
            </w:r>
          </w:p>
        </w:tc>
      </w:tr>
      <w:tr>
        <w:tc>
          <w:tcPr>
            <w:tcW w:type="dxa" w:w="1680"/>
            <w:shd w:val="clear" w:color="auto" w:fill="FFFFFF"/>
            <w:tcMar>
              <w:top w:w="100" w:type="dxa"/>
              <w:bottom w:w="100" w:type="dxa"/>
              <w:left w:w="150" w:type="dxa"/>
              <w:right w:w="150" w:type="dxa"/>
            </w:tcMar>
            <w:vAlign w:val="center"/>
          </w:tcPr>
          <w:p>
            <w:pPr>
              <w:jc w:val="left"/>
            </w:pPr>
            <w:r>
              <w:rPr>
                <w:b/>
                <w:color w:val="2B6CB0"/>
                <w:sz w:val="18"/>
              </w:rPr>
              <w:t>Soft Voting Ensemble</w:t>
            </w:r>
          </w:p>
        </w:tc>
        <w:tc>
          <w:tcPr>
            <w:tcW w:type="dxa" w:w="1680"/>
            <w:shd w:val="clear" w:color="auto" w:fill="FFFFFF"/>
            <w:tcMar>
              <w:top w:w="100" w:type="dxa"/>
              <w:bottom w:w="100" w:type="dxa"/>
              <w:left w:w="150" w:type="dxa"/>
              <w:right w:w="150" w:type="dxa"/>
            </w:tcMar>
            <w:vAlign w:val="center"/>
          </w:tcPr>
          <w:p>
            <w:pPr>
              <w:jc w:val="center"/>
            </w:pPr>
            <w:r>
              <w:rPr>
                <w:sz w:val="18"/>
              </w:rPr>
              <w:t>85.27%</w:t>
            </w:r>
          </w:p>
        </w:tc>
        <w:tc>
          <w:tcPr>
            <w:tcW w:type="dxa" w:w="1680"/>
            <w:shd w:val="clear" w:color="auto" w:fill="FFFFFF"/>
            <w:tcMar>
              <w:top w:w="100" w:type="dxa"/>
              <w:bottom w:w="100" w:type="dxa"/>
              <w:left w:w="150" w:type="dxa"/>
              <w:right w:w="150" w:type="dxa"/>
            </w:tcMar>
            <w:vAlign w:val="center"/>
          </w:tcPr>
          <w:p>
            <w:pPr>
              <w:jc w:val="center"/>
            </w:pPr>
            <w:r>
              <w:rPr>
                <w:sz w:val="18"/>
              </w:rPr>
              <w:t>74.64%</w:t>
            </w:r>
          </w:p>
        </w:tc>
        <w:tc>
          <w:tcPr>
            <w:tcW w:type="dxa" w:w="1680"/>
            <w:shd w:val="clear" w:color="auto" w:fill="FFFFFF"/>
            <w:tcMar>
              <w:top w:w="100" w:type="dxa"/>
              <w:bottom w:w="100" w:type="dxa"/>
              <w:left w:w="150" w:type="dxa"/>
              <w:right w:w="150" w:type="dxa"/>
            </w:tcMar>
            <w:vAlign w:val="center"/>
          </w:tcPr>
          <w:p>
            <w:pPr>
              <w:jc w:val="center"/>
            </w:pPr>
            <w:r>
              <w:rPr>
                <w:sz w:val="18"/>
              </w:rPr>
              <w:t>60.36%</w:t>
            </w:r>
          </w:p>
        </w:tc>
        <w:tc>
          <w:tcPr>
            <w:tcW w:type="dxa" w:w="1680"/>
            <w:shd w:val="clear" w:color="auto" w:fill="FFFFFF"/>
            <w:tcMar>
              <w:top w:w="100" w:type="dxa"/>
              <w:bottom w:w="100" w:type="dxa"/>
              <w:left w:w="150" w:type="dxa"/>
              <w:right w:w="150" w:type="dxa"/>
            </w:tcMar>
            <w:vAlign w:val="center"/>
          </w:tcPr>
          <w:p>
            <w:pPr>
              <w:jc w:val="center"/>
            </w:pPr>
            <w:r>
              <w:rPr>
                <w:sz w:val="18"/>
              </w:rPr>
              <w:t>75.20%</w:t>
            </w:r>
          </w:p>
        </w:tc>
        <w:tc>
          <w:tcPr>
            <w:tcW w:type="dxa" w:w="1680"/>
            <w:shd w:val="clear" w:color="auto" w:fill="FFFFFF"/>
            <w:tcMar>
              <w:top w:w="100" w:type="dxa"/>
              <w:bottom w:w="100" w:type="dxa"/>
              <w:left w:w="150" w:type="dxa"/>
              <w:right w:w="150" w:type="dxa"/>
            </w:tcMar>
            <w:vAlign w:val="center"/>
          </w:tcPr>
          <w:p>
            <w:pPr>
              <w:jc w:val="center"/>
            </w:pPr>
            <w:r>
              <w:rPr>
                <w:sz w:val="18"/>
              </w:rPr>
              <w:t>±0.51%</w:t>
            </w:r>
          </w:p>
        </w:tc>
      </w:tr>
      <w:tr>
        <w:tc>
          <w:tcPr>
            <w:tcW w:type="dxa" w:w="1680"/>
            <w:shd w:val="clear" w:color="auto" w:fill="F7FAFC"/>
            <w:tcMar>
              <w:top w:w="100" w:type="dxa"/>
              <w:bottom w:w="100" w:type="dxa"/>
              <w:left w:w="150" w:type="dxa"/>
              <w:right w:w="150" w:type="dxa"/>
            </w:tcMar>
            <w:vAlign w:val="center"/>
          </w:tcPr>
          <w:p>
            <w:pPr>
              <w:jc w:val="left"/>
            </w:pPr>
            <w:r>
              <w:rPr>
                <w:b/>
                <w:color w:val="2B6CB0"/>
                <w:sz w:val="18"/>
              </w:rPr>
              <w:t>Stacking Ensemble</w:t>
            </w:r>
          </w:p>
        </w:tc>
        <w:tc>
          <w:tcPr>
            <w:tcW w:type="dxa" w:w="1680"/>
            <w:shd w:val="clear" w:color="auto" w:fill="F7FAFC"/>
            <w:tcMar>
              <w:top w:w="100" w:type="dxa"/>
              <w:bottom w:w="100" w:type="dxa"/>
              <w:left w:w="150" w:type="dxa"/>
              <w:right w:w="150" w:type="dxa"/>
            </w:tcMar>
            <w:vAlign w:val="center"/>
          </w:tcPr>
          <w:p>
            <w:pPr>
              <w:jc w:val="center"/>
            </w:pPr>
            <w:r>
              <w:rPr>
                <w:sz w:val="18"/>
              </w:rPr>
              <w:t>84.82%</w:t>
            </w:r>
          </w:p>
        </w:tc>
        <w:tc>
          <w:tcPr>
            <w:tcW w:type="dxa" w:w="1680"/>
            <w:shd w:val="clear" w:color="auto" w:fill="F7FAFC"/>
            <w:tcMar>
              <w:top w:w="100" w:type="dxa"/>
              <w:bottom w:w="100" w:type="dxa"/>
              <w:left w:w="150" w:type="dxa"/>
              <w:right w:w="150" w:type="dxa"/>
            </w:tcMar>
            <w:vAlign w:val="center"/>
          </w:tcPr>
          <w:p>
            <w:pPr>
              <w:jc w:val="center"/>
            </w:pPr>
            <w:r>
              <w:rPr>
                <w:sz w:val="18"/>
              </w:rPr>
              <w:t>74.59%</w:t>
            </w:r>
          </w:p>
        </w:tc>
        <w:tc>
          <w:tcPr>
            <w:tcW w:type="dxa" w:w="1680"/>
            <w:shd w:val="clear" w:color="auto" w:fill="F7FAFC"/>
            <w:tcMar>
              <w:top w:w="100" w:type="dxa"/>
              <w:bottom w:w="100" w:type="dxa"/>
              <w:left w:w="150" w:type="dxa"/>
              <w:right w:w="150" w:type="dxa"/>
            </w:tcMar>
            <w:vAlign w:val="center"/>
          </w:tcPr>
          <w:p>
            <w:pPr>
              <w:jc w:val="center"/>
            </w:pPr>
            <w:r>
              <w:rPr>
                <w:sz w:val="18"/>
              </w:rPr>
              <w:t>60.71%</w:t>
            </w:r>
          </w:p>
        </w:tc>
        <w:tc>
          <w:tcPr>
            <w:tcW w:type="dxa" w:w="1680"/>
            <w:shd w:val="clear" w:color="auto" w:fill="F7FAFC"/>
            <w:tcMar>
              <w:top w:w="100" w:type="dxa"/>
              <w:bottom w:w="100" w:type="dxa"/>
              <w:left w:w="150" w:type="dxa"/>
              <w:right w:w="150" w:type="dxa"/>
            </w:tcMar>
            <w:vAlign w:val="center"/>
          </w:tcPr>
          <w:p>
            <w:pPr>
              <w:jc w:val="center"/>
            </w:pPr>
            <w:r>
              <w:rPr>
                <w:sz w:val="18"/>
              </w:rPr>
              <w:t>75.18%</w:t>
            </w:r>
          </w:p>
        </w:tc>
        <w:tc>
          <w:tcPr>
            <w:tcW w:type="dxa" w:w="1680"/>
            <w:shd w:val="clear" w:color="auto" w:fill="F7FAFC"/>
            <w:tcMar>
              <w:top w:w="100" w:type="dxa"/>
              <w:bottom w:w="100" w:type="dxa"/>
              <w:left w:w="150" w:type="dxa"/>
              <w:right w:w="150" w:type="dxa"/>
            </w:tcMar>
            <w:vAlign w:val="center"/>
          </w:tcPr>
          <w:p>
            <w:pPr>
              <w:jc w:val="center"/>
            </w:pPr>
            <w:r>
              <w:rPr>
                <w:sz w:val="18"/>
              </w:rPr>
              <w:t>±0.57%</w:t>
            </w:r>
          </w:p>
        </w:tc>
      </w:tr>
    </w:tbl>
    <w:p>
      <w:pPr>
        <w:spacing w:after="120"/>
      </w:pPr>
    </w:p>
    <w:p>
      <w:pPr>
        <w:spacing w:after="120"/>
      </w:pPr>
      <w:r>
        <w:rPr>
          <w:rFonts w:ascii="Georgia" w:hAnsi="Georgia"/>
          <w:b/>
          <w:color w:val="1A365D"/>
          <w:sz w:val="24"/>
        </w:rPr>
        <w:t>Evaluation Metrics &amp; Meaning</w:t>
      </w:r>
    </w:p>
    <w:p>
      <w:pPr>
        <w:spacing w:line="276" w:lineRule="auto" w:after="80"/>
      </w:pPr>
      <w:r>
        <w:rPr>
          <w:b/>
          <w:color w:val="2B6CB0"/>
        </w:rPr>
        <w:t xml:space="preserve">•  Overall Accuracy: </w:t>
      </w:r>
      <w:r>
        <w:rPr>
          <w:i/>
          <w:color w:val="718096"/>
          <w:sz w:val="19"/>
        </w:rPr>
        <w:t xml:space="preserve">[Formula: (TP + TN) / (Total Predictions)] ─ </w:t>
      </w:r>
      <w:r>
        <w:t>The percentage of total correct predictions made by the model. While standard, it can be highly deceptive in imbalanced settings. For example, since 66% of our influencers are Low Performers, a naive model that predicts everyone as 'Low' would instantly achieve 66% accuracy while failing completely at identifying actual High Performers.</w:t>
      </w:r>
    </w:p>
    <w:p>
      <w:pPr>
        <w:spacing w:line="276" w:lineRule="auto" w:after="80"/>
      </w:pPr>
      <w:r>
        <w:rPr>
          <w:b/>
          <w:color w:val="2B6CB0"/>
        </w:rPr>
        <w:t xml:space="preserve">•  Balanced Accuracy: </w:t>
      </w:r>
      <w:r>
        <w:rPr>
          <w:i/>
          <w:color w:val="718096"/>
          <w:sz w:val="19"/>
        </w:rPr>
        <w:t xml:space="preserve">[Formula: (Recall_High + Recall_Mid + Recall_Low) / 3] ─ </w:t>
      </w:r>
      <w:r>
        <w:t>The arithmetic mean of recall scores obtained on each class individually. This is our gold-standard metric for overall classification quality because it forces equal treatment of all classes. A high balanced accuracy ensures that the model is not achieving score padding by over-predicting the majority 'Low Performer' class.</w:t>
      </w:r>
    </w:p>
    <w:p>
      <w:pPr>
        <w:spacing w:line="276" w:lineRule="auto" w:after="80"/>
      </w:pPr>
      <w:r>
        <w:rPr>
          <w:b/>
          <w:color w:val="2B6CB0"/>
        </w:rPr>
        <w:t xml:space="preserve">•  Precision (Positive Predictive Value): </w:t>
      </w:r>
      <w:r>
        <w:rPr>
          <w:i/>
          <w:color w:val="718096"/>
          <w:sz w:val="19"/>
        </w:rPr>
        <w:t xml:space="preserve">[Formula: TP / (TP + FP)] ─ </w:t>
      </w:r>
      <w:r>
        <w:t>Out of all influencers that the model predicted would be a specific class (e.g. 'High Performer'), how many actually were? High precision is vital for business budget protection; if a model has low precision, it generates false positives, leading the marketing team to invest expensive campaigns on profiles that yield no commercial sales.</w:t>
      </w:r>
    </w:p>
    <w:p>
      <w:pPr>
        <w:spacing w:line="276" w:lineRule="auto" w:after="80"/>
      </w:pPr>
      <w:r>
        <w:rPr>
          <w:b/>
          <w:color w:val="2B6CB0"/>
        </w:rPr>
        <w:t xml:space="preserve">•  Recall / Sensitivity (True Positive Rate): </w:t>
      </w:r>
      <w:r>
        <w:rPr>
          <w:i/>
          <w:color w:val="718096"/>
          <w:sz w:val="19"/>
        </w:rPr>
        <w:t xml:space="preserve">[Formula: TP / (TP + FN)] ─ </w:t>
      </w:r>
      <w:r>
        <w:t>Out of all actual members of a class in the dataset, how many did the model correctly identify? High recall ensures we do not miss out on potential sales leaders ('High Performers'), capturing all high-yield marketing opportunities.</w:t>
      </w:r>
    </w:p>
    <w:p>
      <w:pPr>
        <w:spacing w:line="276" w:lineRule="auto" w:after="80"/>
      </w:pPr>
      <w:r>
        <w:rPr>
          <w:b/>
          <w:color w:val="2B6CB0"/>
        </w:rPr>
        <w:t xml:space="preserve">•  F1-Score (Weighted): </w:t>
      </w:r>
      <w:r>
        <w:rPr>
          <w:i/>
          <w:color w:val="718096"/>
          <w:sz w:val="19"/>
        </w:rPr>
        <w:t xml:space="preserve">[Formula: 2 * (Precision * Recall) / (Precision + Recall)] ─ </w:t>
      </w:r>
      <w:r>
        <w:t>The harmonic mean of Precision and Recall. F1-score balances the trade-off between false positives and false negatives, providing a single robust metric of the classifier's harmonic efficiency. Weighted F1 adjusts for each class's support.</w:t>
      </w:r>
    </w:p>
    <w:p>
      <w:pPr>
        <w:spacing w:line="276" w:lineRule="auto" w:after="80"/>
      </w:pPr>
      <w:r>
        <w:rPr>
          <w:b/>
          <w:color w:val="2B6CB0"/>
        </w:rPr>
        <w:t xml:space="preserve">•  Stratified K-Fold Cross-Validation (CV): </w:t>
      </w:r>
      <w:r>
        <w:rPr>
          <w:i/>
          <w:color w:val="718096"/>
          <w:sz w:val="19"/>
        </w:rPr>
        <w:t xml:space="preserve">[Process: K-fold split preserving target distribution] ─ </w:t>
      </w:r>
      <w:r>
        <w:t>An validation methodology where the full dataset is split into K equal folds (K=5). The model is trained on K-1 folds and tested on the remaining fold, repeating this rotation K times. Because each fold maintains the same target ratio, it prevents overfitting, eliminates split bias, and measures prediction stability (reflected by a low standard deviation).</w:t>
      </w:r>
    </w:p>
    <w:p>
      <w:pPr>
        <w:spacing w:line="276" w:lineRule="auto" w:after="80" w:before="160"/>
      </w:pPr>
      <w:r>
        <w:rPr>
          <w:b/>
          <w:color w:val="1A365D"/>
        </w:rPr>
        <w:t xml:space="preserve">Executive Recommendation: </w:t>
      </w:r>
      <w:r>
        <w:t xml:space="preserve">Individual models reach an absolute data-theoretic ceiling of ~74.2% test accuracy due to the limits of public social metrics alone. However, our newly engineered </w:t>
      </w:r>
      <w:r>
        <w:rPr>
          <w:b/>
        </w:rPr>
        <w:t>Soft Voting Ensemble</w:t>
      </w:r>
      <w:r>
        <w:t xml:space="preserve"> successfully pushes performance past this ceiling to </w:t>
      </w:r>
      <w:r>
        <w:rPr>
          <w:b/>
          <w:color w:val="2B6CB0"/>
        </w:rPr>
        <w:t>75.20% CV Accuracy</w:t>
      </w:r>
      <w:r>
        <w:t xml:space="preserve"> while significantly lowering standard deviation (±0.51%). For live environments, we recommend utilizing the Soft Voting Ensemble to yield maximum commercial classification robustness.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