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SUPREME COURT OF INDIA</w:t>
      </w:r>
    </w:p>
    <w:p>
      <w:r>
        <w:rPr>
          <w:rFonts w:ascii="Times New Roman" w:hAnsi="Times New Roman"/>
          <w:b/>
          <w:i w:val="0"/>
          <w:sz w:val="22"/>
        </w:rPr>
        <w:t>CIVIL ORIGINAL JURISDICTION</w:t>
        <w:br/>
      </w:r>
    </w:p>
    <w:p>
      <w:pPr>
        <w:pStyle w:val="Heading2"/>
      </w:pPr>
      <w:r>
        <w:t>Mira Sharma v. State of Maharashtra &amp; Ors.</w:t>
      </w:r>
    </w:p>
    <w:p>
      <w:r>
        <w:rPr>
          <w:rFonts w:ascii="Times New Roman" w:hAnsi="Times New Roman"/>
          <w:b w:val="0"/>
          <w:i w:val="0"/>
          <w:sz w:val="22"/>
        </w:rPr>
        <w:t>Writ Petition (Civil) No. ___ of 2025</w:t>
        <w:br/>
      </w:r>
    </w:p>
    <w:p>
      <w:r>
        <w:rPr>
          <w:rFonts w:ascii="Times New Roman" w:hAnsi="Times New Roman"/>
          <w:b w:val="0"/>
          <w:i w:val="0"/>
          <w:sz w:val="22"/>
        </w:rPr>
        <w:t>Mira Sharma</w:t>
        <w:br/>
        <w:t>(Petitioner)</w:t>
        <w:br/>
        <w:t xml:space="preserve">  … Petitioner</w:t>
        <w:br/>
        <w:br/>
        <w:t>VERSUS</w:t>
        <w:br/>
        <w:br/>
        <w:t>State of Maharashtra &amp; Ors.</w:t>
        <w:br/>
        <w:t>(Respondents)</w:t>
        <w:br/>
        <w:t xml:space="preserve">  … Respondents</w:t>
        <w:br/>
      </w:r>
    </w:p>
    <w:p>
      <w:pPr>
        <w:pStyle w:val="Heading2"/>
      </w:pPr>
      <w:r>
        <w:t>PETITION UNDER ARTICLE 32 OF THE CONSTITUTION OF INDIA</w:t>
      </w:r>
    </w:p>
    <w:p>
      <w:pPr>
        <w:pStyle w:val="Heading3"/>
      </w:pPr>
      <w:r>
        <w:t>SYNOPSIS AND LIST OF DATES</w:t>
      </w:r>
    </w:p>
    <w:p>
      <w:r>
        <w:rPr>
          <w:rFonts w:ascii="Times New Roman" w:hAnsi="Times New Roman"/>
          <w:b w:val="0"/>
          <w:i w:val="0"/>
          <w:sz w:val="22"/>
        </w:rPr>
        <w:t>Petition challenging SEIAA order rejecting environmental clearance for a community-led solar micro-grid project by classifying revenue wasteland as 'forest land' without any statutory basis, causing violation of Article 14 and Article 21 and depriving drought-prone community of livelihood and renewable energy benefits.</w:t>
      </w:r>
    </w:p>
    <w:p>
      <w:r>
        <w:rPr>
          <w:rFonts w:ascii="Times New Roman" w:hAnsi="Times New Roman"/>
          <w:b w:val="0"/>
          <w:i w:val="0"/>
          <w:sz w:val="22"/>
        </w:rPr>
        <w:br/>
        <w:t>Important dates:</w:t>
      </w:r>
    </w:p>
    <w:p>
      <w:r>
        <w:rPr>
          <w:rFonts w:ascii="Times New Roman" w:hAnsi="Times New Roman"/>
          <w:b w:val="0"/>
          <w:i w:val="0"/>
          <w:sz w:val="22"/>
        </w:rPr>
        <w:t>10-09-2023 — Cooperative formed; application to MEDA for site identification.</w:t>
      </w:r>
    </w:p>
    <w:p>
      <w:r>
        <w:rPr>
          <w:rFonts w:ascii="Times New Roman" w:hAnsi="Times New Roman"/>
          <w:b w:val="0"/>
          <w:i w:val="0"/>
          <w:sz w:val="22"/>
        </w:rPr>
        <w:t>15-01-2024 — District Collector issues site report classifying land as revenue wasteland.</w:t>
      </w:r>
    </w:p>
    <w:p>
      <w:r>
        <w:rPr>
          <w:rFonts w:ascii="Times New Roman" w:hAnsi="Times New Roman"/>
          <w:b w:val="0"/>
          <w:i w:val="0"/>
          <w:sz w:val="22"/>
        </w:rPr>
        <w:t>05-02-2025 — Application for environmental clearance submitted to SEIAA.</w:t>
      </w:r>
    </w:p>
    <w:p>
      <w:r>
        <w:rPr>
          <w:rFonts w:ascii="Times New Roman" w:hAnsi="Times New Roman"/>
          <w:b w:val="0"/>
          <w:i w:val="0"/>
          <w:sz w:val="22"/>
        </w:rPr>
        <w:t>12-03-2025 — SEIAA issues refusal order classifying land as 'potential forest land'.</w:t>
      </w:r>
    </w:p>
    <w:p>
      <w:r>
        <w:rPr>
          <w:rFonts w:ascii="Times New Roman" w:hAnsi="Times New Roman"/>
          <w:b w:val="0"/>
          <w:i w:val="0"/>
          <w:sz w:val="22"/>
        </w:rPr>
        <w:t>15-03-2025 — Representation to Principal Secretary (Environment) filed; no response.</w:t>
      </w:r>
    </w:p>
    <w:p>
      <w:r>
        <w:rPr>
          <w:rFonts w:ascii="Times New Roman" w:hAnsi="Times New Roman"/>
          <w:b w:val="0"/>
          <w:i w:val="0"/>
          <w:sz w:val="22"/>
        </w:rPr>
        <w:t>02-04-2025 — Present petition filed.</w:t>
      </w:r>
    </w:p>
    <w:p>
      <w:pPr>
        <w:pStyle w:val="Heading3"/>
      </w:pPr>
      <w:r>
        <w:t>FACTS OF THE CASE</w:t>
      </w:r>
    </w:p>
    <w:p>
      <w:r>
        <w:rPr>
          <w:rFonts w:ascii="Times New Roman" w:hAnsi="Times New Roman"/>
          <w:b w:val="0"/>
          <w:i w:val="0"/>
          <w:sz w:val="22"/>
        </w:rPr>
        <w:t>1. The Petitioner, Mira Sharma, is the elected Chairperson of Beed Mahila Surya Cooperative, a not-for-profit cooperative registered under the Maharashtra Cooperative Societies Act, 1960. The cooperative comprises 184 women farmers engaged in subsistence agriculture in drought-afflicted Beed district.</w:t>
      </w:r>
    </w:p>
    <w:p>
      <w:r>
        <w:rPr>
          <w:rFonts w:ascii="Times New Roman" w:hAnsi="Times New Roman"/>
          <w:b w:val="0"/>
          <w:i w:val="0"/>
          <w:sz w:val="22"/>
        </w:rPr>
        <w:t>2. The cooperative identified a contiguous tract of 52 acres ('subject land') in Village Takarwadi which, as per the Revenue Records (Annexure A-1), is recorded as non-agricultural revenue wasteland and has no encumbrances or standing trees.</w:t>
      </w:r>
    </w:p>
    <w:p>
      <w:r>
        <w:rPr>
          <w:rFonts w:ascii="Times New Roman" w:hAnsi="Times New Roman"/>
          <w:b w:val="0"/>
          <w:i w:val="0"/>
          <w:sz w:val="22"/>
        </w:rPr>
        <w:t>3. The project aims to install a decentralized solar micro-grid under the PM-KUSUM scheme to provide irrigation and livelihood opportunities, and to sell surplus power to the local distribution company under state policy.</w:t>
      </w:r>
    </w:p>
    <w:p>
      <w:r>
        <w:rPr>
          <w:rFonts w:ascii="Times New Roman" w:hAnsi="Times New Roman"/>
          <w:b w:val="0"/>
          <w:i w:val="0"/>
          <w:sz w:val="22"/>
        </w:rPr>
        <w:t>4. Pursuant to statutory process, the cooperative sought site concurrence and environmental clearance. The District Collector (Annexure A-2) confirmed the revenue status; however, without any field inspection or scientific data, SEIAA (Annexure A-3) rejected clearance on 12-03-2025, stating the area was 'potential forest land' and that clearance would require a prior 'forest diversion' process.</w:t>
      </w:r>
    </w:p>
    <w:p>
      <w:r>
        <w:rPr>
          <w:rFonts w:ascii="Times New Roman" w:hAnsi="Times New Roman"/>
          <w:b w:val="0"/>
          <w:i w:val="0"/>
          <w:sz w:val="22"/>
        </w:rPr>
        <w:t>5. The SEIAA order does not identify any statutory notification under the Indian Forest Act, 1927 or entries in the Forest Survey of India, nor any tree census demonstrating forested character. The decision appears to be based on speculative mapping and correspondence with an unnamed state agency.</w:t>
      </w:r>
    </w:p>
    <w:p>
      <w:r>
        <w:rPr>
          <w:rFonts w:ascii="Times New Roman" w:hAnsi="Times New Roman"/>
          <w:b w:val="0"/>
          <w:i w:val="0"/>
          <w:sz w:val="22"/>
        </w:rPr>
        <w:t>6. The petitioner submitted a detailed representation (Annexure A-4) with satellite imagery, village revenue records and a tree census showing absence of significant tree cover, but SEIAA declined to change its position.</w:t>
      </w:r>
    </w:p>
    <w:p>
      <w:r>
        <w:rPr>
          <w:rFonts w:ascii="Times New Roman" w:hAnsi="Times New Roman"/>
          <w:b w:val="0"/>
          <w:i w:val="0"/>
          <w:sz w:val="22"/>
        </w:rPr>
        <w:t>7. The impugned action obstructs a community-driven renewable energy initiative and discriminates between corporate projects (which received clearance in similar zones) and the petitioner’s cooperative.</w:t>
      </w:r>
    </w:p>
    <w:p>
      <w:pPr>
        <w:pStyle w:val="Heading3"/>
      </w:pPr>
      <w:r>
        <w:t>PROCEDURAL HISTORY</w:t>
      </w:r>
    </w:p>
    <w:p>
      <w:r>
        <w:rPr>
          <w:rFonts w:ascii="Times New Roman" w:hAnsi="Times New Roman"/>
          <w:b w:val="0"/>
          <w:i w:val="0"/>
          <w:sz w:val="22"/>
        </w:rPr>
        <w:t>8. No prior litigation in any court exists concerning the subject land. The SEIAA order is the first administrative denial which improperly constrains the cooperative's statutory rights under state renewable energy policy.</w:t>
      </w:r>
    </w:p>
    <w:p>
      <w:r>
        <w:rPr>
          <w:rFonts w:ascii="Times New Roman" w:hAnsi="Times New Roman"/>
          <w:b w:val="0"/>
          <w:i w:val="0"/>
          <w:sz w:val="22"/>
        </w:rPr>
        <w:t>9. The petitioner exercised all available administrative remedies by making representations and seeking reconsideration which remain unaddressed.</w:t>
      </w:r>
    </w:p>
    <w:p>
      <w:pPr>
        <w:pStyle w:val="Heading3"/>
      </w:pPr>
      <w:r>
        <w:t>ISSUES FOR CONSIDERATION</w:t>
      </w:r>
    </w:p>
    <w:p>
      <w:r>
        <w:rPr>
          <w:rFonts w:ascii="Times New Roman" w:hAnsi="Times New Roman"/>
          <w:b w:val="0"/>
          <w:i w:val="0"/>
          <w:sz w:val="22"/>
        </w:rPr>
        <w:t>Issue 1: Whether SEIAA's classification of revenue wasteland as 'forest land' without statutory notification or records is arbitrary and violative of Article 14 and Article 21 of the Constitution.</w:t>
      </w:r>
    </w:p>
    <w:p>
      <w:r>
        <w:rPr>
          <w:rFonts w:ascii="Times New Roman" w:hAnsi="Times New Roman"/>
          <w:b w:val="0"/>
          <w:i w:val="0"/>
          <w:sz w:val="22"/>
        </w:rPr>
        <w:t>Issue 2: Whether SEIAA's failure to conduct a site inspection and consider material on record constitutes non-application of mind and denial of natural justice.</w:t>
      </w:r>
    </w:p>
    <w:p>
      <w:r>
        <w:rPr>
          <w:rFonts w:ascii="Times New Roman" w:hAnsi="Times New Roman"/>
          <w:b w:val="0"/>
          <w:i w:val="0"/>
          <w:sz w:val="22"/>
        </w:rPr>
        <w:t>Issue 3: Whether the petitioner is entitled to mandamus directing reconsideration and grant of environmental clearance in accordance with law.</w:t>
      </w:r>
    </w:p>
    <w:p>
      <w:pPr>
        <w:pStyle w:val="Heading3"/>
      </w:pPr>
      <w:r>
        <w:t>GROUNDS / ARGUMENTS</w:t>
      </w:r>
    </w:p>
    <w:p>
      <w:r>
        <w:rPr>
          <w:rFonts w:ascii="Times New Roman" w:hAnsi="Times New Roman"/>
          <w:b/>
          <w:i w:val="0"/>
          <w:sz w:val="22"/>
        </w:rPr>
        <w:t>A. Arbitrary action and violation of Article 14 and 21</w:t>
      </w:r>
    </w:p>
    <w:p>
      <w:r>
        <w:rPr>
          <w:rFonts w:ascii="Times New Roman" w:hAnsi="Times New Roman"/>
          <w:b w:val="0"/>
          <w:i w:val="0"/>
          <w:sz w:val="22"/>
        </w:rPr>
        <w:t>10. The SEIAA order is arbitrary: it substitutes conjecture for evidence. The rule of law requires that administrative action be supported by material and reasons.</w:t>
      </w:r>
    </w:p>
    <w:p>
      <w:r>
        <w:rPr>
          <w:rFonts w:ascii="Times New Roman" w:hAnsi="Times New Roman"/>
          <w:b w:val="0"/>
          <w:i w:val="0"/>
          <w:sz w:val="22"/>
        </w:rPr>
        <w:t>11. The denial causes disproportionate deprivation of livelihood and access to essential services (irrigation, electricity), engaging Article 21 as interpreted in cases such as Indian jurisprudence favouring substantive due process.</w:t>
      </w:r>
    </w:p>
    <w:p>
      <w:r>
        <w:rPr>
          <w:rFonts w:ascii="Times New Roman" w:hAnsi="Times New Roman"/>
          <w:b/>
          <w:i w:val="0"/>
          <w:sz w:val="22"/>
        </w:rPr>
        <w:t>B. Misreading of 'forest land' and statutory regime</w:t>
      </w:r>
    </w:p>
    <w:p>
      <w:r>
        <w:rPr>
          <w:rFonts w:ascii="Times New Roman" w:hAnsi="Times New Roman"/>
          <w:b w:val="0"/>
          <w:i w:val="0"/>
          <w:sz w:val="22"/>
        </w:rPr>
        <w:t>12. The Forest (Conservation) Act, 1980 and Indian Forest Act, 1927 limit the definition of 'forest' to notified areas and recorded forests. The SEIAA cannot unilaterally categorize a revenue wasteland as forest without statutory notification.</w:t>
      </w:r>
    </w:p>
    <w:p>
      <w:r>
        <w:rPr>
          <w:rFonts w:ascii="Times New Roman" w:hAnsi="Times New Roman"/>
          <w:b w:val="0"/>
          <w:i w:val="0"/>
          <w:sz w:val="22"/>
        </w:rPr>
        <w:t>13. Reliance upon satellite imagery alone, without field verification and relevant government notification, is legally untenable.</w:t>
      </w:r>
    </w:p>
    <w:p>
      <w:r>
        <w:rPr>
          <w:rFonts w:ascii="Times New Roman" w:hAnsi="Times New Roman"/>
          <w:b/>
          <w:i w:val="0"/>
          <w:sz w:val="22"/>
        </w:rPr>
        <w:t>C. Failure of procedure and non-application of mind</w:t>
      </w:r>
    </w:p>
    <w:p>
      <w:r>
        <w:rPr>
          <w:rFonts w:ascii="Times New Roman" w:hAnsi="Times New Roman"/>
          <w:b w:val="0"/>
          <w:i w:val="0"/>
          <w:sz w:val="22"/>
        </w:rPr>
        <w:t>14. SEIAA did not provide adversarial hearing or opportunity to produce evidence; the principle of audi alteram partem was violated.</w:t>
      </w:r>
    </w:p>
    <w:p>
      <w:r>
        <w:rPr>
          <w:rFonts w:ascii="Times New Roman" w:hAnsi="Times New Roman"/>
          <w:b w:val="0"/>
          <w:i w:val="0"/>
          <w:sz w:val="22"/>
        </w:rPr>
        <w:t>15. The cooperative's legitimate expectation from state renewable energy policy and MEDA's preliminary concurrence requires protection.</w:t>
      </w:r>
    </w:p>
    <w:p>
      <w:r>
        <w:rPr>
          <w:rFonts w:ascii="Times New Roman" w:hAnsi="Times New Roman"/>
          <w:b/>
          <w:i w:val="0"/>
          <w:sz w:val="22"/>
        </w:rPr>
        <w:t>D. Reliefs and discretionary directions</w:t>
      </w:r>
    </w:p>
    <w:p>
      <w:r>
        <w:rPr>
          <w:rFonts w:ascii="Times New Roman" w:hAnsi="Times New Roman"/>
          <w:b w:val="0"/>
          <w:i w:val="0"/>
          <w:sz w:val="22"/>
        </w:rPr>
        <w:t>16. Petitioner seeks quashing and remand with directions for a fresh, reasoned decision with time-bound site verification and involvement of independent experts.</w:t>
      </w:r>
    </w:p>
    <w:p>
      <w:r>
        <w:rPr>
          <w:rFonts w:ascii="Times New Roman" w:hAnsi="Times New Roman"/>
          <w:b w:val="0"/>
          <w:i w:val="0"/>
          <w:sz w:val="22"/>
        </w:rPr>
        <w:t>17. Alternatively, direction for provisional environmental clearance with conditions to safeguard ecology and community interests would be equitable.</w:t>
      </w:r>
    </w:p>
    <w:p>
      <w:pPr>
        <w:pStyle w:val="Heading3"/>
      </w:pPr>
      <w:r>
        <w:t>STATUTES, RULES AND AUTHORITIES RELIED UPON</w:t>
      </w:r>
    </w:p>
    <w:p>
      <w:r>
        <w:rPr>
          <w:rFonts w:ascii="Times New Roman" w:hAnsi="Times New Roman"/>
          <w:b w:val="0"/>
          <w:i w:val="0"/>
          <w:sz w:val="22"/>
        </w:rPr>
        <w:t>- Constitution of India Articles 14, 19(1)(g) and 21</w:t>
      </w:r>
    </w:p>
    <w:p>
      <w:r>
        <w:rPr>
          <w:rFonts w:ascii="Times New Roman" w:hAnsi="Times New Roman"/>
          <w:b w:val="0"/>
          <w:i w:val="0"/>
          <w:sz w:val="22"/>
        </w:rPr>
        <w:t>- Environment (Protection) Act, 1986 and Environment Impact Assessment Notification, 2006</w:t>
      </w:r>
    </w:p>
    <w:p>
      <w:r>
        <w:rPr>
          <w:rFonts w:ascii="Times New Roman" w:hAnsi="Times New Roman"/>
          <w:b w:val="0"/>
          <w:i w:val="0"/>
          <w:sz w:val="22"/>
        </w:rPr>
        <w:t>- Forest (Conservation) Act, 1980; Indian Forest Act, 1927</w:t>
      </w:r>
    </w:p>
    <w:p>
      <w:r>
        <w:rPr>
          <w:rFonts w:ascii="Times New Roman" w:hAnsi="Times New Roman"/>
          <w:b w:val="0"/>
          <w:i w:val="0"/>
          <w:sz w:val="22"/>
        </w:rPr>
        <w:t>- Maharashtra Renewable Energy Policy, 2020; PM-KUSUM Scheme guidelines</w:t>
      </w:r>
    </w:p>
    <w:p>
      <w:pPr>
        <w:pStyle w:val="Heading3"/>
      </w:pPr>
      <w:r>
        <w:t>RELIEFS PRAYED FOR</w:t>
      </w:r>
    </w:p>
    <w:p>
      <w:r>
        <w:rPr>
          <w:rFonts w:ascii="Times New Roman" w:hAnsi="Times New Roman"/>
          <w:b w:val="0"/>
          <w:i w:val="0"/>
          <w:sz w:val="22"/>
        </w:rPr>
        <w:t>A writ of certiorari quashing SEIAA order dated 12-03-2025 (Annexure A-3).</w:t>
      </w:r>
    </w:p>
    <w:p>
      <w:r>
        <w:rPr>
          <w:rFonts w:ascii="Times New Roman" w:hAnsi="Times New Roman"/>
          <w:b w:val="0"/>
          <w:i w:val="0"/>
          <w:sz w:val="22"/>
        </w:rPr>
        <w:t>A writ of mandamus directing respondents to reconsider the petitioner’s application within 8 weeks with mandatory on-site inspection and independent expert assessment.</w:t>
      </w:r>
    </w:p>
    <w:p>
      <w:r>
        <w:rPr>
          <w:rFonts w:ascii="Times New Roman" w:hAnsi="Times New Roman"/>
          <w:b w:val="0"/>
          <w:i w:val="0"/>
          <w:sz w:val="22"/>
        </w:rPr>
        <w:t>A writ directing the Central Government/State Government to issue guidelines preventing arbitrary classification of revenue wasteland as forest for renewable projects.</w:t>
      </w:r>
    </w:p>
    <w:p>
      <w:r>
        <w:rPr>
          <w:rFonts w:ascii="Times New Roman" w:hAnsi="Times New Roman"/>
          <w:b w:val="0"/>
          <w:i w:val="0"/>
          <w:sz w:val="22"/>
        </w:rPr>
        <w:t>Costs of the petition.</w:t>
      </w:r>
    </w:p>
    <w:p>
      <w:pPr>
        <w:pStyle w:val="Heading3"/>
      </w:pPr>
      <w:r>
        <w:t>INTERIM PRAYER</w:t>
      </w:r>
    </w:p>
    <w:p>
      <w:r>
        <w:rPr>
          <w:rFonts w:ascii="Times New Roman" w:hAnsi="Times New Roman"/>
          <w:b w:val="0"/>
          <w:i w:val="0"/>
          <w:sz w:val="22"/>
        </w:rPr>
        <w:t>Stay the operation of SEIAA order dated 12-03-2025.</w:t>
      </w:r>
    </w:p>
    <w:p>
      <w:r>
        <w:rPr>
          <w:rFonts w:ascii="Times New Roman" w:hAnsi="Times New Roman"/>
          <w:b w:val="0"/>
          <w:i w:val="0"/>
          <w:sz w:val="22"/>
        </w:rPr>
        <w:t>Permit the petitioner to undertake preparatory, non-invasive works (surveying, fencing for security) on the subject land pending final disposal.</w:t>
      </w:r>
    </w:p>
    <w:p>
      <w:pPr>
        <w:pStyle w:val="Heading3"/>
      </w:pPr>
      <w:r>
        <w:t>VERIFICATION</w:t>
      </w:r>
    </w:p>
    <w:p>
      <w:r>
        <w:rPr>
          <w:rFonts w:ascii="Times New Roman" w:hAnsi="Times New Roman"/>
          <w:b w:val="0"/>
          <w:i w:val="0"/>
          <w:sz w:val="22"/>
        </w:rPr>
        <w:t>I, Mira Sharma, the Petitioner above named, do hereby verify that the contents of paragraphs 1 to 15 are true to my knowledge and belief and that I believe them to be true and correct.</w:t>
      </w:r>
    </w:p>
    <w:p>
      <w:r>
        <w:rPr>
          <w:rFonts w:ascii="Times New Roman" w:hAnsi="Times New Roman"/>
          <w:b w:val="0"/>
          <w:i w:val="0"/>
          <w:sz w:val="22"/>
        </w:rPr>
        <w:br/>
        <w:t>Filed by:</w:t>
        <w:br/>
        <w:t>Advocate-on-Record for the Petitioner</w:t>
        <w:br/>
        <w:t>[Name of AOR]</w:t>
        <w:br/>
        <w:t>Chamber: Supreme Court, New Delhi</w:t>
        <w:br/>
        <w:t>Date: October 23, 2025</w:t>
        <w:br/>
        <w:t>Place: New Delhi</w:t>
      </w:r>
    </w:p>
    <w:p>
      <w:pPr>
        <w:pStyle w:val="Heading3"/>
      </w:pPr>
      <w:r>
        <w:t>LIST OF ANNEXURES</w:t>
      </w:r>
    </w:p>
    <w:p>
      <w:r>
        <w:rPr>
          <w:rFonts w:ascii="Times New Roman" w:hAnsi="Times New Roman"/>
          <w:b w:val="0"/>
          <w:i w:val="0"/>
          <w:sz w:val="22"/>
        </w:rPr>
        <w:t>Annexure A1: Revenue extract and map of Village Takarwadi.</w:t>
      </w:r>
    </w:p>
    <w:p>
      <w:r>
        <w:rPr>
          <w:rFonts w:ascii="Times New Roman" w:hAnsi="Times New Roman"/>
          <w:b w:val="0"/>
          <w:i w:val="0"/>
          <w:sz w:val="22"/>
        </w:rPr>
        <w:t>Annexure A2: District Collector site concurrence report.</w:t>
      </w:r>
    </w:p>
    <w:p>
      <w:r>
        <w:rPr>
          <w:rFonts w:ascii="Times New Roman" w:hAnsi="Times New Roman"/>
          <w:b w:val="0"/>
          <w:i w:val="0"/>
          <w:sz w:val="22"/>
        </w:rPr>
        <w:t>Annexure A3: SEIAA refusal order dated 12-03-2025.</w:t>
      </w:r>
    </w:p>
    <w:p>
      <w:r>
        <w:rPr>
          <w:rFonts w:ascii="Times New Roman" w:hAnsi="Times New Roman"/>
          <w:b w:val="0"/>
          <w:i w:val="0"/>
          <w:sz w:val="22"/>
        </w:rPr>
        <w:t>Annexure A4: Petitioner’s representation dated 17-03-2025 with satellite imagery and tree census.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