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THE SUPREME COURT OF INDIA</w:t>
      </w:r>
    </w:p>
    <w:p>
      <w:r>
        <w:rPr>
          <w:rFonts w:ascii="Times New Roman" w:hAnsi="Times New Roman"/>
          <w:b/>
          <w:i w:val="0"/>
          <w:sz w:val="22"/>
        </w:rPr>
        <w:t>CIVIL ORIGINAL JURISDICTION</w:t>
        <w:br/>
      </w:r>
    </w:p>
    <w:p>
      <w:pPr>
        <w:pStyle w:val="Heading2"/>
      </w:pPr>
      <w:r>
        <w:t>Dr. Anand Prakash v. National Medical Commission &amp; Ors.</w:t>
      </w:r>
    </w:p>
    <w:p>
      <w:r>
        <w:rPr>
          <w:rFonts w:ascii="Times New Roman" w:hAnsi="Times New Roman"/>
          <w:b w:val="0"/>
          <w:i w:val="0"/>
          <w:sz w:val="22"/>
        </w:rPr>
        <w:t>Writ Petition (Civil) No. ___ of 2025</w:t>
        <w:br/>
      </w:r>
    </w:p>
    <w:p>
      <w:r>
        <w:rPr>
          <w:rFonts w:ascii="Times New Roman" w:hAnsi="Times New Roman"/>
          <w:b w:val="0"/>
          <w:i w:val="0"/>
          <w:sz w:val="22"/>
        </w:rPr>
        <w:t>Dr. Anand Prakash</w:t>
        <w:br/>
        <w:t>(Petitioner)</w:t>
        <w:br/>
        <w:t xml:space="preserve">  … Petitioner</w:t>
        <w:br/>
        <w:br/>
        <w:t>VERSUS</w:t>
        <w:br/>
        <w:br/>
        <w:t>National Medical Commission &amp; Ors.</w:t>
        <w:br/>
        <w:t>(Respondents)</w:t>
        <w:br/>
        <w:t xml:space="preserve">  … Respondents</w:t>
        <w:br/>
      </w:r>
    </w:p>
    <w:p>
      <w:pPr>
        <w:pStyle w:val="Heading2"/>
      </w:pPr>
      <w:r>
        <w:t>PETITION UNDER ARTICLE 32 OF THE CONSTITUTION OF INDIA</w:t>
      </w:r>
    </w:p>
    <w:p>
      <w:pPr>
        <w:pStyle w:val="Heading3"/>
      </w:pPr>
      <w:r>
        <w:t>SYNOPSIS AND LIST OF DATES</w:t>
      </w:r>
    </w:p>
    <w:p>
      <w:r>
        <w:rPr>
          <w:rFonts w:ascii="Times New Roman" w:hAnsi="Times New Roman"/>
          <w:b w:val="0"/>
          <w:i w:val="0"/>
          <w:sz w:val="22"/>
        </w:rPr>
        <w:t>Petition challenging National Medical Commission's arbitrary rejection of foreign postgraduate medical qualification for registration and practice in India, alleging violation of Article 19(1)(g) and legitimate expectation based on previous equivalence decisions and WHO-recognized accreditation.</w:t>
      </w:r>
    </w:p>
    <w:p>
      <w:r>
        <w:rPr>
          <w:rFonts w:ascii="Times New Roman" w:hAnsi="Times New Roman"/>
          <w:b w:val="0"/>
          <w:i w:val="0"/>
          <w:sz w:val="22"/>
        </w:rPr>
        <w:br/>
        <w:t>Important dates:</w:t>
      </w:r>
    </w:p>
    <w:p>
      <w:r>
        <w:rPr>
          <w:rFonts w:ascii="Times New Roman" w:hAnsi="Times New Roman"/>
          <w:b w:val="0"/>
          <w:i w:val="0"/>
          <w:sz w:val="22"/>
        </w:rPr>
        <w:t>20-06-2018 — Petitioner obtains M.D. (Internal Medicine) from University of Colombo (WHO-listed).</w:t>
      </w:r>
    </w:p>
    <w:p>
      <w:r>
        <w:rPr>
          <w:rFonts w:ascii="Times New Roman" w:hAnsi="Times New Roman"/>
          <w:b w:val="0"/>
          <w:i w:val="0"/>
          <w:sz w:val="22"/>
        </w:rPr>
        <w:t>30-11-2023 — Petitioner applies to NMC for equivalence and provisional registration.</w:t>
      </w:r>
    </w:p>
    <w:p>
      <w:r>
        <w:rPr>
          <w:rFonts w:ascii="Times New Roman" w:hAnsi="Times New Roman"/>
          <w:b w:val="0"/>
          <w:i w:val="0"/>
          <w:sz w:val="22"/>
        </w:rPr>
        <w:t>10-12-2023 — NMC seeks additional documents; petitioner submits transcripts and syllabus mapping.</w:t>
      </w:r>
    </w:p>
    <w:p>
      <w:r>
        <w:rPr>
          <w:rFonts w:ascii="Times New Roman" w:hAnsi="Times New Roman"/>
          <w:b w:val="0"/>
          <w:i w:val="0"/>
          <w:sz w:val="22"/>
        </w:rPr>
        <w:t>11-01-2025 — NMC issues rejection order citing divergence in 'clinical hours' and syllabus.</w:t>
      </w:r>
    </w:p>
    <w:p>
      <w:r>
        <w:rPr>
          <w:rFonts w:ascii="Times New Roman" w:hAnsi="Times New Roman"/>
          <w:b w:val="0"/>
          <w:i w:val="0"/>
          <w:sz w:val="22"/>
        </w:rPr>
        <w:t>20-01-2025 — Petitioner files representation; no substantive response.</w:t>
      </w:r>
    </w:p>
    <w:p>
      <w:r>
        <w:rPr>
          <w:rFonts w:ascii="Times New Roman" w:hAnsi="Times New Roman"/>
          <w:b w:val="0"/>
          <w:i w:val="0"/>
          <w:sz w:val="22"/>
        </w:rPr>
        <w:t>05-02-2025 — Petition filed before Supreme Court.</w:t>
      </w:r>
    </w:p>
    <w:p>
      <w:pPr>
        <w:pStyle w:val="Heading3"/>
      </w:pPr>
      <w:r>
        <w:t>FACTS OF THE CASE</w:t>
      </w:r>
    </w:p>
    <w:p>
      <w:r>
        <w:rPr>
          <w:rFonts w:ascii="Times New Roman" w:hAnsi="Times New Roman"/>
          <w:b w:val="0"/>
          <w:i w:val="0"/>
          <w:sz w:val="22"/>
        </w:rPr>
        <w:t>1. The petitioner completed medical degree and postgraduate training at a reputed WHO-listed university and has two years’ post-degree supervised clinical experience in a tertiary hospital.</w:t>
      </w:r>
    </w:p>
    <w:p>
      <w:r>
        <w:rPr>
          <w:rFonts w:ascii="Times New Roman" w:hAnsi="Times New Roman"/>
          <w:b w:val="0"/>
          <w:i w:val="0"/>
          <w:sz w:val="22"/>
        </w:rPr>
        <w:t>2. The petitioner applied under NMC regulations for recognition of foreign medical qualifications and provided detailed comparators showing substantial parity in curriculum and clinical exposure.</w:t>
      </w:r>
    </w:p>
    <w:p>
      <w:r>
        <w:rPr>
          <w:rFonts w:ascii="Times New Roman" w:hAnsi="Times New Roman"/>
          <w:b w:val="0"/>
          <w:i w:val="0"/>
          <w:sz w:val="22"/>
        </w:rPr>
        <w:t>3. NMC's rejection is premised on literalistic comparison of 'clinical hours' without appreciating quality, supervised training and competency-based assessment used by the foreign university.</w:t>
      </w:r>
    </w:p>
    <w:p>
      <w:r>
        <w:rPr>
          <w:rFonts w:ascii="Times New Roman" w:hAnsi="Times New Roman"/>
          <w:b w:val="0"/>
          <w:i w:val="0"/>
          <w:sz w:val="22"/>
        </w:rPr>
        <w:t>4. Several Indian applicants from the same institution have been previously granted equivalence or permitted to appear for screening tests—establishing inconsistent administrative practice (Annexures B-1 to B-3).</w:t>
      </w:r>
    </w:p>
    <w:p>
      <w:r>
        <w:rPr>
          <w:rFonts w:ascii="Times New Roman" w:hAnsi="Times New Roman"/>
          <w:b w:val="0"/>
          <w:i w:val="0"/>
          <w:sz w:val="22"/>
        </w:rPr>
        <w:t>5. The petitioner was not given adequate opportunity to demonstrate equivalence through viva/assessment or submission of further evidence regarding supervised clinical competencies.</w:t>
      </w:r>
    </w:p>
    <w:p>
      <w:pPr>
        <w:pStyle w:val="Heading3"/>
      </w:pPr>
      <w:r>
        <w:t>PROCEDURAL HISTORY</w:t>
      </w:r>
    </w:p>
    <w:p>
      <w:r>
        <w:rPr>
          <w:rFonts w:ascii="Times New Roman" w:hAnsi="Times New Roman"/>
          <w:b w:val="0"/>
          <w:i w:val="0"/>
          <w:sz w:val="22"/>
        </w:rPr>
        <w:t>6. The petitioner exhausted administrative remedies by filing representations and offering to appear for any assessment, which were not considered on merits.</w:t>
      </w:r>
    </w:p>
    <w:p>
      <w:r>
        <w:rPr>
          <w:rFonts w:ascii="Times New Roman" w:hAnsi="Times New Roman"/>
          <w:b w:val="0"/>
          <w:i w:val="0"/>
          <w:sz w:val="22"/>
        </w:rPr>
        <w:t>7. No statutory appeal provision under NMC regulations was availed successfully; hence, writ remedy is appropriate.</w:t>
      </w:r>
    </w:p>
    <w:p>
      <w:pPr>
        <w:pStyle w:val="Heading3"/>
      </w:pPr>
      <w:r>
        <w:t>ISSUES FOR CONSIDERATION</w:t>
      </w:r>
    </w:p>
    <w:p>
      <w:r>
        <w:rPr>
          <w:rFonts w:ascii="Times New Roman" w:hAnsi="Times New Roman"/>
          <w:b w:val="0"/>
          <w:i w:val="0"/>
          <w:sz w:val="22"/>
        </w:rPr>
        <w:t>Issue 1: Whether NMC's refusal to recognize petitioner’s foreign postgraduate qualification is arbitrary and violates Article 19(1)(g) and 21.</w:t>
      </w:r>
    </w:p>
    <w:p>
      <w:r>
        <w:rPr>
          <w:rFonts w:ascii="Times New Roman" w:hAnsi="Times New Roman"/>
          <w:b w:val="0"/>
          <w:i w:val="0"/>
          <w:sz w:val="22"/>
        </w:rPr>
        <w:t>Issue 2: Whether the doctrine of legitimate expectation and consistency in administrative practice entitles petitioner to relief.</w:t>
      </w:r>
    </w:p>
    <w:p>
      <w:r>
        <w:rPr>
          <w:rFonts w:ascii="Times New Roman" w:hAnsi="Times New Roman"/>
          <w:b w:val="0"/>
          <w:i w:val="0"/>
          <w:sz w:val="22"/>
        </w:rPr>
        <w:t>Issue 3: Whether NMC must adopt competency/assessment-based approach rather than mechanistic hour-counting.</w:t>
      </w:r>
    </w:p>
    <w:p>
      <w:pPr>
        <w:pStyle w:val="Heading3"/>
      </w:pPr>
      <w:r>
        <w:t>GROUNDS / ARGUMENTS</w:t>
      </w:r>
    </w:p>
    <w:p>
      <w:r>
        <w:rPr>
          <w:rFonts w:ascii="Times New Roman" w:hAnsi="Times New Roman"/>
          <w:b/>
          <w:i w:val="0"/>
          <w:sz w:val="22"/>
        </w:rPr>
        <w:t>A. Right to practice profession under Article 19(1)(g)</w:t>
      </w:r>
    </w:p>
    <w:p>
      <w:r>
        <w:rPr>
          <w:rFonts w:ascii="Times New Roman" w:hAnsi="Times New Roman"/>
          <w:b w:val="0"/>
          <w:i w:val="0"/>
          <w:sz w:val="22"/>
        </w:rPr>
        <w:t>8. Right to practice a profession is protected; arbitrary denial without meaningful assessment infringes this right.</w:t>
      </w:r>
    </w:p>
    <w:p>
      <w:r>
        <w:rPr>
          <w:rFonts w:ascii="Times New Roman" w:hAnsi="Times New Roman"/>
          <w:b w:val="0"/>
          <w:i w:val="0"/>
          <w:sz w:val="22"/>
        </w:rPr>
        <w:t>9. The petitioner has demonstrated competence through certification, supervised training, and references.</w:t>
      </w:r>
    </w:p>
    <w:p>
      <w:r>
        <w:rPr>
          <w:rFonts w:ascii="Times New Roman" w:hAnsi="Times New Roman"/>
          <w:b/>
          <w:i w:val="0"/>
          <w:sz w:val="22"/>
        </w:rPr>
        <w:t>B. Legitimate expectation and inconsistent administration</w:t>
      </w:r>
    </w:p>
    <w:p>
      <w:r>
        <w:rPr>
          <w:rFonts w:ascii="Times New Roman" w:hAnsi="Times New Roman"/>
          <w:b w:val="0"/>
          <w:i w:val="0"/>
          <w:sz w:val="22"/>
        </w:rPr>
        <w:t>10. NMC's prior acceptance of applicants from the same institution creates legitimate expectation; sudden reversal without reasons is arbitrary.</w:t>
      </w:r>
    </w:p>
    <w:p>
      <w:r>
        <w:rPr>
          <w:rFonts w:ascii="Times New Roman" w:hAnsi="Times New Roman"/>
          <w:b w:val="0"/>
          <w:i w:val="0"/>
          <w:sz w:val="22"/>
        </w:rPr>
        <w:t>11. Principles in G. R. Gandhi v. Union of India (illustrative) suggest administrative consistency is essential.</w:t>
      </w:r>
    </w:p>
    <w:p>
      <w:r>
        <w:rPr>
          <w:rFonts w:ascii="Times New Roman" w:hAnsi="Times New Roman"/>
          <w:b/>
          <w:i w:val="0"/>
          <w:sz w:val="22"/>
        </w:rPr>
        <w:t>C. Need for competence-based assessment</w:t>
      </w:r>
    </w:p>
    <w:p>
      <w:r>
        <w:rPr>
          <w:rFonts w:ascii="Times New Roman" w:hAnsi="Times New Roman"/>
          <w:b w:val="0"/>
          <w:i w:val="0"/>
          <w:sz w:val="22"/>
        </w:rPr>
        <w:t>12. International best practices favour competency-based recognition; NMC’s approach should include viva voce or supervised clinical assessment as appropriate.</w:t>
      </w:r>
    </w:p>
    <w:p>
      <w:r>
        <w:rPr>
          <w:rFonts w:ascii="Times New Roman" w:hAnsi="Times New Roman"/>
          <w:b w:val="0"/>
          <w:i w:val="0"/>
          <w:sz w:val="22"/>
        </w:rPr>
        <w:t>13. Denial based purely on 'hours' ignores qualitative parity.</w:t>
      </w:r>
    </w:p>
    <w:p>
      <w:pPr>
        <w:pStyle w:val="Heading3"/>
      </w:pPr>
      <w:r>
        <w:t>STATUTES, RULES AND AUTHORITIES RELIED UPON</w:t>
      </w:r>
    </w:p>
    <w:p>
      <w:r>
        <w:rPr>
          <w:rFonts w:ascii="Times New Roman" w:hAnsi="Times New Roman"/>
          <w:b w:val="0"/>
          <w:i w:val="0"/>
          <w:sz w:val="22"/>
        </w:rPr>
        <w:t>- Constitution of India Articles 14, 19(1)(g) and 21</w:t>
      </w:r>
    </w:p>
    <w:p>
      <w:r>
        <w:rPr>
          <w:rFonts w:ascii="Times New Roman" w:hAnsi="Times New Roman"/>
          <w:b w:val="0"/>
          <w:i w:val="0"/>
          <w:sz w:val="22"/>
        </w:rPr>
        <w:t>- National Medical Commission Act, 2019 and Regulations on Recognition of Foreign Medical Qualifications</w:t>
      </w:r>
    </w:p>
    <w:p>
      <w:r>
        <w:rPr>
          <w:rFonts w:ascii="Times New Roman" w:hAnsi="Times New Roman"/>
          <w:b w:val="0"/>
          <w:i w:val="0"/>
          <w:sz w:val="22"/>
        </w:rPr>
        <w:t>- WHO World Directory of Medical Schools (for institutional recognition)</w:t>
      </w:r>
    </w:p>
    <w:p>
      <w:pPr>
        <w:pStyle w:val="Heading3"/>
      </w:pPr>
      <w:r>
        <w:t>RELIEFS PRAYED FOR</w:t>
      </w:r>
    </w:p>
    <w:p>
      <w:r>
        <w:rPr>
          <w:rFonts w:ascii="Times New Roman" w:hAnsi="Times New Roman"/>
          <w:b w:val="0"/>
          <w:i w:val="0"/>
          <w:sz w:val="22"/>
        </w:rPr>
        <w:t>A writ quashing NMC order dated 11-01-2025.</w:t>
      </w:r>
    </w:p>
    <w:p>
      <w:r>
        <w:rPr>
          <w:rFonts w:ascii="Times New Roman" w:hAnsi="Times New Roman"/>
          <w:b w:val="0"/>
          <w:i w:val="0"/>
          <w:sz w:val="22"/>
        </w:rPr>
        <w:t>A writ directing NMC to grant provisional registration or an opportunity for competency assessment within 6 weeks.</w:t>
      </w:r>
    </w:p>
    <w:p>
      <w:r>
        <w:rPr>
          <w:rFonts w:ascii="Times New Roman" w:hAnsi="Times New Roman"/>
          <w:b w:val="0"/>
          <w:i w:val="0"/>
          <w:sz w:val="22"/>
        </w:rPr>
        <w:t>Directions to NMC to adopt transparent competency-based guidelines for equivalence decisions.</w:t>
      </w:r>
    </w:p>
    <w:p>
      <w:pPr>
        <w:pStyle w:val="Heading3"/>
      </w:pPr>
      <w:r>
        <w:t>INTERIM PRAYER</w:t>
      </w:r>
    </w:p>
    <w:p>
      <w:r>
        <w:rPr>
          <w:rFonts w:ascii="Times New Roman" w:hAnsi="Times New Roman"/>
          <w:b w:val="0"/>
          <w:i w:val="0"/>
          <w:sz w:val="22"/>
        </w:rPr>
        <w:t>Grant provisional registration for purpose of supervised clinical practice in a recognized teaching hospital pending final decision.</w:t>
      </w:r>
    </w:p>
    <w:p>
      <w:pPr>
        <w:pStyle w:val="Heading3"/>
      </w:pPr>
      <w:r>
        <w:t>VERIFICATION</w:t>
      </w:r>
    </w:p>
    <w:p>
      <w:r>
        <w:rPr>
          <w:rFonts w:ascii="Times New Roman" w:hAnsi="Times New Roman"/>
          <w:b w:val="0"/>
          <w:i w:val="0"/>
          <w:sz w:val="22"/>
        </w:rPr>
        <w:t>I, Dr. Anand Prakash, the Petitioner above named, do hereby verify that the contents of paragraphs 1 to 11 are true to my knowledge and belief and that I believe them to be true and correct.</w:t>
      </w:r>
    </w:p>
    <w:p>
      <w:r>
        <w:rPr>
          <w:rFonts w:ascii="Times New Roman" w:hAnsi="Times New Roman"/>
          <w:b w:val="0"/>
          <w:i w:val="0"/>
          <w:sz w:val="22"/>
        </w:rPr>
        <w:br/>
        <w:t>Filed by:</w:t>
        <w:br/>
        <w:t>Advocate-on-Record for the Petitioner</w:t>
        <w:br/>
        <w:t>[Name of AOR]</w:t>
        <w:br/>
        <w:t>Chamber: Supreme Court, New Delhi</w:t>
        <w:br/>
        <w:t>Date: October 23, 2025</w:t>
        <w:br/>
        <w:t>Place: New Delhi</w:t>
      </w:r>
    </w:p>
    <w:p>
      <w:pPr>
        <w:pStyle w:val="Heading3"/>
      </w:pPr>
      <w:r>
        <w:t>LIST OF ANNEXURES</w:t>
      </w:r>
    </w:p>
    <w:p>
      <w:r>
        <w:rPr>
          <w:rFonts w:ascii="Times New Roman" w:hAnsi="Times New Roman"/>
          <w:b w:val="0"/>
          <w:i w:val="0"/>
          <w:sz w:val="22"/>
        </w:rPr>
        <w:t>Annexure A1: Degree certificate and transcript from University of Colombo.</w:t>
      </w:r>
    </w:p>
    <w:p>
      <w:r>
        <w:rPr>
          <w:rFonts w:ascii="Times New Roman" w:hAnsi="Times New Roman"/>
          <w:b w:val="0"/>
          <w:i w:val="0"/>
          <w:sz w:val="22"/>
        </w:rPr>
        <w:t>Annexure A2: NMC rejection order dated 11-01-2025.</w:t>
      </w:r>
    </w:p>
    <w:p>
      <w:r>
        <w:rPr>
          <w:rFonts w:ascii="Times New Roman" w:hAnsi="Times New Roman"/>
          <w:b w:val="0"/>
          <w:i w:val="0"/>
          <w:sz w:val="22"/>
        </w:rPr>
        <w:t>Annexure A3: Comparative syllabus and competency matrix submitted to NMC.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