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SUPREME COURT OF INDIA</w:t>
      </w:r>
    </w:p>
    <w:p>
      <w:r>
        <w:rPr>
          <w:rFonts w:ascii="Times New Roman" w:hAnsi="Times New Roman"/>
          <w:b/>
          <w:i w:val="0"/>
          <w:sz w:val="22"/>
        </w:rPr>
        <w:t>CIVIL ORIGINAL JURISDICTION</w:t>
        <w:br/>
      </w:r>
    </w:p>
    <w:p>
      <w:pPr>
        <w:pStyle w:val="Heading2"/>
      </w:pPr>
      <w:r>
        <w:t>Kavitha Reddy v. State of Telangana</w:t>
      </w:r>
    </w:p>
    <w:p>
      <w:r>
        <w:rPr>
          <w:rFonts w:ascii="Times New Roman" w:hAnsi="Times New Roman"/>
          <w:b w:val="0"/>
          <w:i w:val="0"/>
          <w:sz w:val="22"/>
        </w:rPr>
        <w:t>Writ Petition (Civil) No. ___ of 2025</w:t>
        <w:br/>
      </w:r>
    </w:p>
    <w:p>
      <w:r>
        <w:rPr>
          <w:rFonts w:ascii="Times New Roman" w:hAnsi="Times New Roman"/>
          <w:b w:val="0"/>
          <w:i w:val="0"/>
          <w:sz w:val="22"/>
        </w:rPr>
        <w:t>Kavitha Reddy</w:t>
        <w:br/>
        <w:t>(Appellant/Petitioner)</w:t>
        <w:br/>
        <w:t xml:space="preserve">  … Petitioner</w:t>
        <w:br/>
        <w:br/>
        <w:t>VERSUS</w:t>
        <w:br/>
        <w:br/>
        <w:t>State of Telangana</w:t>
        <w:br/>
        <w:t>(Respondent)</w:t>
        <w:br/>
        <w:t xml:space="preserve">  … Respondents</w:t>
        <w:br/>
      </w:r>
    </w:p>
    <w:p>
      <w:pPr>
        <w:pStyle w:val="Heading2"/>
      </w:pPr>
      <w:r>
        <w:t>PETITION UNDER ARTICLE 32 OF THE CONSTITUTION OF INDIA</w:t>
      </w:r>
    </w:p>
    <w:p>
      <w:pPr>
        <w:pStyle w:val="Heading3"/>
      </w:pPr>
      <w:r>
        <w:t>SYNOPSIS AND LIST OF DATES</w:t>
      </w:r>
    </w:p>
    <w:p>
      <w:r>
        <w:rPr>
          <w:rFonts w:ascii="Times New Roman" w:hAnsi="Times New Roman"/>
          <w:b w:val="0"/>
          <w:i w:val="0"/>
          <w:sz w:val="22"/>
        </w:rPr>
        <w:t>Appeal challenging conviction under NDPS Act arising from seizure and charges of largequantity cannabis. The petition contends gross procedural lapses: failure to follow Sections 42, 50, 52A NDPS Act and Standing Order No.1/89, including improper seizure memo, lack of independent witness at seizure, and failure to maintain chain of custody.</w:t>
      </w:r>
    </w:p>
    <w:p>
      <w:r>
        <w:rPr>
          <w:rFonts w:ascii="Times New Roman" w:hAnsi="Times New Roman"/>
          <w:b w:val="0"/>
          <w:i w:val="0"/>
          <w:sz w:val="22"/>
        </w:rPr>
        <w:br/>
        <w:t>Important dates:</w:t>
      </w:r>
    </w:p>
    <w:p>
      <w:r>
        <w:rPr>
          <w:rFonts w:ascii="Times New Roman" w:hAnsi="Times New Roman"/>
          <w:b w:val="0"/>
          <w:i w:val="0"/>
          <w:sz w:val="22"/>
        </w:rPr>
        <w:t>18-06-2010 — Date of alleged seizure per trial record (historical fictionalized date).</w:t>
      </w:r>
    </w:p>
    <w:p>
      <w:r>
        <w:rPr>
          <w:rFonts w:ascii="Times New Roman" w:hAnsi="Times New Roman"/>
          <w:b w:val="0"/>
          <w:i w:val="0"/>
          <w:sz w:val="22"/>
        </w:rPr>
        <w:t>03-07-2010 — Contraband produced before Magistrate; trial commenced subsequently.</w:t>
      </w:r>
    </w:p>
    <w:p>
      <w:r>
        <w:rPr>
          <w:rFonts w:ascii="Times New Roman" w:hAnsi="Times New Roman"/>
          <w:b w:val="0"/>
          <w:i w:val="0"/>
          <w:sz w:val="22"/>
        </w:rPr>
        <w:t>17-09-2012 — Trial court convicts petitioners; appeals ensued.</w:t>
      </w:r>
    </w:p>
    <w:p>
      <w:r>
        <w:rPr>
          <w:rFonts w:ascii="Times New Roman" w:hAnsi="Times New Roman"/>
          <w:b w:val="0"/>
          <w:i w:val="0"/>
          <w:sz w:val="22"/>
        </w:rPr>
        <w:t>27-06-2014 — High Court partly modifies but maintains convictions.</w:t>
      </w:r>
    </w:p>
    <w:p>
      <w:r>
        <w:rPr>
          <w:rFonts w:ascii="Times New Roman" w:hAnsi="Times New Roman"/>
          <w:b w:val="0"/>
          <w:i w:val="0"/>
          <w:sz w:val="22"/>
        </w:rPr>
        <w:t>01-03-2025 — Special leave petition preferred to Supreme Court.</w:t>
      </w:r>
    </w:p>
    <w:p>
      <w:pPr>
        <w:pStyle w:val="Heading3"/>
      </w:pPr>
      <w:r>
        <w:t>FACTS OF THE CASE</w:t>
      </w:r>
    </w:p>
    <w:p>
      <w:r>
        <w:rPr>
          <w:rFonts w:ascii="Times New Roman" w:hAnsi="Times New Roman"/>
          <w:b w:val="0"/>
          <w:i w:val="0"/>
          <w:sz w:val="22"/>
        </w:rPr>
        <w:t>1. The appellant/petitioner was charged under Section 20(b)(ii) of the NDPS Act for trafficking large quantities of ganja recovered by local police.</w:t>
      </w:r>
    </w:p>
    <w:p>
      <w:r>
        <w:rPr>
          <w:rFonts w:ascii="Times New Roman" w:hAnsi="Times New Roman"/>
          <w:b w:val="0"/>
          <w:i w:val="0"/>
          <w:sz w:val="22"/>
        </w:rPr>
        <w:t>2. The prosecution case relies on seizure memo prepared at police station without independent witness and samples drawn in contravention of Standing Order No.1/89.</w:t>
      </w:r>
    </w:p>
    <w:p>
      <w:r>
        <w:rPr>
          <w:rFonts w:ascii="Times New Roman" w:hAnsi="Times New Roman"/>
          <w:b w:val="0"/>
          <w:i w:val="0"/>
          <w:sz w:val="22"/>
        </w:rPr>
        <w:t>3. Sessions Judge recorded procedural lapses but concluded on the basis of oral evidence that guilt was proved; High Court affirmed without reappreciation.</w:t>
      </w:r>
    </w:p>
    <w:p>
      <w:r>
        <w:rPr>
          <w:rFonts w:ascii="Times New Roman" w:hAnsi="Times New Roman"/>
          <w:b w:val="0"/>
          <w:i w:val="0"/>
          <w:sz w:val="22"/>
        </w:rPr>
        <w:t>4. There is demonstrable failure to maintain chain of custody, and possibility of tampering exists which law requires to be resolved in favour of accused.</w:t>
      </w:r>
    </w:p>
    <w:p>
      <w:pPr>
        <w:pStyle w:val="Heading3"/>
      </w:pPr>
      <w:r>
        <w:t>PROCEDURAL HISTORY</w:t>
      </w:r>
    </w:p>
    <w:p>
      <w:r>
        <w:rPr>
          <w:rFonts w:ascii="Times New Roman" w:hAnsi="Times New Roman"/>
          <w:b w:val="0"/>
          <w:i w:val="0"/>
          <w:sz w:val="22"/>
        </w:rPr>
        <w:t>5. Several witnesses were examined by the prosecution whose testimonies are inconsistent on material aspects such as time, place and presence of independent witnesses.</w:t>
      </w:r>
    </w:p>
    <w:p>
      <w:r>
        <w:rPr>
          <w:rFonts w:ascii="Times New Roman" w:hAnsi="Times New Roman"/>
          <w:b w:val="0"/>
          <w:i w:val="0"/>
          <w:sz w:val="22"/>
        </w:rPr>
        <w:t>6. The appellate review by the High Court was cursory and failed to apply the principle that substantial compliance is distinct from mandatory compliance in statutory safeguards.</w:t>
      </w:r>
    </w:p>
    <w:p>
      <w:pPr>
        <w:pStyle w:val="Heading3"/>
      </w:pPr>
      <w:r>
        <w:t>ISSUES FOR CONSIDERATION</w:t>
      </w:r>
    </w:p>
    <w:p>
      <w:r>
        <w:rPr>
          <w:rFonts w:ascii="Times New Roman" w:hAnsi="Times New Roman"/>
          <w:b w:val="0"/>
          <w:i w:val="0"/>
          <w:sz w:val="22"/>
        </w:rPr>
        <w:t>Issue 1: Whether non-compliance with mandatory NDPS safeguards vitiates conviction where possibility of tampering or contamination exists.</w:t>
      </w:r>
    </w:p>
    <w:p>
      <w:r>
        <w:rPr>
          <w:rFonts w:ascii="Times New Roman" w:hAnsi="Times New Roman"/>
          <w:b w:val="0"/>
          <w:i w:val="0"/>
          <w:sz w:val="22"/>
        </w:rPr>
        <w:t>Issue 2: Whether the High Court erred in not reappreciating evidence and mitigating procedural lacunae.</w:t>
      </w:r>
    </w:p>
    <w:p>
      <w:pPr>
        <w:pStyle w:val="Heading3"/>
      </w:pPr>
      <w:r>
        <w:t>GROUNDS / ARGUMENTS</w:t>
      </w:r>
    </w:p>
    <w:p>
      <w:r>
        <w:rPr>
          <w:rFonts w:ascii="Times New Roman" w:hAnsi="Times New Roman"/>
          <w:b/>
          <w:i w:val="0"/>
          <w:sz w:val="22"/>
        </w:rPr>
        <w:t>A. Statutory safeguards are mandatory and designed to prevent abuse</w:t>
      </w:r>
    </w:p>
    <w:p>
      <w:r>
        <w:rPr>
          <w:rFonts w:ascii="Times New Roman" w:hAnsi="Times New Roman"/>
          <w:b w:val="0"/>
          <w:i w:val="0"/>
          <w:sz w:val="22"/>
        </w:rPr>
        <w:t>7. Sections 42, 50, and 52A of NDPS impose strict procedures for arrest, seizure, sampling and storage to ensure reliability of evidentiary material.</w:t>
      </w:r>
    </w:p>
    <w:p>
      <w:r>
        <w:rPr>
          <w:rFonts w:ascii="Times New Roman" w:hAnsi="Times New Roman"/>
          <w:b w:val="0"/>
          <w:i w:val="0"/>
          <w:sz w:val="22"/>
        </w:rPr>
        <w:t>8. Standing Order No.1/89 provides protocols for chain of custody; violation undermines prosecution's case.</w:t>
      </w:r>
    </w:p>
    <w:p>
      <w:r>
        <w:rPr>
          <w:rFonts w:ascii="Times New Roman" w:hAnsi="Times New Roman"/>
          <w:b/>
          <w:i w:val="0"/>
          <w:sz w:val="22"/>
        </w:rPr>
        <w:t>B. Beneficial principle of requiring strict compliance</w:t>
      </w:r>
    </w:p>
    <w:p>
      <w:r>
        <w:rPr>
          <w:rFonts w:ascii="Times New Roman" w:hAnsi="Times New Roman"/>
          <w:b w:val="0"/>
          <w:i w:val="0"/>
          <w:sz w:val="22"/>
        </w:rPr>
        <w:t>9. Given the severe penal consequences, courts must insist on strict compliance or otherwise exclude tainted evidence.</w:t>
      </w:r>
    </w:p>
    <w:p>
      <w:r>
        <w:rPr>
          <w:rFonts w:ascii="Times New Roman" w:hAnsi="Times New Roman"/>
          <w:b w:val="0"/>
          <w:i w:val="0"/>
          <w:sz w:val="22"/>
        </w:rPr>
        <w:t>10. Acquittal is warranted where the procedural lapses are such that confidence in the evidence is eroded.</w:t>
      </w:r>
    </w:p>
    <w:p>
      <w:pPr>
        <w:pStyle w:val="Heading3"/>
      </w:pPr>
      <w:r>
        <w:t>STATUTES, RULES AND AUTHORITIES RELIED UPON</w:t>
      </w:r>
    </w:p>
    <w:p>
      <w:r>
        <w:rPr>
          <w:rFonts w:ascii="Times New Roman" w:hAnsi="Times New Roman"/>
          <w:b w:val="0"/>
          <w:i w:val="0"/>
          <w:sz w:val="22"/>
        </w:rPr>
        <w:t>- Narcotic Drugs and Psychotropic Substances Act, 1985 Sections 20, 42, 50, 52A</w:t>
      </w:r>
    </w:p>
    <w:p>
      <w:r>
        <w:rPr>
          <w:rFonts w:ascii="Times New Roman" w:hAnsi="Times New Roman"/>
          <w:b w:val="0"/>
          <w:i w:val="0"/>
          <w:sz w:val="22"/>
        </w:rPr>
        <w:t>- Standing Order No.1/1989 (on sampling &amp; storage)</w:t>
      </w:r>
    </w:p>
    <w:p>
      <w:r>
        <w:rPr>
          <w:rFonts w:ascii="Times New Roman" w:hAnsi="Times New Roman"/>
          <w:b w:val="0"/>
          <w:i w:val="0"/>
          <w:sz w:val="22"/>
        </w:rPr>
        <w:t>- Constitution of India Article 21 (right to fair trial)</w:t>
      </w:r>
    </w:p>
    <w:p>
      <w:pPr>
        <w:pStyle w:val="Heading3"/>
      </w:pPr>
      <w:r>
        <w:t>RELIEFS PRAYED FOR</w:t>
      </w:r>
    </w:p>
    <w:p>
      <w:r>
        <w:rPr>
          <w:rFonts w:ascii="Times New Roman" w:hAnsi="Times New Roman"/>
          <w:b w:val="0"/>
          <w:i w:val="0"/>
          <w:sz w:val="22"/>
        </w:rPr>
        <w:t>Set aside conviction and sentence and acquit the appellant.</w:t>
      </w:r>
    </w:p>
    <w:p>
      <w:r>
        <w:rPr>
          <w:rFonts w:ascii="Times New Roman" w:hAnsi="Times New Roman"/>
          <w:b w:val="0"/>
          <w:i w:val="0"/>
          <w:sz w:val="22"/>
        </w:rPr>
        <w:t>Alternatively, order retrial with direction that contaminated/tainted evidence be excluded.</w:t>
      </w:r>
    </w:p>
    <w:p>
      <w:r>
        <w:rPr>
          <w:rFonts w:ascii="Times New Roman" w:hAnsi="Times New Roman"/>
          <w:b w:val="0"/>
          <w:i w:val="0"/>
          <w:sz w:val="22"/>
        </w:rPr>
        <w:t>Grant cost and such relief as deemed fit.</w:t>
      </w:r>
    </w:p>
    <w:p>
      <w:pPr>
        <w:pStyle w:val="Heading3"/>
      </w:pPr>
      <w:r>
        <w:t>INTERIM PRAYER</w:t>
      </w:r>
    </w:p>
    <w:p>
      <w:r>
        <w:rPr>
          <w:rFonts w:ascii="Times New Roman" w:hAnsi="Times New Roman"/>
          <w:b w:val="0"/>
          <w:i w:val="0"/>
          <w:sz w:val="22"/>
        </w:rPr>
        <w:t>Stay sentence and order release on bail pending final disposal.</w:t>
      </w:r>
    </w:p>
    <w:p>
      <w:r>
        <w:rPr>
          <w:rFonts w:ascii="Times New Roman" w:hAnsi="Times New Roman"/>
          <w:b w:val="0"/>
          <w:i w:val="0"/>
          <w:sz w:val="22"/>
        </w:rPr>
        <w:t>Direct preservation of all seized material under court supervision.</w:t>
      </w:r>
    </w:p>
    <w:p>
      <w:pPr>
        <w:pStyle w:val="Heading3"/>
      </w:pPr>
      <w:r>
        <w:t>VERIFICATION</w:t>
      </w:r>
    </w:p>
    <w:p>
      <w:r>
        <w:rPr>
          <w:rFonts w:ascii="Times New Roman" w:hAnsi="Times New Roman"/>
          <w:b w:val="0"/>
          <w:i w:val="0"/>
          <w:sz w:val="22"/>
        </w:rPr>
        <w:t>I, Kavitha Reddy, the Petitioner above named, do hereby verify that the contents of paragraphs 1 to 8 are true to my knowledge and belief and that I believe them to be true and correct.</w:t>
      </w:r>
    </w:p>
    <w:p>
      <w:r>
        <w:rPr>
          <w:rFonts w:ascii="Times New Roman" w:hAnsi="Times New Roman"/>
          <w:b w:val="0"/>
          <w:i w:val="0"/>
          <w:sz w:val="22"/>
        </w:rPr>
        <w:br/>
        <w:t>Filed by:</w:t>
        <w:br/>
        <w:t>Advocate-on-Record for the Petitioner</w:t>
        <w:br/>
        <w:t>[Name of AOR]</w:t>
        <w:br/>
        <w:t>Chamber: Supreme Court, New Delhi</w:t>
        <w:br/>
        <w:t>Date: October 23, 2025</w:t>
        <w:br/>
        <w:t>Place: New Delhi</w:t>
      </w:r>
    </w:p>
    <w:p>
      <w:pPr>
        <w:pStyle w:val="Heading3"/>
      </w:pPr>
      <w:r>
        <w:t>LIST OF ANNEXURES</w:t>
      </w:r>
    </w:p>
    <w:p>
      <w:r>
        <w:rPr>
          <w:rFonts w:ascii="Times New Roman" w:hAnsi="Times New Roman"/>
          <w:b w:val="0"/>
          <w:i w:val="0"/>
          <w:sz w:val="22"/>
        </w:rPr>
        <w:t>Annexure A1: Trial court judgment and order.</w:t>
      </w:r>
    </w:p>
    <w:p>
      <w:r>
        <w:rPr>
          <w:rFonts w:ascii="Times New Roman" w:hAnsi="Times New Roman"/>
          <w:b w:val="0"/>
          <w:i w:val="0"/>
          <w:sz w:val="22"/>
        </w:rPr>
        <w:t>Annexure A2: High Court judgment affirming conviction.</w:t>
      </w:r>
    </w:p>
    <w:p>
      <w:r>
        <w:rPr>
          <w:rFonts w:ascii="Times New Roman" w:hAnsi="Times New Roman"/>
          <w:b w:val="0"/>
          <w:i w:val="0"/>
          <w:sz w:val="22"/>
        </w:rPr>
        <w:t>Annexure A3: Seizure memo and sample report (excerpts) showing procedural anomalies.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