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THE SUPREME COURT OF INDIA</w:t>
      </w:r>
    </w:p>
    <w:p>
      <w:r>
        <w:rPr>
          <w:rFonts w:ascii="Times New Roman" w:hAnsi="Times New Roman"/>
          <w:b/>
          <w:i w:val="0"/>
          <w:sz w:val="22"/>
        </w:rPr>
        <w:t>CIVIL ORIGINAL JURISDICTION</w:t>
        <w:br/>
      </w:r>
    </w:p>
    <w:p>
      <w:pPr>
        <w:pStyle w:val="Heading2"/>
      </w:pPr>
      <w:r>
        <w:t>New Tech Motors Pvt. Ltd. v. Commissioner of Income Tax</w:t>
      </w:r>
    </w:p>
    <w:p>
      <w:r>
        <w:rPr>
          <w:rFonts w:ascii="Times New Roman" w:hAnsi="Times New Roman"/>
          <w:b w:val="0"/>
          <w:i w:val="0"/>
          <w:sz w:val="22"/>
        </w:rPr>
        <w:t>Writ Petition (Civil) No. ___ of 2025</w:t>
        <w:br/>
      </w:r>
    </w:p>
    <w:p>
      <w:r>
        <w:rPr>
          <w:rFonts w:ascii="Times New Roman" w:hAnsi="Times New Roman"/>
          <w:b w:val="0"/>
          <w:i w:val="0"/>
          <w:sz w:val="22"/>
        </w:rPr>
        <w:t>New Tech Motors Pvt. Ltd.</w:t>
        <w:br/>
        <w:t>(Petitioner)</w:t>
        <w:br/>
        <w:t xml:space="preserve">  … Petitioner</w:t>
        <w:br/>
        <w:br/>
        <w:t>VERSUS</w:t>
        <w:br/>
        <w:br/>
        <w:t>Commissioner of Income Tax</w:t>
        <w:br/>
        <w:t>(Respondent)</w:t>
        <w:br/>
        <w:t xml:space="preserve">  … Respondents</w:t>
        <w:br/>
      </w:r>
    </w:p>
    <w:p>
      <w:pPr>
        <w:pStyle w:val="Heading2"/>
      </w:pPr>
      <w:r>
        <w:t>PETITION UNDER ARTICLE 32 OF THE CONSTITUTION OF INDIA</w:t>
      </w:r>
    </w:p>
    <w:p>
      <w:pPr>
        <w:pStyle w:val="Heading3"/>
      </w:pPr>
      <w:r>
        <w:t>SYNOPSIS AND LIST OF DATES</w:t>
      </w:r>
    </w:p>
    <w:p>
      <w:r>
        <w:rPr>
          <w:rFonts w:ascii="Times New Roman" w:hAnsi="Times New Roman"/>
          <w:b w:val="0"/>
          <w:i w:val="0"/>
          <w:sz w:val="22"/>
        </w:rPr>
        <w:t>Appeal under Article 136 challenging ITAT order disallowing depreciation claimed by the company after bona fide revaluation of imported plant &amp; machinery due to foreign exchange fluctuations; contention that Assessing Officer misapplied provisions of Income Tax Act and overlooked accounting standards and CBDT guidance.</w:t>
      </w:r>
    </w:p>
    <w:p>
      <w:r>
        <w:rPr>
          <w:rFonts w:ascii="Times New Roman" w:hAnsi="Times New Roman"/>
          <w:b w:val="0"/>
          <w:i w:val="0"/>
          <w:sz w:val="22"/>
        </w:rPr>
        <w:br/>
        <w:t>Important dates:</w:t>
      </w:r>
    </w:p>
    <w:p>
      <w:r>
        <w:rPr>
          <w:rFonts w:ascii="Times New Roman" w:hAnsi="Times New Roman"/>
          <w:b w:val="0"/>
          <w:i w:val="0"/>
          <w:sz w:val="22"/>
        </w:rPr>
        <w:t>01-04-2016 — Company acquires imported machinery; initial capitalized cost recorded.</w:t>
      </w:r>
    </w:p>
    <w:p>
      <w:r>
        <w:rPr>
          <w:rFonts w:ascii="Times New Roman" w:hAnsi="Times New Roman"/>
          <w:b w:val="0"/>
          <w:i w:val="0"/>
          <w:sz w:val="22"/>
        </w:rPr>
        <w:t>31-03-2020 — Company revalues machinery in books following ICAI guidance owing to major forex depreciation.</w:t>
      </w:r>
    </w:p>
    <w:p>
      <w:r>
        <w:rPr>
          <w:rFonts w:ascii="Times New Roman" w:hAnsi="Times New Roman"/>
          <w:b w:val="0"/>
          <w:i w:val="0"/>
          <w:sz w:val="22"/>
        </w:rPr>
        <w:t>15-10-2021 — Assessment completed; AO disallows additional depreciation claimed for revaluation.</w:t>
      </w:r>
    </w:p>
    <w:p>
      <w:r>
        <w:rPr>
          <w:rFonts w:ascii="Times New Roman" w:hAnsi="Times New Roman"/>
          <w:b w:val="0"/>
          <w:i w:val="0"/>
          <w:sz w:val="22"/>
        </w:rPr>
        <w:t>12-07-2023 — ITAT upholds AO's order; company files SLP to Supreme Court.</w:t>
      </w:r>
    </w:p>
    <w:p>
      <w:pPr>
        <w:pStyle w:val="Heading3"/>
      </w:pPr>
      <w:r>
        <w:t>FACTS OF THE CASE</w:t>
      </w:r>
    </w:p>
    <w:p>
      <w:r>
        <w:rPr>
          <w:rFonts w:ascii="Times New Roman" w:hAnsi="Times New Roman"/>
          <w:b w:val="0"/>
          <w:i w:val="0"/>
          <w:sz w:val="22"/>
        </w:rPr>
        <w:t>1. New Tech Motors Pvt. Ltd. imported specialized manufacturing machinery in 2016 and capitalized it in INR equivalent at transaction date.</w:t>
      </w:r>
    </w:p>
    <w:p>
      <w:r>
        <w:rPr>
          <w:rFonts w:ascii="Times New Roman" w:hAnsi="Times New Roman"/>
          <w:b w:val="0"/>
          <w:i w:val="0"/>
          <w:sz w:val="22"/>
        </w:rPr>
        <w:t>2. Due to exceptional forex fluctuations and to reflect true and fair value in financial statements, the company, following accounting standards and disclosure norms, revalued the asset in 2020 and claimed depreciation on revalued amount.</w:t>
      </w:r>
    </w:p>
    <w:p>
      <w:r>
        <w:rPr>
          <w:rFonts w:ascii="Times New Roman" w:hAnsi="Times New Roman"/>
          <w:b w:val="0"/>
          <w:i w:val="0"/>
          <w:sz w:val="22"/>
        </w:rPr>
        <w:t>3. The AO and subsequently ITAT disallowed depreciation on revaluation contending that revaluation is not 'actual cost' under Section 43(1) read with Sections 32 and 50.</w:t>
      </w:r>
    </w:p>
    <w:p>
      <w:r>
        <w:rPr>
          <w:rFonts w:ascii="Times New Roman" w:hAnsi="Times New Roman"/>
          <w:b w:val="0"/>
          <w:i w:val="0"/>
          <w:sz w:val="22"/>
        </w:rPr>
        <w:t>4. The company contends that revaluation was bona fide, done in accordance with law, and that revenue authorities misapplied precedent and ignored relevant CBDT circulars allowing tax recognition of certain revaluations done for commercial reasons.</w:t>
      </w:r>
    </w:p>
    <w:p>
      <w:pPr>
        <w:pStyle w:val="Heading3"/>
      </w:pPr>
      <w:r>
        <w:t>PROCEDURAL HISTORY</w:t>
      </w:r>
    </w:p>
    <w:p>
      <w:r>
        <w:rPr>
          <w:rFonts w:ascii="Times New Roman" w:hAnsi="Times New Roman"/>
          <w:b w:val="0"/>
          <w:i w:val="0"/>
          <w:sz w:val="22"/>
        </w:rPr>
        <w:t>5. The company pursued remedies before AO and CIT(A) and appealed to ITAT where facts were accepted but law was applied against the company.</w:t>
      </w:r>
    </w:p>
    <w:p>
      <w:r>
        <w:rPr>
          <w:rFonts w:ascii="Times New Roman" w:hAnsi="Times New Roman"/>
          <w:b w:val="0"/>
          <w:i w:val="0"/>
          <w:sz w:val="22"/>
        </w:rPr>
        <w:t>6. This SLP is filed challenging errors of law and misinterpretation of tax provisions.</w:t>
      </w:r>
    </w:p>
    <w:p>
      <w:pPr>
        <w:pStyle w:val="Heading3"/>
      </w:pPr>
      <w:r>
        <w:t>ISSUES FOR CONSIDERATION</w:t>
      </w:r>
    </w:p>
    <w:p>
      <w:r>
        <w:rPr>
          <w:rFonts w:ascii="Times New Roman" w:hAnsi="Times New Roman"/>
          <w:b w:val="0"/>
          <w:i w:val="0"/>
          <w:sz w:val="22"/>
        </w:rPr>
        <w:t>Issue 1: Whether depreciation on bona fide revaluation of plant &amp; machinery can be claimed for tax purposes where revaluation reflects actual economic value.</w:t>
      </w:r>
    </w:p>
    <w:p>
      <w:r>
        <w:rPr>
          <w:rFonts w:ascii="Times New Roman" w:hAnsi="Times New Roman"/>
          <w:b w:val="0"/>
          <w:i w:val="0"/>
          <w:sz w:val="22"/>
        </w:rPr>
        <w:t>Issue 2: Whether AO and ITAT misapplied Section 43(1) and relevant jurisprudence on 'actual cost' and 'revaluation'.</w:t>
      </w:r>
    </w:p>
    <w:p>
      <w:r>
        <w:rPr>
          <w:rFonts w:ascii="Times New Roman" w:hAnsi="Times New Roman"/>
          <w:b w:val="0"/>
          <w:i w:val="0"/>
          <w:sz w:val="22"/>
        </w:rPr>
        <w:t>Issue 3: Whether rejection constitutes arbitrary taxation violating Article 265 and principles of certainty.</w:t>
      </w:r>
    </w:p>
    <w:p>
      <w:pPr>
        <w:pStyle w:val="Heading3"/>
      </w:pPr>
      <w:r>
        <w:t>GROUNDS / ARGUMENTS</w:t>
      </w:r>
    </w:p>
    <w:p>
      <w:r>
        <w:rPr>
          <w:rFonts w:ascii="Times New Roman" w:hAnsi="Times New Roman"/>
          <w:b/>
          <w:i w:val="0"/>
          <w:sz w:val="22"/>
        </w:rPr>
        <w:t>A. Revaluation and accounting recognition</w:t>
      </w:r>
    </w:p>
    <w:p>
      <w:r>
        <w:rPr>
          <w:rFonts w:ascii="Times New Roman" w:hAnsi="Times New Roman"/>
          <w:b w:val="0"/>
          <w:i w:val="0"/>
          <w:sz w:val="22"/>
        </w:rPr>
        <w:t>7. Accounting revaluation that reflects true and fair value should not be mechanically excluded for tax computation where supported by independent valuation and commercial rationale.</w:t>
      </w:r>
    </w:p>
    <w:p>
      <w:r>
        <w:rPr>
          <w:rFonts w:ascii="Times New Roman" w:hAnsi="Times New Roman"/>
          <w:b w:val="0"/>
          <w:i w:val="0"/>
          <w:sz w:val="22"/>
        </w:rPr>
        <w:t>8. ICAI standards and CBDT circulars provide context for accepting certain revaluation entries for fiscal recognition.</w:t>
      </w:r>
    </w:p>
    <w:p>
      <w:r>
        <w:rPr>
          <w:rFonts w:ascii="Times New Roman" w:hAnsi="Times New Roman"/>
          <w:b/>
          <w:i w:val="0"/>
          <w:sz w:val="22"/>
        </w:rPr>
        <w:t>B. Interpretation of 'actual cost' in Section 43(1)</w:t>
      </w:r>
    </w:p>
    <w:p>
      <w:r>
        <w:rPr>
          <w:rFonts w:ascii="Times New Roman" w:hAnsi="Times New Roman"/>
          <w:b w:val="0"/>
          <w:i w:val="0"/>
          <w:sz w:val="22"/>
        </w:rPr>
        <w:t>9. 'Actual cost' should be interpreted in light of economic reality and consistent judicial interpretations that permit adjustments where bona fide.</w:t>
      </w:r>
    </w:p>
    <w:p>
      <w:r>
        <w:rPr>
          <w:rFonts w:ascii="Times New Roman" w:hAnsi="Times New Roman"/>
          <w:b w:val="0"/>
          <w:i w:val="0"/>
          <w:sz w:val="22"/>
        </w:rPr>
        <w:t>10. The ITAT's narrow construction ignores purposive interpretation required for tax statutes.</w:t>
      </w:r>
    </w:p>
    <w:p>
      <w:r>
        <w:rPr>
          <w:rFonts w:ascii="Times New Roman" w:hAnsi="Times New Roman"/>
          <w:b/>
          <w:i w:val="0"/>
          <w:sz w:val="22"/>
        </w:rPr>
        <w:t>C. Principles of taxation and Article 265</w:t>
      </w:r>
    </w:p>
    <w:p>
      <w:r>
        <w:rPr>
          <w:rFonts w:ascii="Times New Roman" w:hAnsi="Times New Roman"/>
          <w:b w:val="0"/>
          <w:i w:val="0"/>
          <w:sz w:val="22"/>
        </w:rPr>
        <w:t>11. Taxation must be certain and predictable. Penalizing bona fide accounting entries by retroactive reinterpretation offends Article 265 and settled expectations.</w:t>
      </w:r>
    </w:p>
    <w:p>
      <w:pPr>
        <w:pStyle w:val="Heading3"/>
      </w:pPr>
      <w:r>
        <w:t>STATUTES, RULES AND AUTHORITIES RELIED UPON</w:t>
      </w:r>
    </w:p>
    <w:p>
      <w:r>
        <w:rPr>
          <w:rFonts w:ascii="Times New Roman" w:hAnsi="Times New Roman"/>
          <w:b w:val="0"/>
          <w:i w:val="0"/>
          <w:sz w:val="22"/>
        </w:rPr>
        <w:t>- Income Tax Act, 1961 Sections 32, 43(1), 50</w:t>
      </w:r>
    </w:p>
    <w:p>
      <w:r>
        <w:rPr>
          <w:rFonts w:ascii="Times New Roman" w:hAnsi="Times New Roman"/>
          <w:b w:val="0"/>
          <w:i w:val="0"/>
          <w:sz w:val="22"/>
        </w:rPr>
        <w:t>- Constitution of India Article 265</w:t>
      </w:r>
    </w:p>
    <w:p>
      <w:r>
        <w:rPr>
          <w:rFonts w:ascii="Times New Roman" w:hAnsi="Times New Roman"/>
          <w:b w:val="0"/>
          <w:i w:val="0"/>
          <w:sz w:val="22"/>
        </w:rPr>
        <w:t>- Relevant CBDT Circulars and ICAI Accounting Standards (referenced)</w:t>
      </w:r>
    </w:p>
    <w:p>
      <w:pPr>
        <w:pStyle w:val="Heading3"/>
      </w:pPr>
      <w:r>
        <w:t>RELIEFS PRAYED FOR</w:t>
      </w:r>
    </w:p>
    <w:p>
      <w:r>
        <w:rPr>
          <w:rFonts w:ascii="Times New Roman" w:hAnsi="Times New Roman"/>
          <w:b w:val="0"/>
          <w:i w:val="0"/>
          <w:sz w:val="22"/>
        </w:rPr>
        <w:t>Set aside ITAT order and remand for fresh decision allowing depreciation as per revalued asset value.</w:t>
      </w:r>
    </w:p>
    <w:p>
      <w:r>
        <w:rPr>
          <w:rFonts w:ascii="Times New Roman" w:hAnsi="Times New Roman"/>
          <w:b w:val="0"/>
          <w:i w:val="0"/>
          <w:sz w:val="22"/>
        </w:rPr>
        <w:t>Direct refund/credit of excess tax paid along with interest.</w:t>
      </w:r>
    </w:p>
    <w:p>
      <w:r>
        <w:rPr>
          <w:rFonts w:ascii="Times New Roman" w:hAnsi="Times New Roman"/>
          <w:b w:val="0"/>
          <w:i w:val="0"/>
          <w:sz w:val="22"/>
        </w:rPr>
        <w:t>Any other consequential reliefs.</w:t>
      </w:r>
    </w:p>
    <w:p>
      <w:pPr>
        <w:pStyle w:val="Heading3"/>
      </w:pPr>
      <w:r>
        <w:t>INTERIM PRAYER</w:t>
      </w:r>
    </w:p>
    <w:p>
      <w:r>
        <w:rPr>
          <w:rFonts w:ascii="Times New Roman" w:hAnsi="Times New Roman"/>
          <w:b w:val="0"/>
          <w:i w:val="0"/>
          <w:sz w:val="22"/>
        </w:rPr>
        <w:t>Stay of demand and recovery proceedings under Section 220 of IT Act pending final disposal.</w:t>
      </w:r>
    </w:p>
    <w:p>
      <w:r>
        <w:rPr>
          <w:rFonts w:ascii="Times New Roman" w:hAnsi="Times New Roman"/>
          <w:b w:val="0"/>
          <w:i w:val="0"/>
          <w:sz w:val="22"/>
        </w:rPr>
        <w:t>Grant ad-interim relief against attachment of company assets.</w:t>
      </w:r>
    </w:p>
    <w:p>
      <w:pPr>
        <w:pStyle w:val="Heading3"/>
      </w:pPr>
      <w:r>
        <w:t>VERIFICATION</w:t>
      </w:r>
    </w:p>
    <w:p>
      <w:r>
        <w:rPr>
          <w:rFonts w:ascii="Times New Roman" w:hAnsi="Times New Roman"/>
          <w:b w:val="0"/>
          <w:i w:val="0"/>
          <w:sz w:val="22"/>
        </w:rPr>
        <w:t>I, New Tech Motors Pvt. Ltd., the Petitioner above named, do hereby verify that the contents of paragraphs 1 to 10 are true to my knowledge and belief and that I believe them to be true and correct.</w:t>
      </w:r>
    </w:p>
    <w:p>
      <w:r>
        <w:rPr>
          <w:rFonts w:ascii="Times New Roman" w:hAnsi="Times New Roman"/>
          <w:b w:val="0"/>
          <w:i w:val="0"/>
          <w:sz w:val="22"/>
        </w:rPr>
        <w:br/>
        <w:t>Filed by:</w:t>
        <w:br/>
        <w:t>Advocate-on-Record for the Petitioner</w:t>
        <w:br/>
        <w:t>[Name of AOR]</w:t>
        <w:br/>
        <w:t>Chamber: Supreme Court, New Delhi</w:t>
        <w:br/>
        <w:t>Date: October 23, 2025</w:t>
        <w:br/>
        <w:t>Place: New Delhi</w:t>
      </w:r>
    </w:p>
    <w:p>
      <w:pPr>
        <w:pStyle w:val="Heading3"/>
      </w:pPr>
      <w:r>
        <w:t>LIST OF ANNEXURES</w:t>
      </w:r>
    </w:p>
    <w:p>
      <w:r>
        <w:rPr>
          <w:rFonts w:ascii="Times New Roman" w:hAnsi="Times New Roman"/>
          <w:b w:val="0"/>
          <w:i w:val="0"/>
          <w:sz w:val="22"/>
        </w:rPr>
        <w:t>Annexure A1: Company financial statements (2019-2021) showing revaluation entries.</w:t>
      </w:r>
    </w:p>
    <w:p>
      <w:r>
        <w:rPr>
          <w:rFonts w:ascii="Times New Roman" w:hAnsi="Times New Roman"/>
          <w:b w:val="0"/>
          <w:i w:val="0"/>
          <w:sz w:val="22"/>
        </w:rPr>
        <w:t>Annexure A2: AO order disallowing depreciation.</w:t>
      </w:r>
    </w:p>
    <w:p>
      <w:r>
        <w:rPr>
          <w:rFonts w:ascii="Times New Roman" w:hAnsi="Times New Roman"/>
          <w:b w:val="0"/>
          <w:i w:val="0"/>
          <w:sz w:val="22"/>
        </w:rPr>
        <w:t>Annexure A3: ITAT order upholding 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