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SUPREME COURT OF INDIA</w:t>
      </w:r>
    </w:p>
    <w:p>
      <w:r>
        <w:rPr>
          <w:rFonts w:ascii="Times New Roman" w:hAnsi="Times New Roman"/>
          <w:b/>
          <w:i w:val="0"/>
          <w:sz w:val="22"/>
        </w:rPr>
        <w:t>CIVIL ORIGINAL JURISDICTION</w:t>
        <w:br/>
      </w:r>
    </w:p>
    <w:p>
      <w:pPr>
        <w:pStyle w:val="Heading2"/>
      </w:pPr>
      <w:r>
        <w:t>Nisha Ahmed v. State Bank of India &amp; Ors.</w:t>
      </w:r>
    </w:p>
    <w:p>
      <w:r>
        <w:rPr>
          <w:rFonts w:ascii="Times New Roman" w:hAnsi="Times New Roman"/>
          <w:b w:val="0"/>
          <w:i w:val="0"/>
          <w:sz w:val="22"/>
        </w:rPr>
        <w:t>Writ Petition (Civil) No. ___ of 2025</w:t>
        <w:br/>
      </w:r>
    </w:p>
    <w:p>
      <w:r>
        <w:rPr>
          <w:rFonts w:ascii="Times New Roman" w:hAnsi="Times New Roman"/>
          <w:b w:val="0"/>
          <w:i w:val="0"/>
          <w:sz w:val="22"/>
        </w:rPr>
        <w:t>Nisha Ahmed</w:t>
        <w:br/>
        <w:t>(Petitioner)</w:t>
        <w:br/>
        <w:t xml:space="preserve">  … Petitioner</w:t>
        <w:br/>
        <w:br/>
        <w:t>VERSUS</w:t>
        <w:br/>
        <w:br/>
        <w:t>State Bank of India &amp; Ors.</w:t>
        <w:br/>
        <w:t>(Respondents)</w:t>
        <w:br/>
        <w:t xml:space="preserve">  … Respondents</w:t>
        <w:br/>
      </w:r>
    </w:p>
    <w:p>
      <w:pPr>
        <w:pStyle w:val="Heading2"/>
      </w:pPr>
      <w:r>
        <w:t>PETITION UNDER ARTICLE 32 OF THE CONSTITUTION OF INDIA</w:t>
      </w:r>
    </w:p>
    <w:p>
      <w:pPr>
        <w:pStyle w:val="Heading3"/>
      </w:pPr>
      <w:r>
        <w:t>SYNOPSIS AND LIST OF DATES</w:t>
      </w:r>
    </w:p>
    <w:p>
      <w:r>
        <w:rPr>
          <w:rFonts w:ascii="Times New Roman" w:hAnsi="Times New Roman"/>
          <w:b w:val="0"/>
          <w:i w:val="0"/>
          <w:sz w:val="22"/>
        </w:rPr>
        <w:t>Writ petition challenging bank's exercise of powers under SARFAESI Act leading to possession of borrower’s residential property without statutory notice, lack of opportunity to reconcile dues, and DRT's assertion of exclusive jurisdiction over matters that include title disputes, causing deprivation of property in violation of Article 300A and Article 14.</w:t>
      </w:r>
    </w:p>
    <w:p>
      <w:r>
        <w:rPr>
          <w:rFonts w:ascii="Times New Roman" w:hAnsi="Times New Roman"/>
          <w:b w:val="0"/>
          <w:i w:val="0"/>
          <w:sz w:val="22"/>
        </w:rPr>
        <w:br/>
        <w:t>Important dates:</w:t>
      </w:r>
    </w:p>
    <w:p>
      <w:r>
        <w:rPr>
          <w:rFonts w:ascii="Times New Roman" w:hAnsi="Times New Roman"/>
          <w:b w:val="0"/>
          <w:i w:val="0"/>
          <w:sz w:val="22"/>
        </w:rPr>
        <w:t>05-03-2018 — Loan taken for micro-enterprise; account regular until 2021.</w:t>
      </w:r>
    </w:p>
    <w:p>
      <w:r>
        <w:rPr>
          <w:rFonts w:ascii="Times New Roman" w:hAnsi="Times New Roman"/>
          <w:b w:val="0"/>
          <w:i w:val="0"/>
          <w:sz w:val="22"/>
        </w:rPr>
        <w:t>10-06-2022 — Default alleged after operational setback; petitioner repaid partial sums and sought restructuring.</w:t>
      </w:r>
    </w:p>
    <w:p>
      <w:r>
        <w:rPr>
          <w:rFonts w:ascii="Times New Roman" w:hAnsi="Times New Roman"/>
          <w:b w:val="0"/>
          <w:i w:val="0"/>
          <w:sz w:val="22"/>
        </w:rPr>
        <w:t>20-02-2025 — Bank issues possession notice under Section 13(4) and initiates action without 60-day notice/complete communication.</w:t>
      </w:r>
    </w:p>
    <w:p>
      <w:r>
        <w:rPr>
          <w:rFonts w:ascii="Times New Roman" w:hAnsi="Times New Roman"/>
          <w:b w:val="0"/>
          <w:i w:val="0"/>
          <w:sz w:val="22"/>
        </w:rPr>
        <w:t>01-03-2025 — DRT dismissed petitioner’s challenge on jurisdictional grounds; petitioner seeks writ.</w:t>
      </w:r>
    </w:p>
    <w:p>
      <w:pPr>
        <w:pStyle w:val="Heading3"/>
      </w:pPr>
      <w:r>
        <w:t>FACTS OF THE CASE</w:t>
      </w:r>
    </w:p>
    <w:p>
      <w:r>
        <w:rPr>
          <w:rFonts w:ascii="Times New Roman" w:hAnsi="Times New Roman"/>
          <w:b w:val="0"/>
          <w:i w:val="0"/>
          <w:sz w:val="22"/>
        </w:rPr>
        <w:t>1. The petitioner secured a small business loan from SBI in 2018 for micro-enterprise; due to market disruptions, the borrower missed payments but was willing to pay and offered security by creating charge over business assets (not residential property).</w:t>
      </w:r>
    </w:p>
    <w:p>
      <w:r>
        <w:rPr>
          <w:rFonts w:ascii="Times New Roman" w:hAnsi="Times New Roman"/>
          <w:b w:val="0"/>
          <w:i w:val="0"/>
          <w:sz w:val="22"/>
        </w:rPr>
        <w:t>2. The Bank declared NPA and purported to take possession of the petitioner’s residential property which was never mortgaged or charged explicitly under loan documents.</w:t>
      </w:r>
    </w:p>
    <w:p>
      <w:r>
        <w:rPr>
          <w:rFonts w:ascii="Times New Roman" w:hAnsi="Times New Roman"/>
          <w:b w:val="0"/>
          <w:i w:val="0"/>
          <w:sz w:val="22"/>
        </w:rPr>
        <w:t>3. The Bank did not comply with mandatory pre-possession steps, including clear 60-day notice after serving notice under Section 13(2); no effective communication of reasons was provided for refusal of representation.</w:t>
      </w:r>
    </w:p>
    <w:p>
      <w:r>
        <w:rPr>
          <w:rFonts w:ascii="Times New Roman" w:hAnsi="Times New Roman"/>
          <w:b w:val="0"/>
          <w:i w:val="0"/>
          <w:sz w:val="22"/>
        </w:rPr>
        <w:t>4. DRT refused to consider petitioner's title objections stating Section 34 ousts civil court jurisdiction; however, petitioner contends that title disputes and claims of wrongful possession are outside DRT's remedial scope and civil remedy must be preserved.</w:t>
      </w:r>
    </w:p>
    <w:p>
      <w:pPr>
        <w:pStyle w:val="Heading3"/>
      </w:pPr>
      <w:r>
        <w:t>PROCEDURAL HISTORY</w:t>
      </w:r>
    </w:p>
    <w:p>
      <w:r>
        <w:rPr>
          <w:rFonts w:ascii="Times New Roman" w:hAnsi="Times New Roman"/>
          <w:b w:val="0"/>
          <w:i w:val="0"/>
          <w:sz w:val="22"/>
        </w:rPr>
        <w:t>5. The petitioner filed statutory representation with the Bank under Section 13(4) which was not meaningfully addressed.</w:t>
      </w:r>
    </w:p>
    <w:p>
      <w:r>
        <w:rPr>
          <w:rFonts w:ascii="Times New Roman" w:hAnsi="Times New Roman"/>
          <w:b w:val="0"/>
          <w:i w:val="0"/>
          <w:sz w:val="22"/>
        </w:rPr>
        <w:t>6. DRT order is challenged on the ground that Section 34 cannot oust civil court jurisdiction for title disputes where DRT lacks power to grant declaration of title or partition.</w:t>
      </w:r>
    </w:p>
    <w:p>
      <w:pPr>
        <w:pStyle w:val="Heading3"/>
      </w:pPr>
      <w:r>
        <w:t>ISSUES FOR CONSIDERATION</w:t>
      </w:r>
    </w:p>
    <w:p>
      <w:r>
        <w:rPr>
          <w:rFonts w:ascii="Times New Roman" w:hAnsi="Times New Roman"/>
          <w:b w:val="0"/>
          <w:i w:val="0"/>
          <w:sz w:val="22"/>
        </w:rPr>
        <w:t>Issue 1: Whether Bank's action under SARFAESI Act in taking possession of non-mortgaged residential property without following mandatory procedure violates Article 300A and Article 14.</w:t>
      </w:r>
    </w:p>
    <w:p>
      <w:r>
        <w:rPr>
          <w:rFonts w:ascii="Times New Roman" w:hAnsi="Times New Roman"/>
          <w:b w:val="0"/>
          <w:i w:val="0"/>
          <w:sz w:val="22"/>
        </w:rPr>
        <w:t>Issue 2: Whether DRT has jurisdiction to decide title disputes and whether Section 34 ousts civil court jurisdiction in the present facts.</w:t>
      </w:r>
    </w:p>
    <w:p>
      <w:r>
        <w:rPr>
          <w:rFonts w:ascii="Times New Roman" w:hAnsi="Times New Roman"/>
          <w:b w:val="0"/>
          <w:i w:val="0"/>
          <w:sz w:val="22"/>
        </w:rPr>
        <w:t>Issue 3: Whether writ remedy is available to protect property rights pending alternate remedies.</w:t>
      </w:r>
    </w:p>
    <w:p>
      <w:pPr>
        <w:pStyle w:val="Heading3"/>
      </w:pPr>
      <w:r>
        <w:t>GROUNDS / ARGUMENTS</w:t>
      </w:r>
    </w:p>
    <w:p>
      <w:r>
        <w:rPr>
          <w:rFonts w:ascii="Times New Roman" w:hAnsi="Times New Roman"/>
          <w:b/>
          <w:i w:val="0"/>
          <w:sz w:val="22"/>
        </w:rPr>
        <w:t>A. Procedural non-compliance under SARFAESI Act</w:t>
      </w:r>
    </w:p>
    <w:p>
      <w:r>
        <w:rPr>
          <w:rFonts w:ascii="Times New Roman" w:hAnsi="Times New Roman"/>
          <w:b w:val="0"/>
          <w:i w:val="0"/>
          <w:sz w:val="22"/>
        </w:rPr>
        <w:t>7. Section 13(2) and (4) require clear communication and opportunity to represent; the Bank's failure to provide meaningful response and 60-day notice renders possession action unsustainable.</w:t>
      </w:r>
    </w:p>
    <w:p>
      <w:r>
        <w:rPr>
          <w:rFonts w:ascii="Times New Roman" w:hAnsi="Times New Roman"/>
          <w:b w:val="0"/>
          <w:i w:val="0"/>
          <w:sz w:val="22"/>
        </w:rPr>
        <w:t>8. Judicial precedents recognize that drastic remedies like seizure require strict compliance.</w:t>
      </w:r>
    </w:p>
    <w:p>
      <w:r>
        <w:rPr>
          <w:rFonts w:ascii="Times New Roman" w:hAnsi="Times New Roman"/>
          <w:b/>
          <w:i w:val="0"/>
          <w:sz w:val="22"/>
        </w:rPr>
        <w:t>B. Jurisdictional limits of DRT and civil courts' role in title disputes</w:t>
      </w:r>
    </w:p>
    <w:p>
      <w:r>
        <w:rPr>
          <w:rFonts w:ascii="Times New Roman" w:hAnsi="Times New Roman"/>
          <w:b w:val="0"/>
          <w:i w:val="0"/>
          <w:sz w:val="22"/>
        </w:rPr>
        <w:t>9. DRT's powers under Section 17 and 17(3) are limited to restoration of possession to borrower or aggrieved persons; it cannot adjudicate title disputes comprehensively.</w:t>
      </w:r>
    </w:p>
    <w:p>
      <w:r>
        <w:rPr>
          <w:rFonts w:ascii="Times New Roman" w:hAnsi="Times New Roman"/>
          <w:b w:val="0"/>
          <w:i w:val="0"/>
          <w:sz w:val="22"/>
        </w:rPr>
        <w:t>10. Civil courts retain jurisdiction to decide title and partition; Section 34 cannot be extended to oust such foundational remedies.</w:t>
      </w:r>
    </w:p>
    <w:p>
      <w:r>
        <w:rPr>
          <w:rFonts w:ascii="Times New Roman" w:hAnsi="Times New Roman"/>
          <w:b/>
          <w:i w:val="0"/>
          <w:sz w:val="22"/>
        </w:rPr>
        <w:t>C. Violation of Article 300A and proportionality</w:t>
      </w:r>
    </w:p>
    <w:p>
      <w:r>
        <w:rPr>
          <w:rFonts w:ascii="Times New Roman" w:hAnsi="Times New Roman"/>
          <w:b w:val="0"/>
          <w:i w:val="0"/>
          <w:sz w:val="22"/>
        </w:rPr>
        <w:t>11. Deprivation of property must be by authority of law with adequate procedure; arbitrary bank action that disregards contractual limits fails proportionality test.</w:t>
      </w:r>
    </w:p>
    <w:p>
      <w:pPr>
        <w:pStyle w:val="Heading3"/>
      </w:pPr>
      <w:r>
        <w:t>STATUTES, RULES AND AUTHORITIES RELIED UPON</w:t>
      </w:r>
    </w:p>
    <w:p>
      <w:r>
        <w:rPr>
          <w:rFonts w:ascii="Times New Roman" w:hAnsi="Times New Roman"/>
          <w:b w:val="0"/>
          <w:i w:val="0"/>
          <w:sz w:val="22"/>
        </w:rPr>
        <w:t>- Securitisation and Reconstruction of Financial Assets and Enforcement of Security Interest Act, 2002 Sections 13, 17, 34</w:t>
      </w:r>
    </w:p>
    <w:p>
      <w:r>
        <w:rPr>
          <w:rFonts w:ascii="Times New Roman" w:hAnsi="Times New Roman"/>
          <w:b w:val="0"/>
          <w:i w:val="0"/>
          <w:sz w:val="22"/>
        </w:rPr>
        <w:t>- Constitution of India Articles 14 and 300A</w:t>
      </w:r>
    </w:p>
    <w:p>
      <w:r>
        <w:rPr>
          <w:rFonts w:ascii="Times New Roman" w:hAnsi="Times New Roman"/>
          <w:b w:val="0"/>
          <w:i w:val="0"/>
          <w:sz w:val="22"/>
        </w:rPr>
        <w:t>- Relevant Supreme Court precedents on SARFAESI and civil court jurisdiction (e.g., Mardia Chemicals, Satyawati Tondon)</w:t>
      </w:r>
    </w:p>
    <w:p>
      <w:pPr>
        <w:pStyle w:val="Heading3"/>
      </w:pPr>
      <w:r>
        <w:t>RELIEFS PRAYED FOR</w:t>
      </w:r>
    </w:p>
    <w:p>
      <w:r>
        <w:rPr>
          <w:rFonts w:ascii="Times New Roman" w:hAnsi="Times New Roman"/>
          <w:b w:val="0"/>
          <w:i w:val="0"/>
          <w:sz w:val="22"/>
        </w:rPr>
        <w:t>A writ of certiorari quashing possession order and any auction steps.</w:t>
      </w:r>
    </w:p>
    <w:p>
      <w:r>
        <w:rPr>
          <w:rFonts w:ascii="Times New Roman" w:hAnsi="Times New Roman"/>
          <w:b w:val="0"/>
          <w:i w:val="0"/>
          <w:sz w:val="22"/>
        </w:rPr>
        <w:t>A writ of mandamus directing respondents to restore possession and restrain any sale/auction.</w:t>
      </w:r>
    </w:p>
    <w:p>
      <w:r>
        <w:rPr>
          <w:rFonts w:ascii="Times New Roman" w:hAnsi="Times New Roman"/>
          <w:b w:val="0"/>
          <w:i w:val="0"/>
          <w:sz w:val="22"/>
        </w:rPr>
        <w:t>A declaration that DRT lacks jurisdiction to decide title disputes and that civil court jurisdiction is preserved.</w:t>
      </w:r>
    </w:p>
    <w:p>
      <w:r>
        <w:rPr>
          <w:rFonts w:ascii="Times New Roman" w:hAnsi="Times New Roman"/>
          <w:b w:val="0"/>
          <w:i w:val="0"/>
          <w:sz w:val="22"/>
        </w:rPr>
        <w:t>Costs and further relief.</w:t>
      </w:r>
    </w:p>
    <w:p>
      <w:pPr>
        <w:pStyle w:val="Heading3"/>
      </w:pPr>
      <w:r>
        <w:t>INTERIM PRAYER</w:t>
      </w:r>
    </w:p>
    <w:p>
      <w:r>
        <w:rPr>
          <w:rFonts w:ascii="Times New Roman" w:hAnsi="Times New Roman"/>
          <w:b w:val="0"/>
          <w:i w:val="0"/>
          <w:sz w:val="22"/>
        </w:rPr>
        <w:t>Immediate stay on auction and any step for sale or transfer of the property.</w:t>
      </w:r>
    </w:p>
    <w:p>
      <w:r>
        <w:rPr>
          <w:rFonts w:ascii="Times New Roman" w:hAnsi="Times New Roman"/>
          <w:b w:val="0"/>
          <w:i w:val="0"/>
          <w:sz w:val="22"/>
        </w:rPr>
        <w:t>Ad-interim injunction restraining respondents from dispossessing petitioner pending disposal.</w:t>
      </w:r>
    </w:p>
    <w:p>
      <w:pPr>
        <w:pStyle w:val="Heading3"/>
      </w:pPr>
      <w:r>
        <w:t>VERIFICATION</w:t>
      </w:r>
    </w:p>
    <w:p>
      <w:r>
        <w:rPr>
          <w:rFonts w:ascii="Times New Roman" w:hAnsi="Times New Roman"/>
          <w:b w:val="0"/>
          <w:i w:val="0"/>
          <w:sz w:val="22"/>
        </w:rPr>
        <w:t>I, Nisha Ahmed, the Petitioner above named, do hereby verify that the contents of paragraphs 1 to 10 are true to my knowledge and belief and that I believe them to be true and correct.</w:t>
      </w:r>
    </w:p>
    <w:p>
      <w:r>
        <w:rPr>
          <w:rFonts w:ascii="Times New Roman" w:hAnsi="Times New Roman"/>
          <w:b w:val="0"/>
          <w:i w:val="0"/>
          <w:sz w:val="22"/>
        </w:rPr>
        <w:br/>
        <w:t>Filed by:</w:t>
        <w:br/>
        <w:t>Advocate-on-Record for the Petitioner</w:t>
        <w:br/>
        <w:t>[Name of AOR]</w:t>
        <w:br/>
        <w:t>Chamber: Supreme Court, New Delhi</w:t>
        <w:br/>
        <w:t>Date: October 23, 2025</w:t>
        <w:br/>
        <w:t>Place: New Delhi</w:t>
      </w:r>
    </w:p>
    <w:p>
      <w:pPr>
        <w:pStyle w:val="Heading3"/>
      </w:pPr>
      <w:r>
        <w:t>LIST OF ANNEXURES</w:t>
      </w:r>
    </w:p>
    <w:p>
      <w:r>
        <w:rPr>
          <w:rFonts w:ascii="Times New Roman" w:hAnsi="Times New Roman"/>
          <w:b w:val="0"/>
          <w:i w:val="0"/>
          <w:sz w:val="22"/>
        </w:rPr>
        <w:t>Annexure A1: Loan agreement and security documents.</w:t>
      </w:r>
    </w:p>
    <w:p>
      <w:r>
        <w:rPr>
          <w:rFonts w:ascii="Times New Roman" w:hAnsi="Times New Roman"/>
          <w:b w:val="0"/>
          <w:i w:val="0"/>
          <w:sz w:val="22"/>
        </w:rPr>
        <w:t>Annexure A2: Possession notice and auction intimation.</w:t>
      </w:r>
    </w:p>
    <w:p>
      <w:r>
        <w:rPr>
          <w:rFonts w:ascii="Times New Roman" w:hAnsi="Times New Roman"/>
          <w:b w:val="0"/>
          <w:i w:val="0"/>
          <w:sz w:val="22"/>
        </w:rPr>
        <w:t>Annexure A3: DRT order refusing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