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SUPREME COURT OF INDIA</w:t>
      </w:r>
    </w:p>
    <w:p>
      <w:pPr/>
      <w:r>
        <w:t>CIVIL ORIGINAL JURISDICTION</w:t>
        <w:br/>
      </w:r>
    </w:p>
    <w:p>
      <w:pPr>
        <w:pStyle w:val="Heading2"/>
      </w:pPr>
      <w:r>
        <w:t>Priya Desai v. Rajat Desai</w:t>
      </w:r>
    </w:p>
    <w:p>
      <w:r>
        <w:t>Priya Desai … Petitioner</w:t>
        <w:br/>
        <w:t>VERSUS</w:t>
        <w:br/>
        <w:t>Rajat Desai … Respondents</w:t>
        <w:br/>
      </w:r>
    </w:p>
    <w:p>
      <w:pPr>
        <w:pStyle w:val="Heading2"/>
      </w:pPr>
      <w:r>
        <w:t>PETITION UNDER ARTICLE 32 / ARTICLE 136 OF THE CONSTITUTION OF INDIA</w:t>
      </w:r>
    </w:p>
    <w:p>
      <w:pPr>
        <w:pStyle w:val="Heading3"/>
      </w:pPr>
      <w:r>
        <w:t>SYNOPSIS AND LIST OF DATES</w:t>
      </w:r>
    </w:p>
    <w:p>
      <w:r>
        <w:t>Petition under Article 136 seeking enhancement of maintenance awarded under Section 125 CrPC and Protection of Women from Domestic Violence Act, 2005. The petitioner contends that the High Court erred in reducing interim maintenance without considering cost of living and respondent’s income.</w:t>
      </w:r>
    </w:p>
    <w:p>
      <w:r>
        <w:t>10-06-2020 — Marriage solemnized in Pune.</w:t>
      </w:r>
    </w:p>
    <w:p>
      <w:r>
        <w:t>12-12-2021 — Parties separated; petitioner filed complaint under DV Act.</w:t>
      </w:r>
    </w:p>
    <w:p>
      <w:r>
        <w:t>15-06-2023 — Family Court awarded interim maintenance of ₹40,000/month.</w:t>
      </w:r>
    </w:p>
    <w:p>
      <w:r>
        <w:t>10-02-2024 — High Court reduced amount to ₹20,000 without reason.</w:t>
      </w:r>
    </w:p>
    <w:p>
      <w:r>
        <w:t>05-04-2025 — Present petition filed.</w:t>
      </w:r>
    </w:p>
    <w:p>
      <w:pPr>
        <w:pStyle w:val="Heading3"/>
      </w:pPr>
      <w:r>
        <w:t>FACTS OF THE CASE</w:t>
      </w:r>
    </w:p>
    <w:p>
      <w:r>
        <w:t>The petitioner, a postgraduate lecturer, left employment after childbirth and currently resides with minor daughter.</w:t>
      </w:r>
    </w:p>
    <w:p>
      <w:r>
        <w:t>The respondent is employed as Senior Manager in a multinational company with annual income exceeding ₹25 lakhs.</w:t>
      </w:r>
    </w:p>
    <w:p>
      <w:r>
        <w:t>The Family Court considered actual lifestyle and schooling expenses of the child before fixing interim maintenance.</w:t>
      </w:r>
    </w:p>
    <w:p>
      <w:r>
        <w:t>The High Court arbitrarily reduced the maintenance citing petitioner’s qualifications, ignoring financial disparity and needs of minor child.</w:t>
      </w:r>
    </w:p>
    <w:p>
      <w:pPr>
        <w:pStyle w:val="Heading3"/>
      </w:pPr>
      <w:r>
        <w:t>PROCEDURAL HISTORY</w:t>
      </w:r>
    </w:p>
    <w:p>
      <w:r>
        <w:t>The petitioner pursued remedies before Family Court and High Court; however, the latter’s order lacks reasoning or consideration of cost-of-living indices.</w:t>
      </w:r>
    </w:p>
    <w:p>
      <w:pPr>
        <w:pStyle w:val="Heading3"/>
      </w:pPr>
      <w:r>
        <w:t>ISSUES FOR CONSIDERATION</w:t>
      </w:r>
    </w:p>
    <w:p>
      <w:r>
        <w:t>1. Whether maintenance can be reduced arbitrarily ignoring child welfare and respondent’s income.</w:t>
      </w:r>
    </w:p>
    <w:p>
      <w:r>
        <w:t>2. Whether High Court erred in not applying principles under Section 20 of DV Act and Section 125 CrPC.</w:t>
      </w:r>
    </w:p>
    <w:p>
      <w:pPr>
        <w:pStyle w:val="Heading3"/>
      </w:pPr>
      <w:r>
        <w:t>GROUNDS / ARGUMENTS</w:t>
      </w:r>
    </w:p>
    <w:p>
      <w:pPr>
        <w:pStyle w:val="ListBullet"/>
      </w:pPr>
      <w:r>
        <w:t>A. Maintenance is not charity but right</w:t>
      </w:r>
    </w:p>
    <w:p>
      <w:r>
        <w:t>Supreme Court jurisprudence affirms that maintenance ensures dignity and sustenance of spouse and child.</w:t>
      </w:r>
    </w:p>
    <w:p>
      <w:r>
        <w:t>Courts must consider lifestyle parity and child welfare.</w:t>
      </w:r>
    </w:p>
    <w:p>
      <w:pPr>
        <w:pStyle w:val="ListBullet"/>
      </w:pPr>
      <w:r>
        <w:t>B. Arbitrary reduction violates Article 14 and 21</w:t>
      </w:r>
    </w:p>
    <w:p>
      <w:r>
        <w:t>The High Court ignored material evidence of respondent’s income and inflationary conditions.</w:t>
      </w:r>
    </w:p>
    <w:p>
      <w:pPr>
        <w:pStyle w:val="Heading3"/>
      </w:pPr>
      <w:r>
        <w:t>STATUTES AND AUTHORITIES RELIED UPON</w:t>
      </w:r>
    </w:p>
    <w:p>
      <w:r>
        <w:t>- Code of Criminal Procedure, 1973 Section 125</w:t>
      </w:r>
    </w:p>
    <w:p>
      <w:r>
        <w:t>- Protection of Women from Domestic Violence Act, 2005 Section 20</w:t>
      </w:r>
    </w:p>
    <w:p>
      <w:r>
        <w:t>- Constitution of India Articles 14 and 21</w:t>
      </w:r>
    </w:p>
    <w:p>
      <w:pPr>
        <w:pStyle w:val="Heading3"/>
      </w:pPr>
      <w:r>
        <w:t>RELIEFS SOUGHT</w:t>
      </w:r>
    </w:p>
    <w:p>
      <w:r>
        <w:t>Set aside High Court order dated 10-02-2024 and restore Family Court’s maintenance award.</w:t>
      </w:r>
    </w:p>
    <w:p>
      <w:r>
        <w:t>Direct respondent to pay arrears within 4 weeks.</w:t>
      </w:r>
    </w:p>
    <w:p>
      <w:pPr>
        <w:pStyle w:val="Heading3"/>
      </w:pPr>
      <w:r>
        <w:t>INTERIM PRAYER</w:t>
      </w:r>
    </w:p>
    <w:p>
      <w:r>
        <w:t>Stay operation of High Court order pending hearing.</w:t>
      </w:r>
    </w:p>
    <w:p>
      <w:r>
        <w:br/>
        <w:t>Filed by:</w:t>
        <w:br/>
        <w:t>Advocate-on-Record for the Petitioner</w:t>
        <w:br/>
        <w:t>Place: New Delhi</w:t>
        <w:br/>
        <w:t>Date: 23 October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