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SUPREME COURT OF INDIA</w:t>
      </w:r>
    </w:p>
    <w:p>
      <w:pPr/>
      <w:r>
        <w:t>CIVIL ORIGINAL JURISDICTION</w:t>
        <w:br/>
      </w:r>
    </w:p>
    <w:p>
      <w:pPr>
        <w:pStyle w:val="Heading2"/>
      </w:pPr>
      <w:r>
        <w:t>Vikram Singh v. Meera Construction Pvt. Ltd.</w:t>
      </w:r>
    </w:p>
    <w:p>
      <w:r>
        <w:t>Vikram Singh … Petitioner</w:t>
        <w:br/>
        <w:t>VERSUS</w:t>
        <w:br/>
        <w:t>Meera Construction Pvt. Ltd. … Respondents</w:t>
        <w:br/>
      </w:r>
    </w:p>
    <w:p>
      <w:pPr>
        <w:pStyle w:val="Heading2"/>
      </w:pPr>
      <w:r>
        <w:t>PETITION UNDER ARTICLE 32 / ARTICLE 136 OF THE CONSTITUTION OF INDIA</w:t>
      </w:r>
    </w:p>
    <w:p>
      <w:pPr>
        <w:pStyle w:val="Heading3"/>
      </w:pPr>
      <w:r>
        <w:t>SYNOPSIS AND LIST OF DATES</w:t>
      </w:r>
    </w:p>
    <w:p>
      <w:r>
        <w:t>Appeal under Section 37 of Arbitration Act challenging arbitral award denying force majeure relief for delay caused by pandemic. Petitioner contends tribunal failed to apply doctrine of impossibility and ignored government circulars granting contractual relief.</w:t>
      </w:r>
    </w:p>
    <w:p>
      <w:r>
        <w:t>01-01-2020 — Contract for commercial complex executed.</w:t>
      </w:r>
    </w:p>
    <w:p>
      <w:r>
        <w:t>25-03-2020 — National lockdown imposed; work suspended.</w:t>
      </w:r>
    </w:p>
    <w:p>
      <w:r>
        <w:t>10-09-2022 — Arbitral award passed against petitioner.</w:t>
      </w:r>
    </w:p>
    <w:p>
      <w:r>
        <w:t>15-11-2024 — High Court dismissed appeal under Section 37.</w:t>
      </w:r>
    </w:p>
    <w:p>
      <w:r>
        <w:t>10-03-2025 — SLP filed.</w:t>
      </w:r>
    </w:p>
    <w:p>
      <w:pPr>
        <w:pStyle w:val="Heading3"/>
      </w:pPr>
      <w:r>
        <w:t>FACTS OF THE CASE</w:t>
      </w:r>
    </w:p>
    <w:p>
      <w:r>
        <w:t>Petitioner, a contractor, was unable to complete work due to pandemic restrictions and invoked force majeure under Clause 17.</w:t>
      </w:r>
    </w:p>
    <w:p>
      <w:r>
        <w:t>Arbitral tribunal dismissed plea citing lack of specific evidence though government circulars expressly treated COVID-19 as force majeure.</w:t>
      </w:r>
    </w:p>
    <w:p>
      <w:r>
        <w:t>High Court upheld award ignoring settled principles of frustration under Section 56 Contract Act.</w:t>
      </w:r>
    </w:p>
    <w:p>
      <w:pPr>
        <w:pStyle w:val="Heading3"/>
      </w:pPr>
      <w:r>
        <w:t>PROCEDURAL HISTORY</w:t>
      </w:r>
    </w:p>
    <w:p>
      <w:r>
        <w:t>Petitioner participated in arbitration; award challenged unsuccessfully before High Court.</w:t>
      </w:r>
    </w:p>
    <w:p>
      <w:pPr>
        <w:pStyle w:val="Heading3"/>
      </w:pPr>
      <w:r>
        <w:t>ISSUES FOR CONSIDERATION</w:t>
      </w:r>
    </w:p>
    <w:p>
      <w:r>
        <w:t>1. Whether pandemic constitutes force majeure excusing delay in performance.</w:t>
      </w:r>
    </w:p>
    <w:p>
      <w:r>
        <w:t>2. Whether arbitral award ignoring binding circulars and impossibility doctrine violates public policy.</w:t>
      </w:r>
    </w:p>
    <w:p>
      <w:pPr>
        <w:pStyle w:val="Heading3"/>
      </w:pPr>
      <w:r>
        <w:t>GROUNDS / ARGUMENTS</w:t>
      </w:r>
    </w:p>
    <w:p>
      <w:pPr>
        <w:pStyle w:val="ListBullet"/>
      </w:pPr>
      <w:r>
        <w:t>A. Pandemic constitutes force majeure</w:t>
      </w:r>
    </w:p>
    <w:p>
      <w:r>
        <w:t>Government circulars and judicial recognition establish pandemic as supervening impossibility.</w:t>
      </w:r>
    </w:p>
    <w:p>
      <w:r>
        <w:t>Tribunal ignored documentary evidence and contractual clause.</w:t>
      </w:r>
    </w:p>
    <w:p>
      <w:pPr>
        <w:pStyle w:val="ListBullet"/>
      </w:pPr>
      <w:r>
        <w:t>B. Public policy ground for interference</w:t>
      </w:r>
    </w:p>
    <w:p>
      <w:r>
        <w:t>Award violates Section 34(2)(b)(ii) of Arbitration Act for being contrary to fundamental policy of Indian law.</w:t>
      </w:r>
    </w:p>
    <w:p>
      <w:pPr>
        <w:pStyle w:val="Heading3"/>
      </w:pPr>
      <w:r>
        <w:t>STATUTES AND AUTHORITIES RELIED UPON</w:t>
      </w:r>
    </w:p>
    <w:p>
      <w:r>
        <w:t>- Arbitration and Conciliation Act, 1996 Sections 34, 37</w:t>
      </w:r>
    </w:p>
    <w:p>
      <w:r>
        <w:t>- Indian Contract Act, 1872 Section 56</w:t>
      </w:r>
    </w:p>
    <w:p>
      <w:r>
        <w:t>- Constitution of India Article 136</w:t>
      </w:r>
    </w:p>
    <w:p>
      <w:pPr>
        <w:pStyle w:val="Heading3"/>
      </w:pPr>
      <w:r>
        <w:t>RELIEFS SOUGHT</w:t>
      </w:r>
    </w:p>
    <w:p>
      <w:r>
        <w:t>Set aside impugned award dated 10-09-2022 and High Court order dated 15-11-2024.</w:t>
      </w:r>
    </w:p>
    <w:p>
      <w:r>
        <w:t>Grant remission for force majeure period and direct re-arbitration if necessary.</w:t>
      </w:r>
    </w:p>
    <w:p>
      <w:pPr>
        <w:pStyle w:val="Heading3"/>
      </w:pPr>
      <w:r>
        <w:t>INTERIM PRAYER</w:t>
      </w:r>
    </w:p>
    <w:p>
      <w:r>
        <w:t>Stay execution of arbitral award pending disposal.</w:t>
      </w:r>
    </w:p>
    <w:p>
      <w:r>
        <w:br/>
        <w:t>Filed by:</w:t>
        <w:br/>
        <w:t>Advocate-on-Record for the Petitioner</w:t>
        <w:br/>
        <w:t>Place: New Delhi</w:t>
        <w:br/>
        <w:t>Date: 23 October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