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200" w:line="300" w:lineRule="auto"/>
        <w:jc w:val="center"/>
      </w:pPr>
      <w:r>
        <w:rPr>
          <w:rFonts w:ascii="Times New Roman" w:cs="Times New Roman" w:eastAsia="Times New Roman" w:hAnsi="Times New Roman"/>
          <w:b/>
          <w:bCs/>
          <w:sz w:val="30"/>
          <w:szCs w:val="30"/>
        </w:rPr>
        <w:t xml:space="preserve">Enterprise-Scale Intelligent PDF Parsing and Structured Data Extraction System for Pharmaceutical Research Documents using AWS</w:t>
      </w:r>
    </w:p>
    <w:p>
      <w:pPr>
        <w:spacing w:after="60" w:before="0" w:line="300" w:lineRule="auto"/>
        <w:jc w:val="center"/>
      </w:pPr>
      <w:r>
        <w:rPr>
          <w:rFonts w:ascii="Times New Roman" w:cs="Times New Roman" w:eastAsia="Times New Roman" w:hAnsi="Times New Roman"/>
          <w:i/>
          <w:iCs/>
          <w:sz w:val="24"/>
          <w:szCs w:val="24"/>
        </w:rPr>
        <w:t xml:space="preserve">A Project Work / Practice School Report submitted</w:t>
      </w:r>
    </w:p>
    <w:p>
      <w:pPr>
        <w:spacing w:after="60" w:before="0" w:line="300" w:lineRule="auto"/>
        <w:jc w:val="center"/>
      </w:pPr>
      <w:r>
        <w:rPr>
          <w:rFonts w:ascii="Times New Roman" w:cs="Times New Roman" w:eastAsia="Times New Roman" w:hAnsi="Times New Roman"/>
          <w:i/>
          <w:iCs/>
          <w:sz w:val="24"/>
          <w:szCs w:val="24"/>
        </w:rPr>
        <w:t xml:space="preserve">to</w:t>
      </w:r>
    </w:p>
    <w:p>
      <w:pPr>
        <w:spacing w:after="60" w:before="0" w:line="300" w:lineRule="auto"/>
        <w:jc w:val="center"/>
      </w:pPr>
      <w:r>
        <w:rPr>
          <w:rFonts w:ascii="Times New Roman" w:cs="Times New Roman" w:eastAsia="Times New Roman" w:hAnsi="Times New Roman"/>
          <w:b/>
          <w:bCs/>
          <w:sz w:val="26"/>
          <w:szCs w:val="26"/>
        </w:rPr>
        <w:t xml:space="preserve">MANIPAL ACADEMY OF HIGHER EDUCATION</w:t>
      </w:r>
    </w:p>
    <w:p>
      <w:pPr>
        <w:spacing w:after="30" w:before="0" w:line="300" w:lineRule="auto"/>
        <w:jc w:val="center"/>
      </w:pPr>
      <w:r>
        <w:rPr>
          <w:rFonts w:ascii="Times New Roman" w:cs="Times New Roman" w:eastAsia="Times New Roman" w:hAnsi="Times New Roman"/>
          <w:i/>
          <w:iCs/>
          <w:sz w:val="24"/>
          <w:szCs w:val="24"/>
        </w:rPr>
        <w:t xml:space="preserve">for partial fulfilment of the requirement for</w:t>
      </w:r>
    </w:p>
    <w:p>
      <w:pPr>
        <w:spacing w:after="30" w:before="0" w:line="300" w:lineRule="auto"/>
        <w:jc w:val="center"/>
      </w:pPr>
      <w:r>
        <w:rPr>
          <w:rFonts w:ascii="Times New Roman" w:cs="Times New Roman" w:eastAsia="Times New Roman" w:hAnsi="Times New Roman"/>
          <w:i/>
          <w:iCs/>
          <w:sz w:val="24"/>
          <w:szCs w:val="24"/>
        </w:rPr>
        <w:t xml:space="preserve">the award of the degree</w:t>
      </w:r>
    </w:p>
    <w:p>
      <w:pPr>
        <w:spacing w:after="60" w:before="0" w:line="300" w:lineRule="auto"/>
        <w:jc w:val="center"/>
      </w:pPr>
      <w:r>
        <w:rPr>
          <w:rFonts w:ascii="Times New Roman" w:cs="Times New Roman" w:eastAsia="Times New Roman" w:hAnsi="Times New Roman"/>
          <w:i/>
          <w:iCs/>
          <w:sz w:val="24"/>
          <w:szCs w:val="24"/>
        </w:rPr>
        <w:t xml:space="preserve">of</w:t>
      </w:r>
    </w:p>
    <w:p>
      <w:pPr>
        <w:spacing w:after="40" w:before="0" w:line="300" w:lineRule="auto"/>
        <w:jc w:val="center"/>
      </w:pPr>
      <w:r>
        <w:rPr>
          <w:rFonts w:ascii="Times New Roman" w:cs="Times New Roman" w:eastAsia="Times New Roman" w:hAnsi="Times New Roman"/>
          <w:b/>
          <w:bCs/>
          <w:sz w:val="26"/>
          <w:szCs w:val="26"/>
        </w:rPr>
        <w:t xml:space="preserve">BACHELOR OF TECHNOLOGY</w:t>
      </w:r>
    </w:p>
    <w:p>
      <w:pPr>
        <w:spacing w:after="40" w:before="0" w:line="300" w:lineRule="auto"/>
        <w:jc w:val="center"/>
      </w:pPr>
      <w:r>
        <w:rPr>
          <w:rFonts w:ascii="Times New Roman" w:cs="Times New Roman" w:eastAsia="Times New Roman" w:hAnsi="Times New Roman"/>
          <w:i/>
          <w:iCs/>
          <w:sz w:val="24"/>
          <w:szCs w:val="24"/>
        </w:rPr>
        <w:t xml:space="preserve">in</w:t>
      </w:r>
    </w:p>
    <w:p>
      <w:pPr>
        <w:spacing w:after="200" w:before="0" w:line="300" w:lineRule="auto"/>
        <w:jc w:val="center"/>
      </w:pPr>
      <w:r>
        <w:rPr>
          <w:rFonts w:ascii="Times New Roman" w:cs="Times New Roman" w:eastAsia="Times New Roman" w:hAnsi="Times New Roman"/>
          <w:b/>
          <w:bCs/>
          <w:sz w:val="26"/>
          <w:szCs w:val="26"/>
        </w:rPr>
        <w:t xml:space="preserve">COMPUTER AND COMMUNICATION ENGINEERING</w:t>
      </w:r>
    </w:p>
    <w:p>
      <w:pPr>
        <w:spacing w:after="60" w:before="0" w:line="300" w:lineRule="auto"/>
        <w:jc w:val="center"/>
      </w:pPr>
      <w:r>
        <w:rPr>
          <w:rFonts w:ascii="Times New Roman" w:cs="Times New Roman" w:eastAsia="Times New Roman" w:hAnsi="Times New Roman"/>
          <w:i/>
          <w:iCs/>
          <w:sz w:val="24"/>
          <w:szCs w:val="24"/>
        </w:rPr>
        <w:t xml:space="preserve">Submitted by</w:t>
      </w:r>
    </w:p>
    <w:p>
      <w:pPr>
        <w:spacing w:after="20" w:before="0" w:line="300" w:lineRule="auto"/>
        <w:jc w:val="center"/>
      </w:pPr>
      <w:r>
        <w:rPr>
          <w:rFonts w:ascii="Times New Roman" w:cs="Times New Roman" w:eastAsia="Times New Roman" w:hAnsi="Times New Roman"/>
          <w:b/>
          <w:bCs/>
          <w:sz w:val="26"/>
          <w:szCs w:val="26"/>
        </w:rPr>
        <w:t xml:space="preserve">Vansh Amit Jogani</w:t>
      </w:r>
    </w:p>
    <w:p>
      <w:pPr>
        <w:spacing w:after="200" w:before="0" w:line="300" w:lineRule="auto"/>
        <w:jc w:val="center"/>
      </w:pPr>
      <w:r>
        <w:rPr>
          <w:rFonts w:ascii="Times New Roman" w:cs="Times New Roman" w:eastAsia="Times New Roman" w:hAnsi="Times New Roman"/>
          <w:sz w:val="24"/>
          <w:szCs w:val="24"/>
        </w:rPr>
        <w:t xml:space="preserve">220953126</w:t>
      </w:r>
    </w:p>
    <w:p>
      <w:pPr>
        <w:spacing w:after="120" w:before="0" w:line="300" w:lineRule="auto"/>
        <w:jc w:val="center"/>
      </w:pPr>
      <w:r>
        <w:rPr>
          <w:rFonts w:ascii="Times New Roman" w:cs="Times New Roman" w:eastAsia="Times New Roman" w:hAnsi="Times New Roman"/>
          <w:i/>
          <w:iCs/>
          <w:sz w:val="24"/>
          <w:szCs w:val="24"/>
        </w:rPr>
        <w:t xml:space="preserve">Under the guidance of</w:t>
      </w:r>
    </w:p>
    <w:tbl>
      <w:tblPr>
        <w:tblW w:type="dxa" w:w="9360"/>
        <w:tblBorders>
          <w:top w:val="none"/>
          <w:left w:val="none"/>
          <w:bottom w:val="none"/>
          <w:right w:val="none"/>
          <w:insideH w:val="none"/>
          <w:insideV w:val="none"/>
        </w:tblBorders>
      </w:tblPr>
      <w:tblGrid>
        <w:gridCol w:w="4680"/>
        <w:gridCol w:w="4680"/>
      </w:tblGrid>
      <w:tr>
        <w:tc>
          <w:tcPr>
            <w:tcW w:type="dxa" w:w="4680"/>
          </w:tcPr>
          <w:p>
            <w:pPr>
              <w:spacing w:after="10" w:before="0" w:line="300" w:lineRule="auto"/>
              <w:jc w:val="center"/>
            </w:pPr>
            <w:r>
              <w:rPr>
                <w:rFonts w:ascii="Times New Roman" w:cs="Times New Roman" w:eastAsia="Times New Roman" w:hAnsi="Times New Roman"/>
                <w:b/>
                <w:bCs/>
                <w:sz w:val="24"/>
                <w:szCs w:val="24"/>
              </w:rPr>
              <w:t xml:space="preserve">Ms. Chithra K</w:t>
            </w:r>
          </w:p>
          <w:p>
            <w:pPr>
              <w:spacing w:after="10" w:before="0" w:line="300" w:lineRule="auto"/>
              <w:jc w:val="center"/>
            </w:pPr>
            <w:r>
              <w:rPr>
                <w:rFonts w:ascii="Times New Roman" w:cs="Times New Roman" w:eastAsia="Times New Roman" w:hAnsi="Times New Roman"/>
                <w:sz w:val="22"/>
                <w:szCs w:val="22"/>
              </w:rPr>
              <w:t xml:space="preserve">Assistant Professor</w:t>
            </w:r>
          </w:p>
          <w:p>
            <w:pPr>
              <w:spacing w:after="10" w:before="0" w:line="300" w:lineRule="auto"/>
              <w:jc w:val="center"/>
            </w:pPr>
            <w:r>
              <w:rPr>
                <w:rFonts w:ascii="Times New Roman" w:cs="Times New Roman" w:eastAsia="Times New Roman" w:hAnsi="Times New Roman"/>
                <w:sz w:val="22"/>
                <w:szCs w:val="22"/>
              </w:rPr>
              <w:t xml:space="preserve">School of Computer Engineering</w:t>
            </w:r>
          </w:p>
          <w:p>
            <w:pPr>
              <w:spacing w:after="10" w:before="0" w:line="300" w:lineRule="auto"/>
              <w:jc w:val="center"/>
            </w:pPr>
            <w:r>
              <w:rPr>
                <w:rFonts w:ascii="Times New Roman" w:cs="Times New Roman" w:eastAsia="Times New Roman" w:hAnsi="Times New Roman"/>
                <w:sz w:val="22"/>
                <w:szCs w:val="22"/>
              </w:rPr>
              <w:t xml:space="preserve">MIT, Manipal</w:t>
            </w:r>
          </w:p>
        </w:tc>
        <w:tc>
          <w:tcPr>
            <w:tcW w:type="dxa" w:w="4680"/>
          </w:tcPr>
          <w:p>
            <w:pPr>
              <w:spacing w:after="10" w:before="0" w:line="300" w:lineRule="auto"/>
              <w:jc w:val="center"/>
            </w:pPr>
            <w:r>
              <w:rPr>
                <w:rFonts w:ascii="Times New Roman" w:cs="Times New Roman" w:eastAsia="Times New Roman" w:hAnsi="Times New Roman"/>
                <w:b/>
                <w:bCs/>
                <w:sz w:val="24"/>
                <w:szCs w:val="24"/>
              </w:rPr>
              <w:t xml:space="preserve">Neha Agrawal</w:t>
            </w:r>
          </w:p>
          <w:p>
            <w:pPr>
              <w:spacing w:after="10" w:before="0" w:line="300" w:lineRule="auto"/>
              <w:jc w:val="center"/>
            </w:pPr>
            <w:r>
              <w:rPr>
                <w:rFonts w:ascii="Times New Roman" w:cs="Times New Roman" w:eastAsia="Times New Roman" w:hAnsi="Times New Roman"/>
                <w:sz w:val="22"/>
                <w:szCs w:val="22"/>
              </w:rPr>
              <w:t xml:space="preserve">Manager – Data Delivery</w:t>
            </w:r>
          </w:p>
          <w:p>
            <w:pPr>
              <w:spacing w:after="10" w:before="0" w:line="300" w:lineRule="auto"/>
              <w:jc w:val="center"/>
            </w:pPr>
            <w:r>
              <w:rPr>
                <w:rFonts w:ascii="Times New Roman" w:cs="Times New Roman" w:eastAsia="Times New Roman" w:hAnsi="Times New Roman"/>
                <w:sz w:val="22"/>
                <w:szCs w:val="22"/>
              </w:rPr>
              <w:t xml:space="preserve">Enterprise Data</w:t>
            </w:r>
          </w:p>
          <w:p>
            <w:pPr>
              <w:spacing w:after="10" w:before="0" w:line="300" w:lineRule="auto"/>
              <w:jc w:val="center"/>
            </w:pPr>
            <w:r>
              <w:rPr>
                <w:rFonts w:ascii="Times New Roman" w:cs="Times New Roman" w:eastAsia="Times New Roman" w:hAnsi="Times New Roman"/>
                <w:sz w:val="22"/>
                <w:szCs w:val="22"/>
              </w:rPr>
              <w:t xml:space="preserve">Eli Lilly and Company, Hyderabad</w:t>
            </w:r>
          </w:p>
        </w:tc>
      </w:tr>
    </w:tbl>
    <w:p>
      <w:pPr>
        <w:spacing w:after="60" w:before="260"/>
        <w:jc w:val="center"/>
      </w:pPr>
      <w:r>
        <w:drawing>
          <wp:inline distT="0" distB="0" distL="0" distR="0">
            <wp:extent cx="66675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800100"/>
                    </a:xfrm>
                    <a:prstGeom prst="rect">
                      <a:avLst/>
                    </a:prstGeom>
                  </pic:spPr>
                </pic:pic>
              </a:graphicData>
            </a:graphic>
          </wp:inline>
        </w:drawing>
      </w:r>
    </w:p>
    <w:p>
      <w:pPr>
        <w:spacing w:after="6" w:before="0" w:line="300" w:lineRule="auto"/>
        <w:jc w:val="center"/>
      </w:pPr>
      <w:r>
        <w:rPr>
          <w:rFonts w:ascii="Times New Roman" w:cs="Times New Roman" w:eastAsia="Times New Roman" w:hAnsi="Times New Roman"/>
          <w:b/>
          <w:bCs/>
          <w:sz w:val="26"/>
          <w:szCs w:val="26"/>
        </w:rPr>
        <w:t xml:space="preserve">MANIPAL INSTITUTE OF TECHNOLOGY</w:t>
      </w:r>
    </w:p>
    <w:p>
      <w:pPr>
        <w:spacing w:after="4" w:before="0" w:line="300" w:lineRule="auto"/>
        <w:jc w:val="center"/>
      </w:pPr>
      <w:r>
        <w:rPr>
          <w:rFonts w:ascii="Times New Roman" w:cs="Times New Roman" w:eastAsia="Times New Roman" w:hAnsi="Times New Roman"/>
          <w:sz w:val="22"/>
          <w:szCs w:val="22"/>
        </w:rPr>
        <w:t xml:space="preserve">MANIPAL</w:t>
      </w:r>
    </w:p>
    <w:p>
      <w:pPr>
        <w:spacing w:after="60" w:before="0" w:line="300" w:lineRule="auto"/>
        <w:jc w:val="center"/>
      </w:pPr>
      <w:r>
        <w:rPr>
          <w:rFonts w:ascii="Times New Roman" w:cs="Times New Roman" w:eastAsia="Times New Roman" w:hAnsi="Times New Roman"/>
          <w:i/>
          <w:iCs/>
          <w:sz w:val="20"/>
          <w:szCs w:val="20"/>
        </w:rPr>
        <w:t xml:space="preserve">(A constituent unit of MAHE, Manipal)</w:t>
      </w:r>
    </w:p>
    <w:p>
      <w:pPr>
        <w:spacing w:after="40" w:before="0" w:line="300" w:lineRule="auto"/>
        <w:jc w:val="center"/>
      </w:pPr>
      <w:r>
        <w:rPr>
          <w:rFonts w:ascii="Times New Roman" w:cs="Times New Roman" w:eastAsia="Times New Roman" w:hAnsi="Times New Roman"/>
          <w:b/>
          <w:bCs/>
          <w:sz w:val="24"/>
          <w:szCs w:val="24"/>
        </w:rPr>
        <w:t xml:space="preserve">SCHOOL OF COMPUTER ENGINEERING</w:t>
      </w:r>
    </w:p>
    <w:p>
      <w:pPr>
        <w:spacing w:after="0" w:before="0" w:line="300" w:lineRule="auto"/>
        <w:jc w:val="center"/>
      </w:pPr>
      <w:r>
        <w:rPr>
          <w:rFonts w:ascii="Times New Roman" w:cs="Times New Roman" w:eastAsia="Times New Roman" w:hAnsi="Times New Roman"/>
          <w:b/>
          <w:bCs/>
          <w:sz w:val="24"/>
          <w:szCs w:val="24"/>
        </w:rPr>
        <w:t xml:space="preserve">July 2026</w:t>
      </w:r>
    </w:p>
    <w:p>
      <w:pPr>
        <w:sectPr>
          <w:footerReference w:type="default" r:id="rId7"/>
          <w:pgSz w:w="11906" w:h="16838" w:orient="portrait"/>
          <w:pgMar w:top="1440" w:right="1440" w:bottom="1440" w:left="2160" w:header="708" w:footer="708" w:gutter="0"/>
          <w:pgNumType/>
          <w:docGrid w:linePitch="360"/>
        </w:sectPr>
      </w:pPr>
    </w:p>
    <w:p>
      <w:pPr>
        <w:pageBreakBefore/>
        <w:spacing w:after="300" w:before="200"/>
        <w:jc w:val="center"/>
      </w:pPr>
      <w:r>
        <w:rPr>
          <w:rFonts w:ascii="Times New Roman" w:cs="Times New Roman" w:eastAsia="Times New Roman" w:hAnsi="Times New Roman"/>
          <w:b/>
          <w:bCs/>
          <w:sz w:val="28"/>
          <w:szCs w:val="28"/>
        </w:rPr>
        <w:t xml:space="preserve">DECLARATION</w:t>
      </w:r>
    </w:p>
    <w:p>
      <w:pPr>
        <w:spacing w:after="160" w:before="0" w:line="360" w:lineRule="auto"/>
        <w:jc w:val="both"/>
      </w:pPr>
      <w:r>
        <w:rPr>
          <w:rFonts w:ascii="Times New Roman" w:cs="Times New Roman" w:eastAsia="Times New Roman" w:hAnsi="Times New Roman"/>
          <w:sz w:val="24"/>
          <w:szCs w:val="24"/>
        </w:rPr>
        <w:t xml:space="preserve">I hereby declare that this project work titled </w:t>
      </w:r>
      <w:r>
        <w:rPr>
          <w:rFonts w:ascii="Times New Roman" w:cs="Times New Roman" w:eastAsia="Times New Roman" w:hAnsi="Times New Roman"/>
          <w:i/>
          <w:iCs/>
          <w:sz w:val="24"/>
          <w:szCs w:val="24"/>
        </w:rPr>
        <w:t xml:space="preserve">“Enterprise-Scale Intelligent PDF Parsing and Structured Data Extraction System for Pharmaceutical Research Documents using AWS”</w:t>
      </w:r>
      <w:r>
        <w:rPr>
          <w:rFonts w:ascii="Times New Roman" w:cs="Times New Roman" w:eastAsia="Times New Roman" w:hAnsi="Times New Roman"/>
          <w:sz w:val="24"/>
          <w:szCs w:val="24"/>
        </w:rPr>
        <w:t xml:space="preserve"> is original and has been carried out by me in the School of Computer Engineering of Manipal Institute of Technology, Manipal, under the guidance of Ms. Chithra K, Assistant Professor, School of Computer Engineering, M.I.T., Manipal, and Ms. Neha Agrawal, Manager – Data Delivery, Enterprise Data, Eli Lilly and Company, Hyderabad. No part of this work has been submitted for the award of a degree or diploma either to this University or to any other University.</w:t>
      </w:r>
    </w:p>
    <w:p>
      <w:pPr>
        <w:spacing w:after="600"/>
      </w:pPr>
      <w:r>
        <w:rPr>
          <w:rFonts w:ascii="Times New Roman" w:cs="Times New Roman" w:eastAsia="Times New Roman" w:hAnsi="Times New Roman"/>
          <w:sz w:val="24"/>
          <w:szCs w:val="24"/>
        </w:rPr>
        <w:t xml:space="preserve"/>
      </w:r>
    </w:p>
    <w:p>
      <w:pPr>
        <w:spacing w:after="40" w:before="0" w:line="360" w:lineRule="auto"/>
        <w:jc w:val="left"/>
      </w:pPr>
      <w:r>
        <w:rPr>
          <w:rFonts w:ascii="Times New Roman" w:cs="Times New Roman" w:eastAsia="Times New Roman" w:hAnsi="Times New Roman"/>
          <w:sz w:val="24"/>
          <w:szCs w:val="24"/>
        </w:rPr>
        <w:t xml:space="preserve">Place: Manipal</w:t>
      </w:r>
    </w:p>
    <w:p>
      <w:pPr>
        <w:spacing w:after="600" w:before="0" w:line="360" w:lineRule="auto"/>
        <w:jc w:val="left"/>
      </w:pPr>
      <w:r>
        <w:rPr>
          <w:rFonts w:ascii="Times New Roman" w:cs="Times New Roman" w:eastAsia="Times New Roman" w:hAnsi="Times New Roman"/>
          <w:sz w:val="24"/>
          <w:szCs w:val="24"/>
        </w:rPr>
        <w:t xml:space="preserve">Date:</w:t>
      </w:r>
    </w:p>
    <w:p>
      <w:pPr>
        <w:jc w:val="right"/>
      </w:pPr>
      <w:r>
        <w:rPr>
          <w:rFonts w:ascii="Times New Roman" w:cs="Times New Roman" w:eastAsia="Times New Roman" w:hAnsi="Times New Roman"/>
          <w:b/>
          <w:bCs/>
          <w:sz w:val="24"/>
          <w:szCs w:val="24"/>
        </w:rPr>
        <w:t xml:space="preserve">Vansh Amit Jogani</w:t>
      </w:r>
    </w:p>
    <w:p>
      <w:pPr>
        <w:jc w:val="right"/>
      </w:pPr>
      <w:r>
        <w:rPr>
          <w:rFonts w:ascii="Times New Roman" w:cs="Times New Roman" w:eastAsia="Times New Roman" w:hAnsi="Times New Roman"/>
          <w:sz w:val="22"/>
          <w:szCs w:val="22"/>
        </w:rPr>
        <w:t xml:space="preserve">(Reg. No. 220953126)</w:t>
      </w:r>
    </w:p>
    <w:p>
      <w:pPr>
        <w:pageBreakBefore/>
        <w:spacing w:after="20" w:before="60"/>
        <w:jc w:val="center"/>
      </w:pPr>
      <w:r>
        <w:drawing>
          <wp:inline distT="0" distB="0" distL="0" distR="0">
            <wp:extent cx="5715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 cy="685800"/>
                    </a:xfrm>
                    <a:prstGeom prst="rect">
                      <a:avLst/>
                    </a:prstGeom>
                  </pic:spPr>
                </pic:pic>
              </a:graphicData>
            </a:graphic>
          </wp:inline>
        </w:drawing>
      </w:r>
    </w:p>
    <w:p>
      <w:pPr>
        <w:spacing w:after="4" w:before="0" w:line="300" w:lineRule="auto"/>
        <w:jc w:val="center"/>
      </w:pPr>
      <w:r>
        <w:rPr>
          <w:rFonts w:ascii="Times New Roman" w:cs="Times New Roman" w:eastAsia="Times New Roman" w:hAnsi="Times New Roman"/>
          <w:b/>
          <w:bCs/>
          <w:sz w:val="24"/>
          <w:szCs w:val="24"/>
        </w:rPr>
        <w:t xml:space="preserve">MANIPAL INSTITUTE OF TECHNOLOGY</w:t>
      </w:r>
    </w:p>
    <w:p>
      <w:pPr>
        <w:spacing w:after="8" w:before="0" w:line="300" w:lineRule="auto"/>
        <w:jc w:val="center"/>
      </w:pPr>
      <w:r>
        <w:rPr>
          <w:rFonts w:ascii="Times New Roman" w:cs="Times New Roman" w:eastAsia="Times New Roman" w:hAnsi="Times New Roman"/>
          <w:i/>
          <w:iCs/>
          <w:sz w:val="20"/>
          <w:szCs w:val="20"/>
        </w:rPr>
        <w:t xml:space="preserve">(A constituent unit of MAHE, Manipal)</w:t>
      </w:r>
    </w:p>
    <w:p>
      <w:pPr>
        <w:spacing w:after="220" w:before="0" w:line="300" w:lineRule="auto"/>
        <w:jc w:val="center"/>
      </w:pPr>
      <w:r>
        <w:rPr>
          <w:rFonts w:ascii="Times New Roman" w:cs="Times New Roman" w:eastAsia="Times New Roman" w:hAnsi="Times New Roman"/>
          <w:b/>
          <w:bCs/>
          <w:sz w:val="22"/>
          <w:szCs w:val="22"/>
        </w:rPr>
        <w:t xml:space="preserve">SCHOOL OF COMPUTER ENGINEERING</w:t>
      </w:r>
    </w:p>
    <w:p>
      <w:pPr>
        <w:spacing w:after="20"/>
        <w:jc w:val="right"/>
      </w:pPr>
      <w:r>
        <w:rPr>
          <w:rFonts w:ascii="Times New Roman" w:cs="Times New Roman" w:eastAsia="Times New Roman" w:hAnsi="Times New Roman"/>
          <w:sz w:val="22"/>
          <w:szCs w:val="22"/>
        </w:rPr>
        <w:t xml:space="preserve">Place: Manipal</w:t>
      </w:r>
    </w:p>
    <w:p>
      <w:pPr>
        <w:spacing w:after="180"/>
        <w:jc w:val="right"/>
      </w:pPr>
      <w:r>
        <w:rPr>
          <w:rFonts w:ascii="Times New Roman" w:cs="Times New Roman" w:eastAsia="Times New Roman" w:hAnsi="Times New Roman"/>
          <w:sz w:val="22"/>
          <w:szCs w:val="22"/>
        </w:rPr>
        <w:t xml:space="preserve">Date: DD/MM/YYYY</w:t>
      </w:r>
    </w:p>
    <w:p>
      <w:pPr>
        <w:spacing w:after="220" w:before="0" w:line="300" w:lineRule="auto"/>
        <w:jc w:val="center"/>
      </w:pPr>
      <w:r>
        <w:rPr>
          <w:rFonts w:ascii="Times New Roman" w:cs="Times New Roman" w:eastAsia="Times New Roman" w:hAnsi="Times New Roman"/>
          <w:b/>
          <w:bCs/>
          <w:sz w:val="30"/>
          <w:szCs w:val="30"/>
        </w:rPr>
        <w:t xml:space="preserve">CERTIFICATE</w:t>
      </w:r>
    </w:p>
    <w:p>
      <w:pPr>
        <w:spacing w:after="160" w:before="0" w:line="360" w:lineRule="auto"/>
        <w:jc w:val="both"/>
      </w:pPr>
      <w:r>
        <w:rPr>
          <w:rFonts w:ascii="Times New Roman" w:cs="Times New Roman" w:eastAsia="Times New Roman" w:hAnsi="Times New Roman"/>
          <w:sz w:val="24"/>
          <w:szCs w:val="24"/>
        </w:rPr>
        <w:t xml:space="preserve">This is to certify that the project titled </w:t>
      </w:r>
      <w:r>
        <w:rPr>
          <w:rFonts w:ascii="Times New Roman" w:cs="Times New Roman" w:eastAsia="Times New Roman" w:hAnsi="Times New Roman"/>
          <w:i/>
          <w:iCs/>
          <w:sz w:val="24"/>
          <w:szCs w:val="24"/>
        </w:rPr>
        <w:t xml:space="preserve">“Enterprise-Scale Intelligent PDF Parsing and Structured Data Extraction System for Pharmaceutical Research Documents using AWS”</w:t>
      </w:r>
      <w:r>
        <w:rPr>
          <w:rFonts w:ascii="Times New Roman" w:cs="Times New Roman" w:eastAsia="Times New Roman" w:hAnsi="Times New Roman"/>
          <w:sz w:val="24"/>
          <w:szCs w:val="24"/>
        </w:rPr>
        <w:t xml:space="preserve"> is a record of the bonafide work done by </w:t>
      </w:r>
      <w:r>
        <w:rPr>
          <w:rFonts w:ascii="Times New Roman" w:cs="Times New Roman" w:eastAsia="Times New Roman" w:hAnsi="Times New Roman"/>
          <w:b/>
          <w:bCs/>
          <w:sz w:val="24"/>
          <w:szCs w:val="24"/>
        </w:rPr>
        <w:t xml:space="preserve">Vansh Amit Jogani</w:t>
      </w:r>
      <w:r>
        <w:rPr>
          <w:rFonts w:ascii="Times New Roman" w:cs="Times New Roman" w:eastAsia="Times New Roman" w:hAnsi="Times New Roman"/>
          <w:sz w:val="24"/>
          <w:szCs w:val="24"/>
        </w:rPr>
        <w:t xml:space="preserve"> (Reg. No. 220953126) submitted in partial fulfilment of the requirements for the award of the Degree of Bachelor of Technology (B.Tech.) in </w:t>
      </w:r>
      <w:r>
        <w:rPr>
          <w:rFonts w:ascii="Times New Roman" w:cs="Times New Roman" w:eastAsia="Times New Roman" w:hAnsi="Times New Roman"/>
          <w:b/>
          <w:bCs/>
          <w:sz w:val="24"/>
          <w:szCs w:val="24"/>
        </w:rPr>
        <w:t xml:space="preserve">COMPUTER AND COMMUNICATION ENGINEERING</w:t>
      </w:r>
      <w:r>
        <w:rPr>
          <w:rFonts w:ascii="Times New Roman" w:cs="Times New Roman" w:eastAsia="Times New Roman" w:hAnsi="Times New Roman"/>
          <w:sz w:val="24"/>
          <w:szCs w:val="24"/>
        </w:rPr>
        <w:t xml:space="preserve"> of Manipal Institute of Technology, Manipal, Karnataka, during the academic year 2025–2026.</w:t>
      </w:r>
    </w:p>
    <w:p>
      <w:pPr>
        <w:spacing w:after="700"/>
      </w:pPr>
      <w:r>
        <w:rPr>
          <w:rFonts w:ascii="Times New Roman" w:cs="Times New Roman" w:eastAsia="Times New Roman" w:hAnsi="Times New Roman"/>
          <w:sz w:val="24"/>
          <w:szCs w:val="24"/>
        </w:rPr>
        <w:t xml:space="preserve"/>
      </w:r>
    </w:p>
    <w:tbl>
      <w:tblPr>
        <w:tblW w:type="dxa" w:w="9360"/>
        <w:tblBorders>
          <w:top w:val="none"/>
          <w:left w:val="none"/>
          <w:bottom w:val="none"/>
          <w:right w:val="none"/>
          <w:insideH w:val="none"/>
          <w:insideV w:val="none"/>
        </w:tblBorders>
      </w:tblPr>
      <w:tblGrid>
        <w:gridCol w:w="4680"/>
        <w:gridCol w:w="4680"/>
      </w:tblGrid>
      <w:tr>
        <w:tc>
          <w:tcPr>
            <w:tcW w:type="dxa" w:w="4680"/>
          </w:tcPr>
          <w:p>
            <w:r>
              <w:rPr>
                <w:rFonts w:ascii="Times New Roman" w:cs="Times New Roman" w:eastAsia="Times New Roman" w:hAnsi="Times New Roman"/>
                <w:b/>
                <w:bCs/>
                <w:sz w:val="24"/>
                <w:szCs w:val="24"/>
              </w:rPr>
              <w:t xml:space="preserve">Ms. Chithra K</w:t>
            </w:r>
          </w:p>
          <w:p>
            <w:r>
              <w:rPr>
                <w:rFonts w:ascii="Times New Roman" w:cs="Times New Roman" w:eastAsia="Times New Roman" w:hAnsi="Times New Roman"/>
                <w:i/>
                <w:iCs/>
                <w:sz w:val="22"/>
                <w:szCs w:val="22"/>
              </w:rPr>
              <w:t xml:space="preserve">Assistant Professor</w:t>
            </w:r>
          </w:p>
          <w:p>
            <w:r>
              <w:rPr>
                <w:rFonts w:ascii="Times New Roman" w:cs="Times New Roman" w:eastAsia="Times New Roman" w:hAnsi="Times New Roman"/>
                <w:i/>
                <w:iCs/>
                <w:sz w:val="22"/>
                <w:szCs w:val="22"/>
              </w:rPr>
              <w:t xml:space="preserve">School of Computer Engineering,</w:t>
            </w:r>
          </w:p>
          <w:p>
            <w:r>
              <w:rPr>
                <w:rFonts w:ascii="Times New Roman" w:cs="Times New Roman" w:eastAsia="Times New Roman" w:hAnsi="Times New Roman"/>
                <w:i/>
                <w:iCs/>
                <w:sz w:val="22"/>
                <w:szCs w:val="22"/>
              </w:rPr>
              <w:t xml:space="preserve">Manipal Institute of Technology, Manipal</w:t>
            </w:r>
          </w:p>
        </w:tc>
        <w:tc>
          <w:tcPr>
            <w:tcW w:type="dxa" w:w="4680"/>
          </w:tcPr>
          <w:p>
            <w:r>
              <w:rPr>
                <w:rFonts w:ascii="Times New Roman" w:cs="Times New Roman" w:eastAsia="Times New Roman" w:hAnsi="Times New Roman"/>
                <w:b/>
                <w:bCs/>
                <w:sz w:val="24"/>
                <w:szCs w:val="24"/>
              </w:rPr>
              <w:t xml:space="preserve">Dr. Smitha N. Pai</w:t>
            </w:r>
          </w:p>
          <w:p>
            <w:r>
              <w:rPr>
                <w:rFonts w:ascii="Times New Roman" w:cs="Times New Roman" w:eastAsia="Times New Roman" w:hAnsi="Times New Roman"/>
                <w:i/>
                <w:iCs/>
                <w:sz w:val="22"/>
                <w:szCs w:val="22"/>
              </w:rPr>
              <w:t xml:space="preserve">Professor &amp; Associate Dean,</w:t>
            </w:r>
          </w:p>
          <w:p>
            <w:r>
              <w:rPr>
                <w:rFonts w:ascii="Times New Roman" w:cs="Times New Roman" w:eastAsia="Times New Roman" w:hAnsi="Times New Roman"/>
                <w:i/>
                <w:iCs/>
                <w:sz w:val="22"/>
                <w:szCs w:val="22"/>
              </w:rPr>
              <w:t xml:space="preserve">School of Computer Engineering,</w:t>
            </w:r>
          </w:p>
          <w:p>
            <w:r>
              <w:rPr>
                <w:rFonts w:ascii="Times New Roman" w:cs="Times New Roman" w:eastAsia="Times New Roman" w:hAnsi="Times New Roman"/>
                <w:i/>
                <w:iCs/>
                <w:sz w:val="22"/>
                <w:szCs w:val="22"/>
              </w:rPr>
              <w:t xml:space="preserve">Manipal Institute of Technology, Manipal</w:t>
            </w:r>
          </w:p>
        </w:tc>
      </w:tr>
    </w:tbl>
    <w:p>
      <w:pPr>
        <w:pageBreakBefore/>
        <w:spacing w:after="260" w:before="200"/>
        <w:jc w:val="center"/>
      </w:pPr>
      <w:r>
        <w:rPr>
          <w:rFonts w:ascii="Times New Roman" w:cs="Times New Roman" w:eastAsia="Times New Roman" w:hAnsi="Times New Roman"/>
          <w:b/>
          <w:bCs/>
          <w:sz w:val="28"/>
          <w:szCs w:val="28"/>
        </w:rPr>
        <w:t xml:space="preserve">PROJECT COMPLETION LETTER</w:t>
      </w:r>
    </w:p>
    <w:p>
      <w:pPr>
        <w:spacing w:after="160" w:before="0" w:line="360" w:lineRule="auto"/>
        <w:jc w:val="both"/>
      </w:pPr>
      <w:r>
        <w:rPr>
          <w:rFonts w:ascii="Times New Roman" w:cs="Times New Roman" w:eastAsia="Times New Roman" w:hAnsi="Times New Roman"/>
          <w:i/>
          <w:iCs/>
          <w:color w:val="666666"/>
          <w:sz w:val="24"/>
          <w:szCs w:val="24"/>
        </w:rPr>
        <w:t xml:space="preserve">The project completion certificate issued by Eli Lilly and Company on the organization letterhead, signed by the mentor / authorised person, is to be inserted here. It states the internship duration (16 January 2026 – 15 July 2026) and the project title.</w:t>
      </w:r>
    </w:p>
    <w:p>
      <w:pPr>
        <w:spacing w:after="160" w:before="0" w:line="360" w:lineRule="auto"/>
        <w:jc w:val="center"/>
      </w:pPr>
      <w:r>
        <w:rPr>
          <w:rFonts w:ascii="Times New Roman" w:cs="Times New Roman" w:eastAsia="Times New Roman" w:hAnsi="Times New Roman"/>
          <w:i/>
          <w:iCs/>
          <w:color w:val="999999"/>
          <w:sz w:val="24"/>
          <w:szCs w:val="24"/>
        </w:rPr>
        <w:t xml:space="preserve">[ Placeholder — company completion letter to be appended. ]</w:t>
      </w:r>
    </w:p>
    <w:p>
      <w:pPr>
        <w:pageBreakBefore/>
        <w:spacing w:after="260" w:before="200"/>
        <w:jc w:val="center"/>
      </w:pPr>
      <w:r>
        <w:rPr>
          <w:rFonts w:ascii="Times New Roman" w:cs="Times New Roman" w:eastAsia="Times New Roman" w:hAnsi="Times New Roman"/>
          <w:b/>
          <w:bCs/>
          <w:sz w:val="28"/>
          <w:szCs w:val="28"/>
        </w:rPr>
        <w:t xml:space="preserve">ACKNOWLEDGMENTS</w:t>
      </w:r>
    </w:p>
    <w:p>
      <w:pPr>
        <w:spacing w:after="160" w:before="0" w:line="360" w:lineRule="auto"/>
        <w:jc w:val="both"/>
      </w:pPr>
      <w:r>
        <w:rPr>
          <w:rFonts w:ascii="Times New Roman" w:cs="Times New Roman" w:eastAsia="Times New Roman" w:hAnsi="Times New Roman"/>
          <w:sz w:val="24"/>
          <w:szCs w:val="24"/>
        </w:rPr>
        <w:t xml:space="preserve">I would like to express my sincere gratitude to everyone who supported and guided me through the course of this Practice School internship at Eli Lilly and Company, Hyderabad.</w:t>
      </w:r>
    </w:p>
    <w:p>
      <w:pPr>
        <w:spacing w:after="160" w:before="0" w:line="360" w:lineRule="auto"/>
        <w:jc w:val="both"/>
      </w:pPr>
      <w:r>
        <w:rPr>
          <w:rFonts w:ascii="Times New Roman" w:cs="Times New Roman" w:eastAsia="Times New Roman" w:hAnsi="Times New Roman"/>
          <w:sz w:val="24"/>
          <w:szCs w:val="24"/>
        </w:rPr>
        <w:t xml:space="preserve">I am deeply grateful to the Director and the Dean of Manipal Institute of Technology, and to Dr. Smitha N. Pai, Professor and Associate Dean, School of Computer Engineering, for enabling this internship opportunity. I extend my heartfelt thanks to my internal guide, Ms. Chithra K, Assistant Professor, School of Computer Engineering, for her continued academic guidance, timely feedback, and encouragement throughout the project.</w:t>
      </w:r>
    </w:p>
    <w:p>
      <w:pPr>
        <w:spacing w:after="160" w:before="0" w:line="360" w:lineRule="auto"/>
        <w:jc w:val="both"/>
      </w:pPr>
      <w:r>
        <w:rPr>
          <w:rFonts w:ascii="Times New Roman" w:cs="Times New Roman" w:eastAsia="Times New Roman" w:hAnsi="Times New Roman"/>
          <w:sz w:val="24"/>
          <w:szCs w:val="24"/>
        </w:rPr>
        <w:t xml:space="preserve">I am especially thankful to my external guide and supervisor, Ms. Neha Agrawal, Manager – Data Delivery, Enterprise Data, for her mentorship, for trusting me with meaningful and challenging problems, and for her constructive feedback at every stage. I would also like to thank my mentors and buddies, Mr. Pradeep HC and Ms. Deeksha CA, for their day-to-day technical guidance, code reviews, and patient support as I ramped up on the enterprise environment.</w:t>
      </w:r>
    </w:p>
    <w:p>
      <w:pPr>
        <w:spacing w:after="160" w:before="0" w:line="360" w:lineRule="auto"/>
        <w:jc w:val="both"/>
      </w:pPr>
      <w:r>
        <w:rPr>
          <w:rFonts w:ascii="Times New Roman" w:cs="Times New Roman" w:eastAsia="Times New Roman" w:hAnsi="Times New Roman"/>
          <w:sz w:val="24"/>
          <w:szCs w:val="24"/>
        </w:rPr>
        <w:t xml:space="preserve">Finally, I thank the entire Enterprise Data and Data Delivery team at Eli Lilly for the collaborative and welcoming environment, and my family and friends for their constant support and motivation throughout this journey.</w:t>
      </w:r>
    </w:p>
    <w:p>
      <w:pPr>
        <w:spacing w:after="300"/>
      </w:pPr>
      <w:r>
        <w:rPr>
          <w:rFonts w:ascii="Times New Roman" w:cs="Times New Roman" w:eastAsia="Times New Roman" w:hAnsi="Times New Roman"/>
          <w:sz w:val="24"/>
          <w:szCs w:val="24"/>
        </w:rPr>
        <w:t xml:space="preserve"/>
      </w:r>
    </w:p>
    <w:p>
      <w:pPr>
        <w:jc w:val="right"/>
      </w:pPr>
      <w:r>
        <w:rPr>
          <w:rFonts w:ascii="Times New Roman" w:cs="Times New Roman" w:eastAsia="Times New Roman" w:hAnsi="Times New Roman"/>
          <w:b/>
          <w:bCs/>
          <w:sz w:val="24"/>
          <w:szCs w:val="24"/>
        </w:rPr>
        <w:t xml:space="preserve">Vansh Amit Jogani</w:t>
      </w:r>
    </w:p>
    <w:p>
      <w:pPr>
        <w:pageBreakBefore/>
        <w:spacing w:after="240" w:before="160"/>
        <w:jc w:val="center"/>
      </w:pPr>
      <w:r>
        <w:rPr>
          <w:rFonts w:ascii="Times New Roman" w:cs="Times New Roman" w:eastAsia="Times New Roman" w:hAnsi="Times New Roman"/>
          <w:b/>
          <w:bCs/>
          <w:sz w:val="28"/>
          <w:szCs w:val="28"/>
        </w:rPr>
        <w:t xml:space="preserve">ABSTRACT</w:t>
      </w:r>
    </w:p>
    <w:p>
      <w:pPr>
        <w:spacing w:after="160" w:before="0" w:line="360" w:lineRule="auto"/>
        <w:jc w:val="both"/>
      </w:pPr>
      <w:r>
        <w:rPr>
          <w:rFonts w:ascii="Times New Roman" w:cs="Times New Roman" w:eastAsia="Times New Roman" w:hAnsi="Times New Roman"/>
          <w:sz w:val="24"/>
          <w:szCs w:val="24"/>
        </w:rPr>
        <w:t xml:space="preserve">Pharmaceutical research and manufacturing generate large volumes of documentation — stability studies, certificates of analysis, and batch records — that arrive as PDFs from many different laboratories and vendors. These documents are semi-structured, vary widely in layout, and frequently include scanned pages and tables that span multiple pages, making manual extraction slow, error-prone, and impossible to scale. This work addresses the problem of automatically converting such heterogeneous research PDFs into standardised, machine-readable JSON for downstream analytics, reporting, and regulatory archival within an enterprise data platform.</w:t>
      </w:r>
    </w:p>
    <w:p>
      <w:pPr>
        <w:spacing w:after="160" w:before="0" w:line="360" w:lineRule="auto"/>
        <w:jc w:val="both"/>
      </w:pPr>
      <w:r>
        <w:rPr>
          <w:rFonts w:ascii="Times New Roman" w:cs="Times New Roman" w:eastAsia="Times New Roman" w:hAnsi="Times New Roman"/>
          <w:sz w:val="24"/>
          <w:szCs w:val="24"/>
        </w:rPr>
        <w:t xml:space="preserve">The proposed system is a cloud-native, event-driven pipeline that combines optical character recognition with a Visual Language Model (VLM). Amazon Textract provides a reliable text-and-table baseline that is treated as ground truth, while a VLM examines each page as both an image and text to first generate a JSON schema and then populate it with extracted values. A validation layer scores every page for completeness against the OCR baseline and automatically re-extracts pages that fall below a quality threshold, and a post-processing stage performs data-quality flagging, multi-page merging, and refinement into typed values and standardised dates.</w:t>
      </w:r>
    </w:p>
    <w:p>
      <w:pPr>
        <w:spacing w:after="160" w:before="0" w:line="360" w:lineRule="auto"/>
        <w:jc w:val="both"/>
      </w:pPr>
      <w:r>
        <w:rPr>
          <w:rFonts w:ascii="Times New Roman" w:cs="Times New Roman" w:eastAsia="Times New Roman" w:hAnsi="Times New Roman"/>
          <w:sz w:val="24"/>
          <w:szCs w:val="24"/>
        </w:rPr>
        <w:t xml:space="preserve">Evaluated on a set of nineteen representative documents using precision, recall, and the Jaccard index against the Textract reference, the pipeline consistently achieved high recall — averaging roughly eighty-five percent — indicating that most information present on the page is captured. A domain-expert review by the research laboratories team reported accuracy of approximately ninety-five percent on their documents and recognised the built-in per-page quality scoring as a key strength. Under a stress test the pipeline processed on the order of five hundred documents in thirty to forty-five minutes at a concurrency of about twenty-five workers, and it was successfully deployed and validated through development and quality-assurance environments.</w:t>
      </w:r>
    </w:p>
    <w:p>
      <w:pPr>
        <w:spacing w:after="160" w:before="0" w:line="360" w:lineRule="auto"/>
        <w:jc w:val="both"/>
      </w:pPr>
      <w:r>
        <w:rPr>
          <w:rFonts w:ascii="Times New Roman" w:cs="Times New Roman" w:eastAsia="Times New Roman" w:hAnsi="Times New Roman"/>
          <w:sz w:val="24"/>
          <w:szCs w:val="24"/>
        </w:rPr>
        <w:t xml:space="preserve">The results demonstrate that a template-free OCR-plus-VLM approach with self-healing validation can reliably transform diverse pharmaceutical PDFs into structured data, shifting the human reviewer’s role from reading every line to reviewing only flagged items. The report also documents three supporting contributions delivered during the internship: a latency-reduction initiative for a web-analytics pipeline, an autonomous agent that generates data-load pipeline configurations from any REST API, and a lineage-and-usage dashboard for the platform’s reusable components. Tools and technologies used include Python, AWS (S3, Lambda, Glue, Textract, Secrets Manager, CloudFormation/SAM), Claude Sonnet via an internal GenAI gateway, PyMuPDF, dlt (Data Load Tool), SQLite, and GitHub Actions.</w:t>
      </w:r>
    </w:p>
    <w:p>
      <w:pPr>
        <w:pageBreakBefore/>
        <w:spacing w:after="200" w:before="120"/>
        <w:jc w:val="center"/>
      </w:pPr>
      <w:r>
        <w:rPr>
          <w:rFonts w:ascii="Times New Roman" w:cs="Times New Roman" w:eastAsia="Times New Roman" w:hAnsi="Times New Roman"/>
          <w:b/>
          <w:bCs/>
          <w:sz w:val="28"/>
          <w:szCs w:val="28"/>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60" w:before="120" w:line="360" w:lineRule="auto"/>
        <w:jc w:val="center"/>
      </w:pPr>
      <w:r>
        <w:rPr>
          <w:rFonts w:ascii="Times New Roman" w:cs="Times New Roman" w:eastAsia="Times New Roman" w:hAnsi="Times New Roman"/>
          <w:i/>
          <w:iCs/>
          <w:color w:val="888888"/>
          <w:sz w:val="18"/>
          <w:szCs w:val="18"/>
        </w:rPr>
        <w:t xml:space="preserve">(Right-click the table and choose “Update Field”, or press Ctrl+A then F9 in Word, to populate page numbers.)</w:t>
      </w:r>
    </w:p>
    <w:p>
      <w:pPr>
        <w:pageBreakBefore/>
        <w:spacing w:after="220" w:before="120"/>
        <w:jc w:val="center"/>
      </w:pPr>
      <w:r>
        <w:rPr>
          <w:rFonts w:ascii="Times New Roman" w:cs="Times New Roman" w:eastAsia="Times New Roman" w:hAnsi="Times New Roman"/>
          <w:b/>
          <w:bCs/>
          <w:sz w:val="28"/>
          <w:szCs w:val="28"/>
        </w:rPr>
        <w:t xml:space="preserve">LIST OF TABLES</w:t>
      </w:r>
    </w:p>
    <w:p>
      <w:pPr>
        <w:spacing w:after="120" w:line="300" w:lineRule="auto"/>
      </w:pPr>
      <w:r>
        <w:rPr>
          <w:rFonts w:ascii="Times New Roman" w:cs="Times New Roman" w:eastAsia="Times New Roman" w:hAnsi="Times New Roman"/>
          <w:sz w:val="23"/>
          <w:szCs w:val="23"/>
        </w:rPr>
        <w:t xml:space="preserve">Table 1.1   Project work schedule across the six-month internship</w:t>
      </w:r>
    </w:p>
    <w:p>
      <w:pPr>
        <w:spacing w:after="120" w:line="300" w:lineRule="auto"/>
      </w:pPr>
      <w:r>
        <w:rPr>
          <w:rFonts w:ascii="Times New Roman" w:cs="Times New Roman" w:eastAsia="Times New Roman" w:hAnsi="Times New Roman"/>
          <w:sz w:val="23"/>
          <w:szCs w:val="23"/>
        </w:rPr>
        <w:t xml:space="preserve">Table 2.1   Comparison of document-processing approaches</w:t>
      </w:r>
    </w:p>
    <w:p>
      <w:pPr>
        <w:spacing w:after="120" w:line="300" w:lineRule="auto"/>
      </w:pPr>
      <w:r>
        <w:rPr>
          <w:rFonts w:ascii="Times New Roman" w:cs="Times New Roman" w:eastAsia="Times New Roman" w:hAnsi="Times New Roman"/>
          <w:sz w:val="23"/>
          <w:szCs w:val="23"/>
        </w:rPr>
        <w:t xml:space="preserve">Table 3.1   Technology stack of the document-parsing pipeline</w:t>
      </w:r>
    </w:p>
    <w:p>
      <w:pPr>
        <w:spacing w:after="120" w:line="300" w:lineRule="auto"/>
      </w:pPr>
      <w:r>
        <w:rPr>
          <w:rFonts w:ascii="Times New Roman" w:cs="Times New Roman" w:eastAsia="Times New Roman" w:hAnsi="Times New Roman"/>
          <w:sz w:val="23"/>
          <w:szCs w:val="23"/>
        </w:rPr>
        <w:t xml:space="preserve">Table 3.2   Per-page quality grades (recall and Jaccard thresholds)</w:t>
      </w:r>
    </w:p>
    <w:p>
      <w:pPr>
        <w:spacing w:after="120" w:line="300" w:lineRule="auto"/>
      </w:pPr>
      <w:r>
        <w:rPr>
          <w:rFonts w:ascii="Times New Roman" w:cs="Times New Roman" w:eastAsia="Times New Roman" w:hAnsi="Times New Roman"/>
          <w:sz w:val="23"/>
          <w:szCs w:val="23"/>
        </w:rPr>
        <w:t xml:space="preserve">Table 3.3   Tiered self-healing re-extraction strategy</w:t>
      </w:r>
    </w:p>
    <w:p>
      <w:pPr>
        <w:spacing w:after="120" w:line="300" w:lineRule="auto"/>
      </w:pPr>
      <w:r>
        <w:rPr>
          <w:rFonts w:ascii="Times New Roman" w:cs="Times New Roman" w:eastAsia="Times New Roman" w:hAnsi="Times New Roman"/>
          <w:sz w:val="23"/>
          <w:szCs w:val="23"/>
        </w:rPr>
        <w:t xml:space="preserve">Table 4.1   Validation framework — metrics and findings</w:t>
      </w:r>
    </w:p>
    <w:p>
      <w:pPr>
        <w:spacing w:after="120" w:line="300" w:lineRule="auto"/>
      </w:pPr>
      <w:r>
        <w:rPr>
          <w:rFonts w:ascii="Times New Roman" w:cs="Times New Roman" w:eastAsia="Times New Roman" w:hAnsi="Times New Roman"/>
          <w:sz w:val="23"/>
          <w:szCs w:val="23"/>
        </w:rPr>
        <w:t xml:space="preserve">Table 5.1   GA4 pipeline — measured baseline metrics</w:t>
      </w:r>
    </w:p>
    <w:p>
      <w:pPr>
        <w:spacing w:after="120" w:line="300" w:lineRule="auto"/>
      </w:pPr>
      <w:r>
        <w:rPr>
          <w:rFonts w:ascii="Times New Roman" w:cs="Times New Roman" w:eastAsia="Times New Roman" w:hAnsi="Times New Roman"/>
          <w:sz w:val="23"/>
          <w:szCs w:val="23"/>
        </w:rPr>
        <w:t xml:space="preserve">Table 5.2   EDB reusable-components — discovery coverage</w:t>
      </w:r>
    </w:p>
    <w:p>
      <w:pPr>
        <w:pageBreakBefore/>
        <w:spacing w:after="220" w:before="120"/>
        <w:jc w:val="center"/>
      </w:pPr>
      <w:r>
        <w:rPr>
          <w:rFonts w:ascii="Times New Roman" w:cs="Times New Roman" w:eastAsia="Times New Roman" w:hAnsi="Times New Roman"/>
          <w:b/>
          <w:bCs/>
          <w:sz w:val="28"/>
          <w:szCs w:val="28"/>
        </w:rPr>
        <w:t xml:space="preserve">LIST OF FIGURES</w:t>
      </w:r>
    </w:p>
    <w:p>
      <w:pPr>
        <w:spacing w:after="120" w:line="300" w:lineRule="auto"/>
      </w:pPr>
      <w:r>
        <w:rPr>
          <w:rFonts w:ascii="Times New Roman" w:cs="Times New Roman" w:eastAsia="Times New Roman" w:hAnsi="Times New Roman"/>
          <w:sz w:val="23"/>
          <w:szCs w:val="23"/>
        </w:rPr>
        <w:t xml:space="preserve">Figure 3.1   EDB Document Parser — four-phase extraction pipeline</w:t>
      </w:r>
    </w:p>
    <w:p>
      <w:pPr>
        <w:spacing w:after="120" w:line="300" w:lineRule="auto"/>
      </w:pPr>
      <w:r>
        <w:rPr>
          <w:rFonts w:ascii="Times New Roman" w:cs="Times New Roman" w:eastAsia="Times New Roman" w:hAnsi="Times New Roman"/>
          <w:sz w:val="23"/>
          <w:szCs w:val="23"/>
        </w:rPr>
        <w:t xml:space="preserve">Figure 5.1   GA4 Enhancement Pipeline — latency-reduction data flow</w:t>
      </w:r>
    </w:p>
    <w:p>
      <w:pPr>
        <w:spacing w:after="120" w:line="300" w:lineRule="auto"/>
      </w:pPr>
      <w:r>
        <w:rPr>
          <w:rFonts w:ascii="Times New Roman" w:cs="Times New Roman" w:eastAsia="Times New Roman" w:hAnsi="Times New Roman"/>
          <w:sz w:val="23"/>
          <w:szCs w:val="23"/>
        </w:rPr>
        <w:t xml:space="preserve">Figure 5.2   Agentic DLT Config Generator — autonomous four-phase workflow</w:t>
      </w:r>
    </w:p>
    <w:p>
      <w:pPr>
        <w:spacing w:after="120" w:line="300" w:lineRule="auto"/>
      </w:pPr>
      <w:r>
        <w:rPr>
          <w:rFonts w:ascii="Times New Roman" w:cs="Times New Roman" w:eastAsia="Times New Roman" w:hAnsi="Times New Roman"/>
          <w:sz w:val="23"/>
          <w:szCs w:val="23"/>
        </w:rPr>
        <w:t xml:space="preserve">Figure 5.3   EDB Lineage Discovery Engine — reusable-components dashboard</w:t>
      </w:r>
    </w:p>
    <w:p>
      <w:pPr>
        <w:pageBreakBefore/>
        <w:spacing w:after="220" w:before="120"/>
        <w:jc w:val="center"/>
      </w:pPr>
      <w:r>
        <w:rPr>
          <w:rFonts w:ascii="Times New Roman" w:cs="Times New Roman" w:eastAsia="Times New Roman" w:hAnsi="Times New Roman"/>
          <w:b/>
          <w:bCs/>
          <w:sz w:val="28"/>
          <w:szCs w:val="28"/>
        </w:rPr>
        <w:t xml:space="preserve">ABBREVIATIONS</w:t>
      </w:r>
    </w:p>
    <w:p>
      <w:pPr>
        <w:spacing w:after="70" w:line="300" w:lineRule="auto"/>
      </w:pPr>
      <w:r>
        <w:rPr>
          <w:rFonts w:ascii="Times New Roman" w:cs="Times New Roman" w:eastAsia="Times New Roman" w:hAnsi="Times New Roman"/>
          <w:b/>
          <w:bCs/>
          <w:sz w:val="23"/>
          <w:szCs w:val="23"/>
        </w:rPr>
        <w:t xml:space="preserve">API       </w:t>
      </w:r>
      <w:r>
        <w:rPr>
          <w:rFonts w:ascii="Times New Roman" w:cs="Times New Roman" w:eastAsia="Times New Roman" w:hAnsi="Times New Roman"/>
          <w:sz w:val="23"/>
          <w:szCs w:val="23"/>
        </w:rPr>
        <w:t xml:space="preserve"> : Application Programming Interface</w:t>
      </w:r>
    </w:p>
    <w:p>
      <w:pPr>
        <w:spacing w:after="70" w:line="300" w:lineRule="auto"/>
      </w:pPr>
      <w:r>
        <w:rPr>
          <w:rFonts w:ascii="Times New Roman" w:cs="Times New Roman" w:eastAsia="Times New Roman" w:hAnsi="Times New Roman"/>
          <w:b/>
          <w:bCs/>
          <w:sz w:val="23"/>
          <w:szCs w:val="23"/>
        </w:rPr>
        <w:t xml:space="preserve">AWS       </w:t>
      </w:r>
      <w:r>
        <w:rPr>
          <w:rFonts w:ascii="Times New Roman" w:cs="Times New Roman" w:eastAsia="Times New Roman" w:hAnsi="Times New Roman"/>
          <w:sz w:val="23"/>
          <w:szCs w:val="23"/>
        </w:rPr>
        <w:t xml:space="preserve"> : Amazon Web Services</w:t>
      </w:r>
    </w:p>
    <w:p>
      <w:pPr>
        <w:spacing w:after="70" w:line="300" w:lineRule="auto"/>
      </w:pPr>
      <w:r>
        <w:rPr>
          <w:rFonts w:ascii="Times New Roman" w:cs="Times New Roman" w:eastAsia="Times New Roman" w:hAnsi="Times New Roman"/>
          <w:b/>
          <w:bCs/>
          <w:sz w:val="23"/>
          <w:szCs w:val="23"/>
        </w:rPr>
        <w:t xml:space="preserve">CoA       </w:t>
      </w:r>
      <w:r>
        <w:rPr>
          <w:rFonts w:ascii="Times New Roman" w:cs="Times New Roman" w:eastAsia="Times New Roman" w:hAnsi="Times New Roman"/>
          <w:sz w:val="23"/>
          <w:szCs w:val="23"/>
        </w:rPr>
        <w:t xml:space="preserve"> : Certificate of Analysis</w:t>
      </w:r>
    </w:p>
    <w:p>
      <w:pPr>
        <w:spacing w:after="70" w:line="300" w:lineRule="auto"/>
      </w:pPr>
      <w:r>
        <w:rPr>
          <w:rFonts w:ascii="Times New Roman" w:cs="Times New Roman" w:eastAsia="Times New Roman" w:hAnsi="Times New Roman"/>
          <w:b/>
          <w:bCs/>
          <w:sz w:val="23"/>
          <w:szCs w:val="23"/>
        </w:rPr>
        <w:t xml:space="preserve">CI/CD     </w:t>
      </w:r>
      <w:r>
        <w:rPr>
          <w:rFonts w:ascii="Times New Roman" w:cs="Times New Roman" w:eastAsia="Times New Roman" w:hAnsi="Times New Roman"/>
          <w:sz w:val="23"/>
          <w:szCs w:val="23"/>
        </w:rPr>
        <w:t xml:space="preserve"> : Continuous Integration / Continuous Deployment</w:t>
      </w:r>
    </w:p>
    <w:p>
      <w:pPr>
        <w:spacing w:after="70" w:line="300" w:lineRule="auto"/>
      </w:pPr>
      <w:r>
        <w:rPr>
          <w:rFonts w:ascii="Times New Roman" w:cs="Times New Roman" w:eastAsia="Times New Roman" w:hAnsi="Times New Roman"/>
          <w:b/>
          <w:bCs/>
          <w:sz w:val="23"/>
          <w:szCs w:val="23"/>
        </w:rPr>
        <w:t xml:space="preserve">CR        </w:t>
      </w:r>
      <w:r>
        <w:rPr>
          <w:rFonts w:ascii="Times New Roman" w:cs="Times New Roman" w:eastAsia="Times New Roman" w:hAnsi="Times New Roman"/>
          <w:sz w:val="23"/>
          <w:szCs w:val="23"/>
        </w:rPr>
        <w:t xml:space="preserve"> : Change Request</w:t>
      </w:r>
    </w:p>
    <w:p>
      <w:pPr>
        <w:spacing w:after="70" w:line="300" w:lineRule="auto"/>
      </w:pPr>
      <w:r>
        <w:rPr>
          <w:rFonts w:ascii="Times New Roman" w:cs="Times New Roman" w:eastAsia="Times New Roman" w:hAnsi="Times New Roman"/>
          <w:b/>
          <w:bCs/>
          <w:sz w:val="23"/>
          <w:szCs w:val="23"/>
        </w:rPr>
        <w:t xml:space="preserve">DAG       </w:t>
      </w:r>
      <w:r>
        <w:rPr>
          <w:rFonts w:ascii="Times New Roman" w:cs="Times New Roman" w:eastAsia="Times New Roman" w:hAnsi="Times New Roman"/>
          <w:sz w:val="23"/>
          <w:szCs w:val="23"/>
        </w:rPr>
        <w:t xml:space="preserve"> : Directed Acyclic Graph</w:t>
      </w:r>
    </w:p>
    <w:p>
      <w:pPr>
        <w:spacing w:after="70" w:line="300" w:lineRule="auto"/>
      </w:pPr>
      <w:r>
        <w:rPr>
          <w:rFonts w:ascii="Times New Roman" w:cs="Times New Roman" w:eastAsia="Times New Roman" w:hAnsi="Times New Roman"/>
          <w:b/>
          <w:bCs/>
          <w:sz w:val="23"/>
          <w:szCs w:val="23"/>
        </w:rPr>
        <w:t xml:space="preserve">DLT       </w:t>
      </w:r>
      <w:r>
        <w:rPr>
          <w:rFonts w:ascii="Times New Roman" w:cs="Times New Roman" w:eastAsia="Times New Roman" w:hAnsi="Times New Roman"/>
          <w:sz w:val="23"/>
          <w:szCs w:val="23"/>
        </w:rPr>
        <w:t xml:space="preserve"> : Data Load Tool</w:t>
      </w:r>
    </w:p>
    <w:p>
      <w:pPr>
        <w:spacing w:after="70" w:line="300" w:lineRule="auto"/>
      </w:pPr>
      <w:r>
        <w:rPr>
          <w:rFonts w:ascii="Times New Roman" w:cs="Times New Roman" w:eastAsia="Times New Roman" w:hAnsi="Times New Roman"/>
          <w:b/>
          <w:bCs/>
          <w:sz w:val="23"/>
          <w:szCs w:val="23"/>
        </w:rPr>
        <w:t xml:space="preserve">ETL       </w:t>
      </w:r>
      <w:r>
        <w:rPr>
          <w:rFonts w:ascii="Times New Roman" w:cs="Times New Roman" w:eastAsia="Times New Roman" w:hAnsi="Times New Roman"/>
          <w:sz w:val="23"/>
          <w:szCs w:val="23"/>
        </w:rPr>
        <w:t xml:space="preserve"> : Extract, Transform, Load</w:t>
      </w:r>
    </w:p>
    <w:p>
      <w:pPr>
        <w:spacing w:after="70" w:line="300" w:lineRule="auto"/>
      </w:pPr>
      <w:r>
        <w:rPr>
          <w:rFonts w:ascii="Times New Roman" w:cs="Times New Roman" w:eastAsia="Times New Roman" w:hAnsi="Times New Roman"/>
          <w:b/>
          <w:bCs/>
          <w:sz w:val="23"/>
          <w:szCs w:val="23"/>
        </w:rPr>
        <w:t xml:space="preserve">GBQ       </w:t>
      </w:r>
      <w:r>
        <w:rPr>
          <w:rFonts w:ascii="Times New Roman" w:cs="Times New Roman" w:eastAsia="Times New Roman" w:hAnsi="Times New Roman"/>
          <w:sz w:val="23"/>
          <w:szCs w:val="23"/>
        </w:rPr>
        <w:t xml:space="preserve"> : Google BigQuery</w:t>
      </w:r>
    </w:p>
    <w:p>
      <w:pPr>
        <w:spacing w:after="70" w:line="300" w:lineRule="auto"/>
      </w:pPr>
      <w:r>
        <w:rPr>
          <w:rFonts w:ascii="Times New Roman" w:cs="Times New Roman" w:eastAsia="Times New Roman" w:hAnsi="Times New Roman"/>
          <w:b/>
          <w:bCs/>
          <w:sz w:val="23"/>
          <w:szCs w:val="23"/>
        </w:rPr>
        <w:t xml:space="preserve">GA4       </w:t>
      </w:r>
      <w:r>
        <w:rPr>
          <w:rFonts w:ascii="Times New Roman" w:cs="Times New Roman" w:eastAsia="Times New Roman" w:hAnsi="Times New Roman"/>
          <w:sz w:val="23"/>
          <w:szCs w:val="23"/>
        </w:rPr>
        <w:t xml:space="preserve"> : Google Analytics 4</w:t>
      </w:r>
    </w:p>
    <w:p>
      <w:pPr>
        <w:spacing w:after="70" w:line="300" w:lineRule="auto"/>
      </w:pPr>
      <w:r>
        <w:rPr>
          <w:rFonts w:ascii="Times New Roman" w:cs="Times New Roman" w:eastAsia="Times New Roman" w:hAnsi="Times New Roman"/>
          <w:b/>
          <w:bCs/>
          <w:sz w:val="23"/>
          <w:szCs w:val="23"/>
        </w:rPr>
        <w:t xml:space="preserve">GMP       </w:t>
      </w:r>
      <w:r>
        <w:rPr>
          <w:rFonts w:ascii="Times New Roman" w:cs="Times New Roman" w:eastAsia="Times New Roman" w:hAnsi="Times New Roman"/>
          <w:sz w:val="23"/>
          <w:szCs w:val="23"/>
        </w:rPr>
        <w:t xml:space="preserve"> : Good Manufacturing Practice</w:t>
      </w:r>
    </w:p>
    <w:p>
      <w:pPr>
        <w:spacing w:after="70" w:line="300" w:lineRule="auto"/>
      </w:pPr>
      <w:r>
        <w:rPr>
          <w:rFonts w:ascii="Times New Roman" w:cs="Times New Roman" w:eastAsia="Times New Roman" w:hAnsi="Times New Roman"/>
          <w:b/>
          <w:bCs/>
          <w:sz w:val="23"/>
          <w:szCs w:val="23"/>
        </w:rPr>
        <w:t xml:space="preserve">ICH       </w:t>
      </w:r>
      <w:r>
        <w:rPr>
          <w:rFonts w:ascii="Times New Roman" w:cs="Times New Roman" w:eastAsia="Times New Roman" w:hAnsi="Times New Roman"/>
          <w:sz w:val="23"/>
          <w:szCs w:val="23"/>
        </w:rPr>
        <w:t xml:space="preserve"> : International Council for Harmonisation</w:t>
      </w:r>
    </w:p>
    <w:p>
      <w:pPr>
        <w:spacing w:after="70" w:line="300" w:lineRule="auto"/>
      </w:pPr>
      <w:r>
        <w:rPr>
          <w:rFonts w:ascii="Times New Roman" w:cs="Times New Roman" w:eastAsia="Times New Roman" w:hAnsi="Times New Roman"/>
          <w:b/>
          <w:bCs/>
          <w:sz w:val="23"/>
          <w:szCs w:val="23"/>
        </w:rPr>
        <w:t xml:space="preserve">JSON      </w:t>
      </w:r>
      <w:r>
        <w:rPr>
          <w:rFonts w:ascii="Times New Roman" w:cs="Times New Roman" w:eastAsia="Times New Roman" w:hAnsi="Times New Roman"/>
          <w:sz w:val="23"/>
          <w:szCs w:val="23"/>
        </w:rPr>
        <w:t xml:space="preserve"> : JavaScript Object Notation</w:t>
      </w:r>
    </w:p>
    <w:p>
      <w:pPr>
        <w:spacing w:after="70" w:line="300" w:lineRule="auto"/>
      </w:pPr>
      <w:r>
        <w:rPr>
          <w:rFonts w:ascii="Times New Roman" w:cs="Times New Roman" w:eastAsia="Times New Roman" w:hAnsi="Times New Roman"/>
          <w:b/>
          <w:bCs/>
          <w:sz w:val="23"/>
          <w:szCs w:val="23"/>
        </w:rPr>
        <w:t xml:space="preserve">OCR       </w:t>
      </w:r>
      <w:r>
        <w:rPr>
          <w:rFonts w:ascii="Times New Roman" w:cs="Times New Roman" w:eastAsia="Times New Roman" w:hAnsi="Times New Roman"/>
          <w:sz w:val="23"/>
          <w:szCs w:val="23"/>
        </w:rPr>
        <w:t xml:space="preserve"> : Optical Character Recognition</w:t>
      </w:r>
    </w:p>
    <w:p>
      <w:pPr>
        <w:spacing w:after="70" w:line="300" w:lineRule="auto"/>
      </w:pPr>
      <w:r>
        <w:rPr>
          <w:rFonts w:ascii="Times New Roman" w:cs="Times New Roman" w:eastAsia="Times New Roman" w:hAnsi="Times New Roman"/>
          <w:b/>
          <w:bCs/>
          <w:sz w:val="23"/>
          <w:szCs w:val="23"/>
        </w:rPr>
        <w:t xml:space="preserve">PDF       </w:t>
      </w:r>
      <w:r>
        <w:rPr>
          <w:rFonts w:ascii="Times New Roman" w:cs="Times New Roman" w:eastAsia="Times New Roman" w:hAnsi="Times New Roman"/>
          <w:sz w:val="23"/>
          <w:szCs w:val="23"/>
        </w:rPr>
        <w:t xml:space="preserve"> : Portable Document Format</w:t>
      </w:r>
    </w:p>
    <w:p>
      <w:pPr>
        <w:spacing w:after="70" w:line="300" w:lineRule="auto"/>
      </w:pPr>
      <w:r>
        <w:rPr>
          <w:rFonts w:ascii="Times New Roman" w:cs="Times New Roman" w:eastAsia="Times New Roman" w:hAnsi="Times New Roman"/>
          <w:b/>
          <w:bCs/>
          <w:sz w:val="23"/>
          <w:szCs w:val="23"/>
        </w:rPr>
        <w:t xml:space="preserve">QA        </w:t>
      </w:r>
      <w:r>
        <w:rPr>
          <w:rFonts w:ascii="Times New Roman" w:cs="Times New Roman" w:eastAsia="Times New Roman" w:hAnsi="Times New Roman"/>
          <w:sz w:val="23"/>
          <w:szCs w:val="23"/>
        </w:rPr>
        <w:t xml:space="preserve"> : Quality Assurance</w:t>
      </w:r>
    </w:p>
    <w:p>
      <w:pPr>
        <w:spacing w:after="70" w:line="300" w:lineRule="auto"/>
      </w:pPr>
      <w:r>
        <w:rPr>
          <w:rFonts w:ascii="Times New Roman" w:cs="Times New Roman" w:eastAsia="Times New Roman" w:hAnsi="Times New Roman"/>
          <w:b/>
          <w:bCs/>
          <w:sz w:val="23"/>
          <w:szCs w:val="23"/>
        </w:rPr>
        <w:t xml:space="preserve">REST      </w:t>
      </w:r>
      <w:r>
        <w:rPr>
          <w:rFonts w:ascii="Times New Roman" w:cs="Times New Roman" w:eastAsia="Times New Roman" w:hAnsi="Times New Roman"/>
          <w:sz w:val="23"/>
          <w:szCs w:val="23"/>
        </w:rPr>
        <w:t xml:space="preserve"> : Representational State Transfer</w:t>
      </w:r>
    </w:p>
    <w:p>
      <w:pPr>
        <w:spacing w:after="70" w:line="300" w:lineRule="auto"/>
      </w:pPr>
      <w:r>
        <w:rPr>
          <w:rFonts w:ascii="Times New Roman" w:cs="Times New Roman" w:eastAsia="Times New Roman" w:hAnsi="Times New Roman"/>
          <w:b/>
          <w:bCs/>
          <w:sz w:val="23"/>
          <w:szCs w:val="23"/>
        </w:rPr>
        <w:t xml:space="preserve">VLM       </w:t>
      </w:r>
      <w:r>
        <w:rPr>
          <w:rFonts w:ascii="Times New Roman" w:cs="Times New Roman" w:eastAsia="Times New Roman" w:hAnsi="Times New Roman"/>
          <w:sz w:val="23"/>
          <w:szCs w:val="23"/>
        </w:rPr>
        <w:t xml:space="preserve"> : Visual Language Model</w:t>
      </w:r>
    </w:p>
    <w:p>
      <w:pPr>
        <w:pageBreakBefore/>
        <w:spacing w:after="220" w:before="120"/>
        <w:jc w:val="center"/>
      </w:pPr>
      <w:r>
        <w:rPr>
          <w:rFonts w:ascii="Times New Roman" w:cs="Times New Roman" w:eastAsia="Times New Roman" w:hAnsi="Times New Roman"/>
          <w:b/>
          <w:bCs/>
          <w:sz w:val="28"/>
          <w:szCs w:val="28"/>
        </w:rPr>
        <w:t xml:space="preserve">NOTATIONS</w:t>
      </w:r>
    </w:p>
    <w:p>
      <w:pPr>
        <w:spacing w:after="70" w:line="300" w:lineRule="auto"/>
      </w:pPr>
      <w:r>
        <w:rPr>
          <w:rFonts w:ascii="Times New Roman" w:cs="Times New Roman" w:eastAsia="Times New Roman" w:hAnsi="Times New Roman"/>
          <w:b/>
          <w:bCs/>
          <w:sz w:val="23"/>
          <w:szCs w:val="23"/>
        </w:rPr>
        <w:t xml:space="preserve">TP      </w:t>
      </w:r>
      <w:r>
        <w:rPr>
          <w:rFonts w:ascii="Times New Roman" w:cs="Times New Roman" w:eastAsia="Times New Roman" w:hAnsi="Times New Roman"/>
          <w:sz w:val="23"/>
          <w:szCs w:val="23"/>
        </w:rPr>
        <w:t xml:space="preserve"> : True positives — values correctly extracted</w:t>
      </w:r>
    </w:p>
    <w:p>
      <w:pPr>
        <w:spacing w:after="70" w:line="300" w:lineRule="auto"/>
      </w:pPr>
      <w:r>
        <w:rPr>
          <w:rFonts w:ascii="Times New Roman" w:cs="Times New Roman" w:eastAsia="Times New Roman" w:hAnsi="Times New Roman"/>
          <w:b/>
          <w:bCs/>
          <w:sz w:val="23"/>
          <w:szCs w:val="23"/>
        </w:rPr>
        <w:t xml:space="preserve">FP      </w:t>
      </w:r>
      <w:r>
        <w:rPr>
          <w:rFonts w:ascii="Times New Roman" w:cs="Times New Roman" w:eastAsia="Times New Roman" w:hAnsi="Times New Roman"/>
          <w:sz w:val="23"/>
          <w:szCs w:val="23"/>
        </w:rPr>
        <w:t xml:space="preserve"> : False positives — extracted values not found in the reference</w:t>
      </w:r>
    </w:p>
    <w:p>
      <w:pPr>
        <w:spacing w:after="70" w:line="300" w:lineRule="auto"/>
      </w:pPr>
      <w:r>
        <w:rPr>
          <w:rFonts w:ascii="Times New Roman" w:cs="Times New Roman" w:eastAsia="Times New Roman" w:hAnsi="Times New Roman"/>
          <w:b/>
          <w:bCs/>
          <w:sz w:val="23"/>
          <w:szCs w:val="23"/>
        </w:rPr>
        <w:t xml:space="preserve">FN      </w:t>
      </w:r>
      <w:r>
        <w:rPr>
          <w:rFonts w:ascii="Times New Roman" w:cs="Times New Roman" w:eastAsia="Times New Roman" w:hAnsi="Times New Roman"/>
          <w:sz w:val="23"/>
          <w:szCs w:val="23"/>
        </w:rPr>
        <w:t xml:space="preserve"> : False negatives — reference values missed by extraction</w:t>
      </w:r>
    </w:p>
    <w:p>
      <w:pPr>
        <w:spacing w:after="70" w:line="300" w:lineRule="auto"/>
      </w:pPr>
      <w:r>
        <w:rPr>
          <w:rFonts w:ascii="Times New Roman" w:cs="Times New Roman" w:eastAsia="Times New Roman" w:hAnsi="Times New Roman"/>
          <w:b/>
          <w:bCs/>
          <w:sz w:val="23"/>
          <w:szCs w:val="23"/>
        </w:rPr>
        <w:t xml:space="preserve">A, B    </w:t>
      </w:r>
      <w:r>
        <w:rPr>
          <w:rFonts w:ascii="Times New Roman" w:cs="Times New Roman" w:eastAsia="Times New Roman" w:hAnsi="Times New Roman"/>
          <w:sz w:val="23"/>
          <w:szCs w:val="23"/>
        </w:rPr>
        <w:t xml:space="preserve"> : Value sets being compared (pipeline output and OCR reference)</w:t>
      </w:r>
    </w:p>
    <w:p>
      <w:pPr>
        <w:spacing w:after="70" w:line="300" w:lineRule="auto"/>
      </w:pPr>
      <w:r>
        <w:rPr>
          <w:rFonts w:ascii="Times New Roman" w:cs="Times New Roman" w:eastAsia="Times New Roman" w:hAnsi="Times New Roman"/>
          <w:b/>
          <w:bCs/>
          <w:sz w:val="23"/>
          <w:szCs w:val="23"/>
        </w:rPr>
        <w:t xml:space="preserve">∩ , ∪   </w:t>
      </w:r>
      <w:r>
        <w:rPr>
          <w:rFonts w:ascii="Times New Roman" w:cs="Times New Roman" w:eastAsia="Times New Roman" w:hAnsi="Times New Roman"/>
          <w:sz w:val="23"/>
          <w:szCs w:val="23"/>
        </w:rPr>
        <w:t xml:space="preserve"> : Set intersection and union, used in the Jaccard index</w:t>
      </w:r>
    </w:p>
    <w:p>
      <w:pPr>
        <w:sectPr>
          <w:footerReference w:type="default" r:id="rId8"/>
          <w:pgSz w:w="11906" w:h="16838" w:orient="portrait"/>
          <w:pgMar w:top="1440" w:right="1440" w:bottom="1440" w:left="2160" w:header="708" w:footer="708" w:gutter="0"/>
          <w:pgNumType w:start="1" w:fmt="lowerRoman"/>
          <w:docGrid w:linePitch="360"/>
        </w:sectPr>
      </w:pPr>
    </w:p>
    <w:p>
      <w:pPr>
        <w:pageBreakBefore/>
        <w:spacing w:after="40" w:before="240"/>
        <w:jc w:val="center"/>
      </w:pPr>
      <w:r>
        <w:rPr>
          <w:rFonts w:ascii="Times New Roman" w:cs="Times New Roman" w:eastAsia="Times New Roman" w:hAnsi="Times New Roman"/>
          <w:b/>
          <w:bCs/>
          <w:color w:val="1F3B73"/>
          <w:sz w:val="26"/>
          <w:szCs w:val="26"/>
        </w:rPr>
        <w:t xml:space="preserve">CHAPTER 1</w:t>
      </w:r>
    </w:p>
    <w:p>
      <w:pPr>
        <w:pStyle w:val="Heading1"/>
        <w:spacing w:after="260"/>
        <w:jc w:val="center"/>
      </w:pPr>
      <w:r>
        <w:rPr>
          <w:rFonts w:ascii="Times New Roman" w:cs="Times New Roman" w:eastAsia="Times New Roman" w:hAnsi="Times New Roman"/>
          <w:b/>
          <w:bCs/>
          <w:color w:val="1F3B73"/>
          <w:sz w:val="30"/>
          <w:szCs w:val="30"/>
        </w:rPr>
        <w:t xml:space="preserve">INTRODUCTION</w:t>
      </w:r>
    </w:p>
    <w:p>
      <w:pPr>
        <w:pStyle w:val="Heading2"/>
        <w:spacing w:after="120" w:before="220"/>
      </w:pPr>
      <w:r>
        <w:rPr>
          <w:rFonts w:ascii="Times New Roman" w:cs="Times New Roman" w:eastAsia="Times New Roman" w:hAnsi="Times New Roman"/>
          <w:b/>
          <w:bCs/>
          <w:color w:val="1F3B73"/>
          <w:sz w:val="26"/>
          <w:szCs w:val="26"/>
        </w:rPr>
        <w:t xml:space="preserve">1.1  Introduction</w:t>
      </w:r>
    </w:p>
    <w:p>
      <w:pPr>
        <w:spacing w:after="160" w:before="0" w:line="360" w:lineRule="auto"/>
        <w:jc w:val="both"/>
      </w:pPr>
      <w:r>
        <w:rPr>
          <w:rFonts w:ascii="Times New Roman" w:cs="Times New Roman" w:eastAsia="Times New Roman" w:hAnsi="Times New Roman"/>
          <w:sz w:val="24"/>
          <w:szCs w:val="24"/>
        </w:rPr>
        <w:t xml:space="preserve">Modern pharmaceutical organisations run on documentation. Every batch that is manufactured, every stability study that is placed on charts, and every certificate of analysis issued by a contract testing laboratory produces a formal report, and the overwhelming majority of these reports circulate as PDFs. Within an enterprise data function, these documents must eventually become structured data so that they can feed analytics, quality dashboards, and regulatory systems. The gap between an unstructured PDF and a clean, queryable record is therefore a recurring and expensive problem in enterprise data engineering.</w:t>
      </w:r>
    </w:p>
    <w:p>
      <w:pPr>
        <w:spacing w:after="160" w:before="0" w:line="360" w:lineRule="auto"/>
        <w:jc w:val="both"/>
      </w:pPr>
      <w:r>
        <w:rPr>
          <w:rFonts w:ascii="Times New Roman" w:cs="Times New Roman" w:eastAsia="Times New Roman" w:hAnsi="Times New Roman"/>
          <w:sz w:val="24"/>
          <w:szCs w:val="24"/>
        </w:rPr>
        <w:t xml:space="preserve">The difficulty is that these documents are heterogeneous. They originate from different laboratories and vendors, each with its own template, and they mix natively generated digital PDFs with scanned paper documents. Tables routinely run across page boundaries, numeric results carry units and qualifiers, and identifiers such as batch and reference numbers must be captured character-for-character. Traditional rule-based or template-based parsers break the moment a new layout appears, and pure OCR returns text without the structure that downstream systems need.</w:t>
      </w:r>
    </w:p>
    <w:p>
      <w:pPr>
        <w:spacing w:after="160" w:before="0" w:line="360" w:lineRule="auto"/>
        <w:jc w:val="both"/>
      </w:pPr>
      <w:r>
        <w:rPr>
          <w:rFonts w:ascii="Times New Roman" w:cs="Times New Roman" w:eastAsia="Times New Roman" w:hAnsi="Times New Roman"/>
          <w:sz w:val="24"/>
          <w:szCs w:val="24"/>
        </w:rPr>
        <w:t xml:space="preserve">This project designs and implements a scalable, cloud-native system that automatically parses diverse research PDFs and converts them into standardised JSON. The system is novel in that it is template-free: rather than maintaining a bespoke parser per document type, it uses a Visual Language Model to infer the structure of each page directly, guided and validated by a reliable OCR baseline. The significance of the end result is a pipeline that turns hours of manual review per document into minutes of automated processing, while flagging exactly where a human still needs to look.</w:t>
      </w:r>
    </w:p>
    <w:p>
      <w:pPr>
        <w:pStyle w:val="Heading2"/>
        <w:spacing w:after="120" w:before="220"/>
      </w:pPr>
      <w:r>
        <w:rPr>
          <w:rFonts w:ascii="Times New Roman" w:cs="Times New Roman" w:eastAsia="Times New Roman" w:hAnsi="Times New Roman"/>
          <w:b/>
          <w:bCs/>
          <w:color w:val="1F3B73"/>
          <w:sz w:val="26"/>
          <w:szCs w:val="26"/>
        </w:rPr>
        <w:t xml:space="preserve">1.2  Motivation</w:t>
      </w:r>
    </w:p>
    <w:p>
      <w:pPr>
        <w:spacing w:after="160" w:before="0" w:line="360" w:lineRule="auto"/>
        <w:jc w:val="both"/>
      </w:pPr>
      <w:r>
        <w:rPr>
          <w:rFonts w:ascii="Times New Roman" w:cs="Times New Roman" w:eastAsia="Times New Roman" w:hAnsi="Times New Roman"/>
          <w:sz w:val="24"/>
          <w:szCs w:val="24"/>
        </w:rPr>
        <w:t xml:space="preserve">The motivation for the work is grounded in the day-to-day reality of the research laboratories (LRL) team, whose reviewers previously read through each document by hand to extract and verify data. This manual process is slow, does not scale to the hundreds of documents received, and is prone to transcription error. An automated pipeline that produces structured, quality-scored output directly addresses this bottleneck and frees expert reviewers to focus their attention where it matters.</w:t>
      </w:r>
    </w:p>
    <w:p>
      <w:pPr>
        <w:spacing w:after="160" w:before="0" w:line="360" w:lineRule="auto"/>
        <w:jc w:val="both"/>
      </w:pPr>
      <w:r>
        <w:rPr>
          <w:rFonts w:ascii="Times New Roman" w:cs="Times New Roman" w:eastAsia="Times New Roman" w:hAnsi="Times New Roman"/>
          <w:sz w:val="24"/>
          <w:szCs w:val="24"/>
        </w:rPr>
        <w:t xml:space="preserve">A second motivation is reusability. The Enterprise Data team benefits from a general document-processing capability that is not tied to one vendor or one document type, and that can be extended to new formats without engineering a new parser each time. A template-free approach built on managed cloud services meets both goals at once.</w:t>
      </w:r>
    </w:p>
    <w:p>
      <w:pPr>
        <w:pStyle w:val="Heading2"/>
        <w:spacing w:after="120" w:before="220"/>
      </w:pPr>
      <w:r>
        <w:rPr>
          <w:rFonts w:ascii="Times New Roman" w:cs="Times New Roman" w:eastAsia="Times New Roman" w:hAnsi="Times New Roman"/>
          <w:b/>
          <w:bCs/>
          <w:color w:val="1F3B73"/>
          <w:sz w:val="26"/>
          <w:szCs w:val="26"/>
        </w:rPr>
        <w:t xml:space="preserve">1.3  Objectives</w:t>
      </w:r>
    </w:p>
    <w:p>
      <w:pPr>
        <w:spacing w:after="160" w:before="0" w:line="360" w:lineRule="auto"/>
        <w:jc w:val="both"/>
      </w:pPr>
      <w:r>
        <w:rPr>
          <w:rFonts w:ascii="Times New Roman" w:cs="Times New Roman" w:eastAsia="Times New Roman" w:hAnsi="Times New Roman"/>
          <w:sz w:val="24"/>
          <w:szCs w:val="24"/>
        </w:rPr>
        <w:t xml:space="preserve">The primary objective of the project is to design and implement an intelligent, cloud-native PDF parsing system that converts heterogeneous pharmaceutical research documents into standardised, validated JSON. This primary objective is supported by the following specific objectives:</w:t>
      </w:r>
    </w:p>
    <w:p>
      <w:pPr>
        <w:pStyle w:val="ListParagraph"/>
        <w:numPr>
          <w:ilvl w:val="0"/>
          <w:numId w:val="1"/>
        </w:numPr>
        <w:spacing w:after="80" w:line="320" w:lineRule="auto"/>
        <w:jc w:val="both"/>
      </w:pPr>
      <w:r>
        <w:rPr>
          <w:rFonts w:ascii="Times New Roman" w:cs="Times New Roman" w:eastAsia="Times New Roman" w:hAnsi="Times New Roman"/>
          <w:sz w:val="24"/>
          <w:szCs w:val="24"/>
        </w:rPr>
        <w:t xml:space="preserve">Design and implement an event-driven ingestion pipeline on AWS, triggered automatically by uploads to Amazon S3.</w:t>
      </w:r>
    </w:p>
    <w:p>
      <w:pPr>
        <w:pStyle w:val="ListParagraph"/>
        <w:numPr>
          <w:ilvl w:val="0"/>
          <w:numId w:val="1"/>
        </w:numPr>
        <w:spacing w:after="80" w:line="320" w:lineRule="auto"/>
        <w:jc w:val="both"/>
      </w:pPr>
      <w:r>
        <w:rPr>
          <w:rFonts w:ascii="Times New Roman" w:cs="Times New Roman" w:eastAsia="Times New Roman" w:hAnsi="Times New Roman"/>
          <w:sz w:val="24"/>
          <w:szCs w:val="24"/>
        </w:rPr>
        <w:t xml:space="preserve">Develop an intelligent parsing system capable of handling heterogeneous document formats, including both native-text and scanned PDFs.</w:t>
      </w:r>
    </w:p>
    <w:p>
      <w:pPr>
        <w:pStyle w:val="ListParagraph"/>
        <w:numPr>
          <w:ilvl w:val="0"/>
          <w:numId w:val="1"/>
        </w:numPr>
        <w:spacing w:after="80" w:line="320" w:lineRule="auto"/>
        <w:jc w:val="both"/>
      </w:pPr>
      <w:r>
        <w:rPr>
          <w:rFonts w:ascii="Times New Roman" w:cs="Times New Roman" w:eastAsia="Times New Roman" w:hAnsi="Times New Roman"/>
          <w:sz w:val="24"/>
          <w:szCs w:val="24"/>
        </w:rPr>
        <w:t xml:space="preserve">Integrate optical character recognition for scanned research documents as a reliable text baseline.</w:t>
      </w:r>
    </w:p>
    <w:p>
      <w:pPr>
        <w:pStyle w:val="ListParagraph"/>
        <w:numPr>
          <w:ilvl w:val="0"/>
          <w:numId w:val="1"/>
        </w:numPr>
        <w:spacing w:after="80" w:line="320" w:lineRule="auto"/>
        <w:jc w:val="both"/>
      </w:pPr>
      <w:r>
        <w:rPr>
          <w:rFonts w:ascii="Times New Roman" w:cs="Times New Roman" w:eastAsia="Times New Roman" w:hAnsi="Times New Roman"/>
          <w:sz w:val="24"/>
          <w:szCs w:val="24"/>
        </w:rPr>
        <w:t xml:space="preserve">Detect and reconstruct multi-page tables, addressing the “table bleed” problem.</w:t>
      </w:r>
    </w:p>
    <w:p>
      <w:pPr>
        <w:pStyle w:val="ListParagraph"/>
        <w:numPr>
          <w:ilvl w:val="0"/>
          <w:numId w:val="1"/>
        </w:numPr>
        <w:spacing w:after="80" w:line="320" w:lineRule="auto"/>
        <w:jc w:val="both"/>
      </w:pPr>
      <w:r>
        <w:rPr>
          <w:rFonts w:ascii="Times New Roman" w:cs="Times New Roman" w:eastAsia="Times New Roman" w:hAnsi="Times New Roman"/>
          <w:sz w:val="24"/>
          <w:szCs w:val="24"/>
        </w:rPr>
        <w:t xml:space="preserve">Convert extracted content into standardised JSON schemas suitable for downstream analytics.</w:t>
      </w:r>
    </w:p>
    <w:p>
      <w:pPr>
        <w:pStyle w:val="ListParagraph"/>
        <w:numPr>
          <w:ilvl w:val="0"/>
          <w:numId w:val="1"/>
        </w:numPr>
        <w:spacing w:after="80" w:line="320" w:lineRule="auto"/>
        <w:jc w:val="both"/>
      </w:pPr>
      <w:r>
        <w:rPr>
          <w:rFonts w:ascii="Times New Roman" w:cs="Times New Roman" w:eastAsia="Times New Roman" w:hAnsi="Times New Roman"/>
          <w:sz w:val="24"/>
          <w:szCs w:val="24"/>
        </w:rPr>
        <w:t xml:space="preserve">Integrate the solution with enterprise CI/CD and monitoring frameworks.</w:t>
      </w:r>
    </w:p>
    <w:p>
      <w:pPr>
        <w:spacing w:after="160" w:before="0" w:line="360" w:lineRule="auto"/>
        <w:jc w:val="both"/>
      </w:pPr>
      <w:r>
        <w:rPr>
          <w:rFonts w:ascii="Times New Roman" w:cs="Times New Roman" w:eastAsia="Times New Roman" w:hAnsi="Times New Roman"/>
          <w:sz w:val="24"/>
          <w:szCs w:val="24"/>
        </w:rPr>
        <w:t xml:space="preserve">As a secondary, forward-looking objective, the project explores lightweight model-optimisation techniques such as knowledge distillation, in which a smaller domain-adapted model is trained from the outputs of a larger model for more efficient inference on pharmaceutical documents.</w:t>
      </w:r>
    </w:p>
    <w:p>
      <w:pPr>
        <w:pStyle w:val="Heading2"/>
        <w:spacing w:after="120" w:before="220"/>
      </w:pPr>
      <w:r>
        <w:rPr>
          <w:rFonts w:ascii="Times New Roman" w:cs="Times New Roman" w:eastAsia="Times New Roman" w:hAnsi="Times New Roman"/>
          <w:b/>
          <w:bCs/>
          <w:color w:val="1F3B73"/>
          <w:sz w:val="26"/>
          <w:szCs w:val="26"/>
        </w:rPr>
        <w:t xml:space="preserve">1.4  Target Specifications</w:t>
      </w:r>
    </w:p>
    <w:p>
      <w:pPr>
        <w:spacing w:after="160" w:before="0" w:line="360" w:lineRule="auto"/>
        <w:jc w:val="both"/>
      </w:pPr>
      <w:r>
        <w:rPr>
          <w:rFonts w:ascii="Times New Roman" w:cs="Times New Roman" w:eastAsia="Times New Roman" w:hAnsi="Times New Roman"/>
          <w:sz w:val="24"/>
          <w:szCs w:val="24"/>
        </w:rPr>
        <w:t xml:space="preserve">The system was designed against a set of concrete targets that define acceptable behaviour:</w:t>
      </w:r>
    </w:p>
    <w:p>
      <w:pPr>
        <w:pStyle w:val="ListParagraph"/>
        <w:numPr>
          <w:ilvl w:val="0"/>
          <w:numId w:val="1"/>
        </w:numPr>
        <w:spacing w:after="80" w:line="320" w:lineRule="auto"/>
        <w:jc w:val="both"/>
      </w:pPr>
      <w:r>
        <w:rPr>
          <w:rFonts w:ascii="Times New Roman" w:cs="Times New Roman" w:eastAsia="Times New Roman" w:hAnsi="Times New Roman"/>
          <w:sz w:val="24"/>
          <w:szCs w:val="24"/>
        </w:rPr>
        <w:t xml:space="preserve">Template-free operation: no per-document-type template authoring should be required; the schema must be inferred automatically for each document.</w:t>
      </w:r>
    </w:p>
    <w:p>
      <w:pPr>
        <w:pStyle w:val="ListParagraph"/>
        <w:numPr>
          <w:ilvl w:val="0"/>
          <w:numId w:val="1"/>
        </w:numPr>
        <w:spacing w:after="80" w:line="320" w:lineRule="auto"/>
        <w:jc w:val="both"/>
      </w:pPr>
      <w:r>
        <w:rPr>
          <w:rFonts w:ascii="Times New Roman" w:cs="Times New Roman" w:eastAsia="Times New Roman" w:hAnsi="Times New Roman"/>
          <w:sz w:val="24"/>
          <w:szCs w:val="24"/>
        </w:rPr>
        <w:t xml:space="preserve">Multi-format coverage: native-text PDFs, scanned documents, and multi-vendor layouts must all be supported.</w:t>
      </w:r>
    </w:p>
    <w:p>
      <w:pPr>
        <w:pStyle w:val="ListParagraph"/>
        <w:numPr>
          <w:ilvl w:val="0"/>
          <w:numId w:val="1"/>
        </w:numPr>
        <w:spacing w:after="80" w:line="320" w:lineRule="auto"/>
        <w:jc w:val="both"/>
      </w:pPr>
      <w:r>
        <w:rPr>
          <w:rFonts w:ascii="Times New Roman" w:cs="Times New Roman" w:eastAsia="Times New Roman" w:hAnsi="Times New Roman"/>
          <w:sz w:val="24"/>
          <w:szCs w:val="24"/>
        </w:rPr>
        <w:t xml:space="preserve">Measurable quality: every page must receive a completeness score (recall and Jaccard) against the OCR reference, with defined quality grades.</w:t>
      </w:r>
    </w:p>
    <w:p>
      <w:pPr>
        <w:pStyle w:val="ListParagraph"/>
        <w:numPr>
          <w:ilvl w:val="0"/>
          <w:numId w:val="1"/>
        </w:numPr>
        <w:spacing w:after="80" w:line="320" w:lineRule="auto"/>
        <w:jc w:val="both"/>
      </w:pPr>
      <w:r>
        <w:rPr>
          <w:rFonts w:ascii="Times New Roman" w:cs="Times New Roman" w:eastAsia="Times New Roman" w:hAnsi="Times New Roman"/>
          <w:sz w:val="24"/>
          <w:szCs w:val="24"/>
        </w:rPr>
        <w:t xml:space="preserve">Self-healing: pages that score below a configurable recall threshold must be re-extracted automatically, without reprocessing the entire document.</w:t>
      </w:r>
    </w:p>
    <w:p>
      <w:pPr>
        <w:pStyle w:val="ListParagraph"/>
        <w:numPr>
          <w:ilvl w:val="0"/>
          <w:numId w:val="1"/>
        </w:numPr>
        <w:spacing w:after="80" w:line="320" w:lineRule="auto"/>
        <w:jc w:val="both"/>
      </w:pPr>
      <w:r>
        <w:rPr>
          <w:rFonts w:ascii="Times New Roman" w:cs="Times New Roman" w:eastAsia="Times New Roman" w:hAnsi="Times New Roman"/>
          <w:sz w:val="24"/>
          <w:szCs w:val="24"/>
        </w:rPr>
        <w:t xml:space="preserve">Throughput at enterprise scale: the pipeline must sustain batch processing of hundreds of documents through parallel execution.</w:t>
      </w:r>
    </w:p>
    <w:p>
      <w:pPr>
        <w:pStyle w:val="ListParagraph"/>
        <w:numPr>
          <w:ilvl w:val="0"/>
          <w:numId w:val="1"/>
        </w:numPr>
        <w:spacing w:after="80" w:line="320" w:lineRule="auto"/>
        <w:jc w:val="both"/>
      </w:pPr>
      <w:r>
        <w:rPr>
          <w:rFonts w:ascii="Times New Roman" w:cs="Times New Roman" w:eastAsia="Times New Roman" w:hAnsi="Times New Roman"/>
          <w:sz w:val="24"/>
          <w:szCs w:val="24"/>
        </w:rPr>
        <w:t xml:space="preserve">Auditability: per-page metrics, full diagnostics, and inference-cost tracking must be produced for every document.</w:t>
      </w:r>
    </w:p>
    <w:p>
      <w:pPr>
        <w:pStyle w:val="Heading2"/>
        <w:spacing w:after="120" w:before="220"/>
      </w:pPr>
      <w:r>
        <w:rPr>
          <w:rFonts w:ascii="Times New Roman" w:cs="Times New Roman" w:eastAsia="Times New Roman" w:hAnsi="Times New Roman"/>
          <w:b/>
          <w:bCs/>
          <w:color w:val="1F3B73"/>
          <w:sz w:val="26"/>
          <w:szCs w:val="26"/>
        </w:rPr>
        <w:t xml:space="preserve">1.5  Project Work Schedule</w:t>
      </w:r>
    </w:p>
    <w:p>
      <w:pPr>
        <w:spacing w:after="160" w:before="0" w:line="360" w:lineRule="auto"/>
        <w:jc w:val="both"/>
      </w:pPr>
      <w:r>
        <w:rPr>
          <w:rFonts w:ascii="Times New Roman" w:cs="Times New Roman" w:eastAsia="Times New Roman" w:hAnsi="Times New Roman"/>
          <w:sz w:val="24"/>
          <w:szCs w:val="24"/>
        </w:rPr>
        <w:t xml:space="preserve">The internship ran for six months, from 16 January 2026 to 15 July 2026, within the Enterprise Data – Data Delivery team, following an Agile delivery model with fortnightly sprints. The schedule below summarises the work across the period.</w:t>
      </w:r>
    </w:p>
    <w:tbl>
      <w:tblPr>
        <w:tblW w:type="dxa" w:w="9360"/>
        <w:tblBorders>
          <w:top w:val="single" w:color="9AA8C4" w:sz="4"/>
          <w:left w:val="single" w:color="9AA8C4" w:sz="4"/>
          <w:bottom w:val="single" w:color="9AA8C4" w:sz="4"/>
          <w:right w:val="single" w:color="9AA8C4" w:sz="4"/>
          <w:insideH w:val="single" w:color="C7D0E2" w:sz="2"/>
          <w:insideV w:val="single" w:color="C7D0E2" w:sz="2"/>
        </w:tblBorders>
      </w:tblPr>
      <w:tblGrid>
        <w:gridCol w:w="1700"/>
        <w:gridCol w:w="2100"/>
        <w:gridCol w:w="5560"/>
      </w:tblGrid>
      <w:tr>
        <w:trPr>
          <w:tblHeader/>
        </w:trPr>
        <w:tc>
          <w:tcPr>
            <w:tcW w:type="dxa" w:w="1700"/>
            <w:shd w:fill="1F3B73"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b/>
                <w:bCs/>
                <w:color w:val="FFFFFF"/>
                <w:sz w:val="21"/>
                <w:szCs w:val="21"/>
              </w:rPr>
              <w:t xml:space="preserve">Period</w:t>
            </w:r>
          </w:p>
        </w:tc>
        <w:tc>
          <w:tcPr>
            <w:tcW w:type="dxa" w:w="2100"/>
            <w:shd w:fill="1F3B73"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b/>
                <w:bCs/>
                <w:color w:val="FFFFFF"/>
                <w:sz w:val="21"/>
                <w:szCs w:val="21"/>
              </w:rPr>
              <w:t xml:space="preserve">Focus</w:t>
            </w:r>
          </w:p>
        </w:tc>
        <w:tc>
          <w:tcPr>
            <w:tcW w:type="dxa" w:w="5560"/>
            <w:shd w:fill="1F3B73"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b/>
                <w:bCs/>
                <w:color w:val="FFFFFF"/>
                <w:sz w:val="21"/>
                <w:szCs w:val="21"/>
              </w:rPr>
              <w:t xml:space="preserve">Key deliverables</w:t>
            </w:r>
          </w:p>
        </w:tc>
      </w:tr>
      <w:tr>
        <w:tc>
          <w:tcPr>
            <w:tcW w:type="dxa" w:w="170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Jan (wk 1–4)</w:t>
            </w:r>
          </w:p>
        </w:tc>
        <w:tc>
          <w:tcPr>
            <w:tcW w:type="dxa" w:w="2100"/>
            <w:shd w:fill="FFFFFF"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color w:val="000000"/>
                <w:sz w:val="21"/>
                <w:szCs w:val="21"/>
              </w:rPr>
              <w:t xml:space="preserve">Onboarding &amp; setup</w:t>
            </w:r>
          </w:p>
        </w:tc>
        <w:tc>
          <w:tcPr>
            <w:tcW w:type="dxa" w:w="556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Compliance training; access provisioning; CI/CD with GitHub Actions; first S3 → Lambda → Glue workflow; local Apache Spark experiments</w:t>
            </w:r>
          </w:p>
        </w:tc>
      </w:tr>
      <w:tr>
        <w:tc>
          <w:tcPr>
            <w:tcW w:type="dxa" w:w="170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Late Feb</w:t>
            </w:r>
          </w:p>
        </w:tc>
        <w:tc>
          <w:tcPr>
            <w:tcW w:type="dxa" w:w="210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Project familiarisation</w:t>
            </w:r>
          </w:p>
        </w:tc>
        <w:tc>
          <w:tcPr>
            <w:tcW w:type="dxa" w:w="556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Studied the parsing pipeline; proposed the precision / recall / Jaccard validation metrics; refactored the codebase into modules; added image inputs to the VLM (multimodal extraction)</w:t>
            </w:r>
          </w:p>
        </w:tc>
      </w:tr>
      <w:tr>
        <w:tc>
          <w:tcPr>
            <w:tcW w:type="dxa" w:w="170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Early Mar</w:t>
            </w:r>
          </w:p>
        </w:tc>
        <w:tc>
          <w:tcPr>
            <w:tcW w:type="dxa" w:w="210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Core parsing &amp; features</w:t>
            </w:r>
          </w:p>
        </w:tc>
        <w:tc>
          <w:tcPr>
            <w:tcW w:type="dxa" w:w="556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Parallel processing; prompt engineering; multi-page merging; validation framework; evaluated and dropped Docling; migrated to the internal GenAI gateway; added suggested-schema generation and the self-healing rerun</w:t>
            </w:r>
          </w:p>
        </w:tc>
      </w:tr>
      <w:tr>
        <w:tc>
          <w:tcPr>
            <w:tcW w:type="dxa" w:w="170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Late Mar</w:t>
            </w:r>
          </w:p>
        </w:tc>
        <w:tc>
          <w:tcPr>
            <w:tcW w:type="dxa" w:w="2100"/>
            <w:shd w:fill="EEF2FA"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color w:val="000000"/>
                <w:sz w:val="21"/>
                <w:szCs w:val="21"/>
              </w:rPr>
              <w:t xml:space="preserve">Validation &amp; review</w:t>
            </w:r>
          </w:p>
        </w:tc>
        <w:tc>
          <w:tcPr>
            <w:tcW w:type="dxa" w:w="556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Ran the end-to-end pipeline on 19 documents with high recall; shared structured outputs with the LRL team for domain-expert review</w:t>
            </w:r>
          </w:p>
        </w:tc>
      </w:tr>
      <w:tr>
        <w:tc>
          <w:tcPr>
            <w:tcW w:type="dxa" w:w="170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Apr</w:t>
            </w:r>
          </w:p>
        </w:tc>
        <w:tc>
          <w:tcPr>
            <w:tcW w:type="dxa" w:w="2100"/>
            <w:shd w:fill="FFFFFF"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color w:val="000000"/>
                <w:sz w:val="21"/>
                <w:szCs w:val="21"/>
              </w:rPr>
              <w:t xml:space="preserve">Data quality &amp; deploy</w:t>
            </w:r>
          </w:p>
        </w:tc>
        <w:tc>
          <w:tcPr>
            <w:tcW w:type="dxa" w:w="556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Added the five-check data-quality flagging layer; created the repository and deployment stack; deployed to the development environment with S3-triggered automation; received ~95% accuracy feedback from LRL; midterm evaluation</w:t>
            </w:r>
          </w:p>
        </w:tc>
      </w:tr>
      <w:tr>
        <w:tc>
          <w:tcPr>
            <w:tcW w:type="dxa" w:w="170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May</w:t>
            </w:r>
          </w:p>
        </w:tc>
        <w:tc>
          <w:tcPr>
            <w:tcW w:type="dxa" w:w="2100"/>
            <w:shd w:fill="EEF2FA"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color w:val="000000"/>
                <w:sz w:val="21"/>
                <w:szCs w:val="21"/>
              </w:rPr>
              <w:t xml:space="preserve">QA &amp; new workstreams</w:t>
            </w:r>
          </w:p>
        </w:tc>
        <w:tc>
          <w:tcPr>
            <w:tcW w:type="dxa" w:w="556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Deployed to QA; stress-tested ~500 PDFs at ~25 workers; built the Agentic DLT config generator end-to-end; obtained BigQuery access and produced the GA4 baseline discrepancy metrics and impact analysis</w:t>
            </w:r>
          </w:p>
        </w:tc>
      </w:tr>
      <w:tr>
        <w:tc>
          <w:tcPr>
            <w:tcW w:type="dxa" w:w="170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Jun</w:t>
            </w:r>
          </w:p>
        </w:tc>
        <w:tc>
          <w:tcPr>
            <w:tcW w:type="dxa" w:w="2100"/>
            <w:shd w:fill="FFFFFF"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color w:val="000000"/>
                <w:sz w:val="21"/>
                <w:szCs w:val="21"/>
              </w:rPr>
              <w:t xml:space="preserve">Delivery &amp; dashboard</w:t>
            </w:r>
          </w:p>
        </w:tc>
        <w:tc>
          <w:tcPr>
            <w:tcW w:type="dxa" w:w="556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PDF parser fully functional in QA with knowledge transfer to a teammate; GA4 discrepancy report in QA; built the EDB reusable-components lineage-and-usage dashboard</w:t>
            </w:r>
          </w:p>
        </w:tc>
      </w:tr>
    </w:tbl>
    <w:p>
      <w:pPr>
        <w:spacing w:after="200" w:before="80"/>
        <w:jc w:val="center"/>
      </w:pPr>
      <w:r>
        <w:rPr>
          <w:rFonts w:ascii="Times New Roman" w:cs="Times New Roman" w:eastAsia="Times New Roman" w:hAnsi="Times New Roman"/>
          <w:i/>
          <w:iCs/>
          <w:color w:val="40465A"/>
          <w:sz w:val="20"/>
          <w:szCs w:val="20"/>
        </w:rPr>
        <w:t xml:space="preserve">Table 1.1  Project work schedule across the six-month internship.</w:t>
      </w:r>
    </w:p>
    <w:p>
      <w:pPr>
        <w:pStyle w:val="Heading2"/>
        <w:spacing w:after="120" w:before="220"/>
      </w:pPr>
      <w:r>
        <w:rPr>
          <w:rFonts w:ascii="Times New Roman" w:cs="Times New Roman" w:eastAsia="Times New Roman" w:hAnsi="Times New Roman"/>
          <w:b/>
          <w:bCs/>
          <w:color w:val="1F3B73"/>
          <w:sz w:val="26"/>
          <w:szCs w:val="26"/>
        </w:rPr>
        <w:t xml:space="preserve">1.6  Organization of the Report</w:t>
      </w:r>
    </w:p>
    <w:p>
      <w:pPr>
        <w:spacing w:after="160" w:before="0" w:line="360" w:lineRule="auto"/>
        <w:jc w:val="both"/>
      </w:pPr>
      <w:r>
        <w:rPr>
          <w:rFonts w:ascii="Times New Roman" w:cs="Times New Roman" w:eastAsia="Times New Roman" w:hAnsi="Times New Roman"/>
          <w:sz w:val="24"/>
          <w:szCs w:val="24"/>
        </w:rPr>
        <w:t xml:space="preserve">The remainder of this report is organised as follows. Chapter 2 reviews the background and related work in document processing, OCR, and Visual Language Models. Chapter 3 describes the detailed methodology and architecture of the PDF parsing system together with the tools used. Chapter 4 presents the result analysis, including the validation framework and the domain-expert evaluation. Chapter 5 documents three additional contributions delivered during the internship. Chapter 6 concludes the report and outlines the future scope. References and appendices follow.</w:t>
      </w:r>
    </w:p>
    <w:p>
      <w:pPr>
        <w:pStyle w:val="Heading2"/>
        <w:spacing w:after="120" w:before="220"/>
      </w:pPr>
      <w:r>
        <w:rPr>
          <w:rFonts w:ascii="Times New Roman" w:cs="Times New Roman" w:eastAsia="Times New Roman" w:hAnsi="Times New Roman"/>
          <w:b/>
          <w:bCs/>
          <w:color w:val="1F3B73"/>
          <w:sz w:val="26"/>
          <w:szCs w:val="26"/>
        </w:rPr>
        <w:t xml:space="preserve">1.7  Contribution Summary</w:t>
      </w:r>
    </w:p>
    <w:p>
      <w:pPr>
        <w:spacing w:after="160" w:before="0" w:line="360" w:lineRule="auto"/>
        <w:jc w:val="both"/>
      </w:pPr>
      <w:r>
        <w:rPr>
          <w:rFonts w:ascii="Times New Roman" w:cs="Times New Roman" w:eastAsia="Times New Roman" w:hAnsi="Times New Roman"/>
          <w:sz w:val="24"/>
          <w:szCs w:val="24"/>
        </w:rPr>
        <w:t xml:space="preserve">The primary contribution of this work is the design, implementation, evaluation, and deployment of a template-free, self-healing PDF-to-JSON extraction pipeline for pharmaceutical documents, carried out individually under the guidance of senior team members. In addition, the author contributed to a latency-reduction initiative for a web-analytics pipeline, built an autonomous agent that generates data-load pipeline configurations from any REST API, and developed a lineage-and-usage dashboard for the platform’s reusable components. These additional contributions are detailed in Chapter 5.</w:t>
      </w:r>
    </w:p>
    <w:p>
      <w:pPr>
        <w:pageBreakBefore/>
        <w:spacing w:after="40" w:before="240"/>
        <w:jc w:val="center"/>
      </w:pPr>
      <w:r>
        <w:rPr>
          <w:rFonts w:ascii="Times New Roman" w:cs="Times New Roman" w:eastAsia="Times New Roman" w:hAnsi="Times New Roman"/>
          <w:b/>
          <w:bCs/>
          <w:color w:val="1F3B73"/>
          <w:sz w:val="26"/>
          <w:szCs w:val="26"/>
        </w:rPr>
        <w:t xml:space="preserve">CHAPTER 2</w:t>
      </w:r>
    </w:p>
    <w:p>
      <w:pPr>
        <w:pStyle w:val="Heading1"/>
        <w:spacing w:after="260"/>
        <w:jc w:val="center"/>
      </w:pPr>
      <w:r>
        <w:rPr>
          <w:rFonts w:ascii="Times New Roman" w:cs="Times New Roman" w:eastAsia="Times New Roman" w:hAnsi="Times New Roman"/>
          <w:b/>
          <w:bCs/>
          <w:color w:val="1F3B73"/>
          <w:sz w:val="30"/>
          <w:szCs w:val="30"/>
        </w:rPr>
        <w:t xml:space="preserve">BACKGROUND THEORY / LITERATURE REVIEW</w:t>
      </w:r>
    </w:p>
    <w:p>
      <w:pPr>
        <w:spacing w:after="160" w:before="0" w:line="360" w:lineRule="auto"/>
        <w:jc w:val="both"/>
      </w:pPr>
      <w:r>
        <w:rPr>
          <w:rFonts w:ascii="Times New Roman" w:cs="Times New Roman" w:eastAsia="Times New Roman" w:hAnsi="Times New Roman"/>
          <w:sz w:val="24"/>
          <w:szCs w:val="24"/>
        </w:rPr>
        <w:t xml:space="preserve">This chapter introduces the technical background that underpins the project and reviews the main approaches to automated document processing. It surveys traditional OCR, deep-learning document analysis, Visual Language Models, and the cloud-native architectural patterns used to operate such systems at scale, and it summarises the reasoning behind the design choices adopted in this work.</w:t>
      </w:r>
    </w:p>
    <w:p>
      <w:pPr>
        <w:pStyle w:val="Heading2"/>
        <w:spacing w:after="120" w:before="220"/>
      </w:pPr>
      <w:r>
        <w:rPr>
          <w:rFonts w:ascii="Times New Roman" w:cs="Times New Roman" w:eastAsia="Times New Roman" w:hAnsi="Times New Roman"/>
          <w:b/>
          <w:bCs/>
          <w:color w:val="1F3B73"/>
          <w:sz w:val="26"/>
          <w:szCs w:val="26"/>
        </w:rPr>
        <w:t xml:space="preserve">2.1  Background Theory</w:t>
      </w:r>
    </w:p>
    <w:p>
      <w:pPr>
        <w:spacing w:after="160" w:before="0" w:line="360" w:lineRule="auto"/>
        <w:jc w:val="both"/>
      </w:pPr>
      <w:r>
        <w:rPr>
          <w:rFonts w:ascii="Times New Roman" w:cs="Times New Roman" w:eastAsia="Times New Roman" w:hAnsi="Times New Roman"/>
          <w:sz w:val="24"/>
          <w:szCs w:val="24"/>
        </w:rPr>
        <w:t xml:space="preserve">Automated document processing has advanced considerably with progress in optical character recognition and cloud computing. Optical character recognition converts the pixels of a document image into machine-readable text. Classical engines such as Tesseract perform well on clean, single-column text but struggle with the complex, multi-column, table-heavy layouts common in scientific and pharmaceutical documents, where reading order and cell structure carry meaning.</w:t>
      </w:r>
    </w:p>
    <w:p>
      <w:pPr>
        <w:spacing w:after="160" w:before="0" w:line="360" w:lineRule="auto"/>
        <w:jc w:val="both"/>
      </w:pPr>
      <w:r>
        <w:rPr>
          <w:rFonts w:ascii="Times New Roman" w:cs="Times New Roman" w:eastAsia="Times New Roman" w:hAnsi="Times New Roman"/>
          <w:sz w:val="24"/>
          <w:szCs w:val="24"/>
        </w:rPr>
        <w:t xml:space="preserve">Deep-learning services extend this baseline. Amazon Textract detects not only text but also tables and key-value pairs using trained models, which makes it suitable for enterprise-scale document processing. However, its output is essentially a faithful transcription of what appears on the page; it does not, on its own, impose the domain-specific structure that downstream systems require. In this project, Textract is used precisely for what it does best — a high-fidelity, interpretation-free reading of the page — and is treated as the reference baseline against which structured extraction is validated.</w:t>
      </w:r>
    </w:p>
    <w:p>
      <w:pPr>
        <w:spacing w:after="160" w:before="0" w:line="360" w:lineRule="auto"/>
        <w:jc w:val="both"/>
      </w:pPr>
      <w:r>
        <w:rPr>
          <w:rFonts w:ascii="Times New Roman" w:cs="Times New Roman" w:eastAsia="Times New Roman" w:hAnsi="Times New Roman"/>
          <w:sz w:val="24"/>
          <w:szCs w:val="24"/>
        </w:rPr>
        <w:t xml:space="preserve">Visual Language Models represent a more recent approach to document understanding. By combining visual perception with language modelling, a VLM can interpret layout and content simultaneously, reasoning about a page as both an image and a stream of text. This allows the model to use spatial cues — column boundaries, header rows, the alignment of a value under a timepoint — that text-only pipelines discard. Recent work indicates that such multimodal models can outperform text-only pipelines on heterogeneous documents, particularly for table extraction and section identification.</w:t>
      </w:r>
    </w:p>
    <w:p>
      <w:pPr>
        <w:spacing w:after="160" w:before="0" w:line="360" w:lineRule="auto"/>
        <w:jc w:val="both"/>
      </w:pPr>
      <w:r>
        <w:rPr>
          <w:rFonts w:ascii="Times New Roman" w:cs="Times New Roman" w:eastAsia="Times New Roman" w:hAnsi="Times New Roman"/>
          <w:sz w:val="24"/>
          <w:szCs w:val="24"/>
        </w:rPr>
        <w:t xml:space="preserve">Finally, knowledge distillation offers a route to efficiency: a smaller “student” model can be trained to reproduce the behaviour of a larger “teacher” model on domain-specific data, reducing inference cost. This is considered in the project only as a forward-looking direction rather than an implemented component.</w:t>
      </w:r>
    </w:p>
    <w:p>
      <w:pPr>
        <w:pStyle w:val="Heading2"/>
        <w:spacing w:after="120" w:before="220"/>
      </w:pPr>
      <w:r>
        <w:rPr>
          <w:rFonts w:ascii="Times New Roman" w:cs="Times New Roman" w:eastAsia="Times New Roman" w:hAnsi="Times New Roman"/>
          <w:b/>
          <w:bCs/>
          <w:color w:val="1F3B73"/>
          <w:sz w:val="26"/>
          <w:szCs w:val="26"/>
        </w:rPr>
        <w:t xml:space="preserve">2.2  Literature Survey</w:t>
      </w:r>
    </w:p>
    <w:p>
      <w:pPr>
        <w:spacing w:after="160" w:before="0" w:line="360" w:lineRule="auto"/>
        <w:jc w:val="both"/>
      </w:pPr>
      <w:r>
        <w:rPr>
          <w:rFonts w:ascii="Times New Roman" w:cs="Times New Roman" w:eastAsia="Times New Roman" w:hAnsi="Times New Roman"/>
          <w:sz w:val="24"/>
          <w:szCs w:val="24"/>
        </w:rPr>
        <w:t xml:space="preserve">The table below compares the principal approaches evaluated for this work, along with the role each plays in the final design.</w:t>
      </w:r>
    </w:p>
    <w:tbl>
      <w:tblPr>
        <w:tblW w:type="dxa" w:w="9360"/>
        <w:tblBorders>
          <w:top w:val="single" w:color="9AA8C4" w:sz="4"/>
          <w:left w:val="single" w:color="9AA8C4" w:sz="4"/>
          <w:bottom w:val="single" w:color="9AA8C4" w:sz="4"/>
          <w:right w:val="single" w:color="9AA8C4" w:sz="4"/>
          <w:insideH w:val="single" w:color="C7D0E2" w:sz="2"/>
          <w:insideV w:val="single" w:color="C7D0E2" w:sz="2"/>
        </w:tblBorders>
      </w:tblPr>
      <w:tblGrid>
        <w:gridCol w:w="1900"/>
        <w:gridCol w:w="3200"/>
        <w:gridCol w:w="4260"/>
      </w:tblGrid>
      <w:tr>
        <w:trPr>
          <w:tblHeader/>
        </w:trPr>
        <w:tc>
          <w:tcPr>
            <w:tcW w:type="dxa" w:w="1900"/>
            <w:shd w:fill="1F3B73"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b/>
                <w:bCs/>
                <w:color w:val="FFFFFF"/>
                <w:sz w:val="21"/>
                <w:szCs w:val="21"/>
              </w:rPr>
              <w:t xml:space="preserve">Approach</w:t>
            </w:r>
          </w:p>
        </w:tc>
        <w:tc>
          <w:tcPr>
            <w:tcW w:type="dxa" w:w="3200"/>
            <w:shd w:fill="1F3B73"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b/>
                <w:bCs/>
                <w:color w:val="FFFFFF"/>
                <w:sz w:val="21"/>
                <w:szCs w:val="21"/>
              </w:rPr>
              <w:t xml:space="preserve">Strengths</w:t>
            </w:r>
          </w:p>
        </w:tc>
        <w:tc>
          <w:tcPr>
            <w:tcW w:type="dxa" w:w="4260"/>
            <w:shd w:fill="1F3B73"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b/>
                <w:bCs/>
                <w:color w:val="FFFFFF"/>
                <w:sz w:val="21"/>
                <w:szCs w:val="21"/>
              </w:rPr>
              <w:t xml:space="preserve">Limitations / role in this work</w:t>
            </w:r>
          </w:p>
        </w:tc>
      </w:tr>
      <w:tr>
        <w:tc>
          <w:tcPr>
            <w:tcW w:type="dxa" w:w="190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Tesseract OCR</w:t>
            </w:r>
          </w:p>
        </w:tc>
        <w:tc>
          <w:tcPr>
            <w:tcW w:type="dxa" w:w="320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Open-source; simple text extraction</w:t>
            </w:r>
          </w:p>
        </w:tc>
        <w:tc>
          <w:tcPr>
            <w:tcW w:type="dxa" w:w="426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Weak on complex scientific layouts and tables; not adopted</w:t>
            </w:r>
          </w:p>
        </w:tc>
      </w:tr>
      <w:tr>
        <w:tc>
          <w:tcPr>
            <w:tcW w:type="dxa" w:w="190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Amazon Textract</w:t>
            </w:r>
          </w:p>
        </w:tc>
        <w:tc>
          <w:tcPr>
            <w:tcW w:type="dxa" w:w="320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Deep-learning table and form extraction; enterprise-grade</w:t>
            </w:r>
          </w:p>
        </w:tc>
        <w:tc>
          <w:tcPr>
            <w:tcW w:type="dxa" w:w="426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Outputs unstructured text; used as the OCR ground-truth baseline</w:t>
            </w:r>
          </w:p>
        </w:tc>
      </w:tr>
      <w:tr>
        <w:tc>
          <w:tcPr>
            <w:tcW w:type="dxa" w:w="190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Docling</w:t>
            </w:r>
          </w:p>
        </w:tc>
        <w:tc>
          <w:tcPr>
            <w:tcW w:type="dxa" w:w="320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Open-source document parser; layout-aware</w:t>
            </w:r>
          </w:p>
        </w:tc>
        <w:tc>
          <w:tcPr>
            <w:tcW w:type="dxa" w:w="426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Underperformed Textract on pharmaceutical formats and added overhead; evaluated and dropped</w:t>
            </w:r>
          </w:p>
        </w:tc>
      </w:tr>
      <w:tr>
        <w:tc>
          <w:tcPr>
            <w:tcW w:type="dxa" w:w="190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Visual Language Model</w:t>
            </w:r>
          </w:p>
        </w:tc>
        <w:tc>
          <w:tcPr>
            <w:tcW w:type="dxa" w:w="320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Layout-aware, multimodal understanding; template-free</w:t>
            </w:r>
          </w:p>
        </w:tc>
        <w:tc>
          <w:tcPr>
            <w:tcW w:type="dxa" w:w="426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Higher inference cost; adopted as the core extraction engine</w:t>
            </w:r>
          </w:p>
        </w:tc>
      </w:tr>
      <w:tr>
        <w:tc>
          <w:tcPr>
            <w:tcW w:type="dxa" w:w="190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Knowledge distillation</w:t>
            </w:r>
          </w:p>
        </w:tc>
        <w:tc>
          <w:tcPr>
            <w:tcW w:type="dxa" w:w="320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Smaller, cheaper domain-specific models</w:t>
            </w:r>
          </w:p>
        </w:tc>
        <w:tc>
          <w:tcPr>
            <w:tcW w:type="dxa" w:w="426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Requires training data and effort; retained as future scope</w:t>
            </w:r>
          </w:p>
        </w:tc>
      </w:tr>
    </w:tbl>
    <w:p>
      <w:pPr>
        <w:spacing w:after="200" w:before="80"/>
        <w:jc w:val="center"/>
      </w:pPr>
      <w:r>
        <w:rPr>
          <w:rFonts w:ascii="Times New Roman" w:cs="Times New Roman" w:eastAsia="Times New Roman" w:hAnsi="Times New Roman"/>
          <w:i/>
          <w:iCs/>
          <w:color w:val="40465A"/>
          <w:sz w:val="20"/>
          <w:szCs w:val="20"/>
        </w:rPr>
        <w:t xml:space="preserve">Table 2.1  Comparison of document-processing approaches.</w:t>
      </w:r>
    </w:p>
    <w:p>
      <w:pPr>
        <w:spacing w:after="160" w:before="0" w:line="360" w:lineRule="auto"/>
        <w:jc w:val="both"/>
      </w:pPr>
      <w:r>
        <w:rPr>
          <w:rFonts w:ascii="Times New Roman" w:cs="Times New Roman" w:eastAsia="Times New Roman" w:hAnsi="Times New Roman"/>
          <w:sz w:val="24"/>
          <w:szCs w:val="24"/>
        </w:rPr>
        <w:t xml:space="preserve">On the infrastructure side, event-driven architectures on AWS — using S3 upload events to trigger Lambda functions that orchestrate Glue ETL jobs — provide a well-established pattern for processing documents automatically on arrival, without manual intervention and with elastic, serverless compute. This pattern forms the operational backbone of the system described in Chapter 3.</w:t>
      </w:r>
    </w:p>
    <w:p>
      <w:pPr>
        <w:pStyle w:val="Heading2"/>
        <w:spacing w:after="120" w:before="220"/>
      </w:pPr>
      <w:r>
        <w:rPr>
          <w:rFonts w:ascii="Times New Roman" w:cs="Times New Roman" w:eastAsia="Times New Roman" w:hAnsi="Times New Roman"/>
          <w:b/>
          <w:bCs/>
          <w:color w:val="1F3B73"/>
          <w:sz w:val="26"/>
          <w:szCs w:val="26"/>
        </w:rPr>
        <w:t xml:space="preserve">2.3  Summary of Literature Review</w:t>
      </w:r>
    </w:p>
    <w:p>
      <w:pPr>
        <w:spacing w:after="160" w:before="0" w:line="360" w:lineRule="auto"/>
        <w:jc w:val="both"/>
      </w:pPr>
      <w:r>
        <w:rPr>
          <w:rFonts w:ascii="Times New Roman" w:cs="Times New Roman" w:eastAsia="Times New Roman" w:hAnsi="Times New Roman"/>
          <w:sz w:val="24"/>
          <w:szCs w:val="24"/>
        </w:rPr>
        <w:t xml:space="preserve">The survey points to a hybrid design. No single technique is sufficient on its own: OCR reads text reliably but without structure, and a VLM infers structure but benefits from a reliable text anchor to remain grounded and verifiable. Combining the two — OCR as ground truth, a VLM for structure, and an explicit validation step that compares the two — captures the strengths of each while mitigating their individual weaknesses. Docling was evaluated as an OCR alternative and dropped after it failed to improve on Textract while adding overhead.</w:t>
      </w:r>
    </w:p>
    <w:p>
      <w:pPr>
        <w:pStyle w:val="Heading2"/>
        <w:spacing w:after="120" w:before="220"/>
      </w:pPr>
      <w:r>
        <w:rPr>
          <w:rFonts w:ascii="Times New Roman" w:cs="Times New Roman" w:eastAsia="Times New Roman" w:hAnsi="Times New Roman"/>
          <w:b/>
          <w:bCs/>
          <w:color w:val="1F3B73"/>
          <w:sz w:val="26"/>
          <w:szCs w:val="26"/>
        </w:rPr>
        <w:t xml:space="preserve">2.4  Conclusions</w:t>
      </w:r>
    </w:p>
    <w:p>
      <w:pPr>
        <w:spacing w:after="160" w:before="0" w:line="360" w:lineRule="auto"/>
        <w:jc w:val="both"/>
      </w:pPr>
      <w:r>
        <w:rPr>
          <w:rFonts w:ascii="Times New Roman" w:cs="Times New Roman" w:eastAsia="Times New Roman" w:hAnsi="Times New Roman"/>
          <w:sz w:val="24"/>
          <w:szCs w:val="24"/>
        </w:rPr>
        <w:t xml:space="preserve">The literature and the practical evaluation together justify the central architectural decision of this project: a template-free, OCR-anchored, VLM-driven extraction pipeline with a validation layer that scores and, where necessary, repairs its own output. The next chapter describes how this design is realised.</w:t>
      </w:r>
    </w:p>
    <w:p>
      <w:pPr>
        <w:pageBreakBefore/>
        <w:spacing w:after="40" w:before="240"/>
        <w:jc w:val="center"/>
      </w:pPr>
      <w:r>
        <w:rPr>
          <w:rFonts w:ascii="Times New Roman" w:cs="Times New Roman" w:eastAsia="Times New Roman" w:hAnsi="Times New Roman"/>
          <w:b/>
          <w:bCs/>
          <w:color w:val="1F3B73"/>
          <w:sz w:val="26"/>
          <w:szCs w:val="26"/>
        </w:rPr>
        <w:t xml:space="preserve">CHAPTER 3</w:t>
      </w:r>
    </w:p>
    <w:p>
      <w:pPr>
        <w:pStyle w:val="Heading1"/>
        <w:spacing w:after="260"/>
        <w:jc w:val="center"/>
      </w:pPr>
      <w:r>
        <w:rPr>
          <w:rFonts w:ascii="Times New Roman" w:cs="Times New Roman" w:eastAsia="Times New Roman" w:hAnsi="Times New Roman"/>
          <w:b/>
          <w:bCs/>
          <w:color w:val="1F3B73"/>
          <w:sz w:val="30"/>
          <w:szCs w:val="30"/>
        </w:rPr>
        <w:t xml:space="preserve">METHODOLOGY</w:t>
      </w:r>
    </w:p>
    <w:p>
      <w:pPr>
        <w:spacing w:after="160" w:before="0" w:line="360" w:lineRule="auto"/>
        <w:jc w:val="both"/>
      </w:pPr>
      <w:r>
        <w:rPr>
          <w:rFonts w:ascii="Times New Roman" w:cs="Times New Roman" w:eastAsia="Times New Roman" w:hAnsi="Times New Roman"/>
          <w:sz w:val="24"/>
          <w:szCs w:val="24"/>
        </w:rPr>
        <w:t xml:space="preserve">This chapter presents the detailed methodology of the PDF parsing system. It describes the end-to-end architecture, the responsibilities of each pipeline phase, the validation and self-healing mechanism, and the post-processing that produces the final structured output. It then lists the tools and technologies used.</w:t>
      </w:r>
    </w:p>
    <w:p>
      <w:pPr>
        <w:pStyle w:val="Heading2"/>
        <w:spacing w:after="120" w:before="220"/>
      </w:pPr>
      <w:r>
        <w:rPr>
          <w:rFonts w:ascii="Times New Roman" w:cs="Times New Roman" w:eastAsia="Times New Roman" w:hAnsi="Times New Roman"/>
          <w:b/>
          <w:bCs/>
          <w:color w:val="1F3B73"/>
          <w:sz w:val="26"/>
          <w:szCs w:val="26"/>
        </w:rPr>
        <w:t xml:space="preserve">3.1  Detailed Methodology</w:t>
      </w:r>
    </w:p>
    <w:p>
      <w:pPr>
        <w:spacing w:after="160" w:before="0" w:line="360" w:lineRule="auto"/>
        <w:jc w:val="both"/>
      </w:pPr>
      <w:r>
        <w:rPr>
          <w:rFonts w:ascii="Times New Roman" w:cs="Times New Roman" w:eastAsia="Times New Roman" w:hAnsi="Times New Roman"/>
          <w:sz w:val="24"/>
          <w:szCs w:val="24"/>
        </w:rPr>
        <w:t xml:space="preserve">The system is an event-driven pipeline built on managed AWS services. A PDF placed in an S3 bucket raises an event that invokes a Lambda function; the function matches the file against a set of keyword rules to identify the document type and starts the appropriate AWS Glue job. The Glue job imports the core Python library and runs the extraction pipeline for the document. The overall architecture is shown in Figure 3.1.</w:t>
      </w:r>
    </w:p>
    <w:p>
      <w:pPr>
        <w:spacing w:after="60" w:before="160"/>
        <w:jc w:val="center"/>
      </w:pPr>
      <w:r>
        <w:drawing>
          <wp:inline distT="0" distB="0" distL="0" distR="0">
            <wp:extent cx="4095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3076575"/>
                    </a:xfrm>
                    <a:prstGeom prst="rect">
                      <a:avLst/>
                    </a:prstGeom>
                  </pic:spPr>
                </pic:pic>
              </a:graphicData>
            </a:graphic>
          </wp:inline>
        </w:drawing>
      </w:r>
    </w:p>
    <w:p>
      <w:pPr>
        <w:spacing w:after="200" w:before="80"/>
        <w:jc w:val="center"/>
      </w:pPr>
      <w:r>
        <w:rPr>
          <w:rFonts w:ascii="Times New Roman" w:cs="Times New Roman" w:eastAsia="Times New Roman" w:hAnsi="Times New Roman"/>
          <w:i/>
          <w:iCs/>
          <w:color w:val="40465A"/>
          <w:sz w:val="20"/>
          <w:szCs w:val="20"/>
        </w:rPr>
        <w:t xml:space="preserve">Figure 3.1  EDB Document Parser — the four-phase extraction pipeline, from S3 ingestion through OCR and VLM extraction to validation, self-healing, and post-processing.</w:t>
      </w:r>
    </w:p>
    <w:p>
      <w:pPr>
        <w:pStyle w:val="Heading3"/>
        <w:spacing w:after="90" w:before="160"/>
      </w:pPr>
      <w:r>
        <w:rPr>
          <w:rFonts w:ascii="Times New Roman" w:cs="Times New Roman" w:eastAsia="Times New Roman" w:hAnsi="Times New Roman"/>
          <w:b/>
          <w:bCs/>
          <w:color w:val="2F3B57"/>
          <w:sz w:val="24"/>
          <w:szCs w:val="24"/>
        </w:rPr>
        <w:t xml:space="preserve">3.1.1  Phase 1 — OCR and page rendering</w:t>
      </w:r>
    </w:p>
    <w:p>
      <w:pPr>
        <w:spacing w:after="160" w:before="0" w:line="360" w:lineRule="auto"/>
        <w:jc w:val="both"/>
      </w:pPr>
      <w:r>
        <w:rPr>
          <w:rFonts w:ascii="Times New Roman" w:cs="Times New Roman" w:eastAsia="Times New Roman" w:hAnsi="Times New Roman"/>
          <w:sz w:val="24"/>
          <w:szCs w:val="24"/>
        </w:rPr>
        <w:t xml:space="preserve">In the first phase, two representations of the document are produced in parallel. Amazon Textract analyses the PDF to extract table cells, key-value pairs, and text lines, and detects tables that continue across pages by comparing header similarity between adjacent pages. Simultaneously, each PDF page is rendered to a PNG image at 200 DPI and encoded so that it can be passed to the model as a visual input. The Textract output serves as the interpretation-free ground truth for the page, while the images give the model the visual context it needs to reason about layout.</w:t>
      </w:r>
    </w:p>
    <w:p>
      <w:pPr>
        <w:pStyle w:val="Heading3"/>
        <w:spacing w:after="90" w:before="160"/>
      </w:pPr>
      <w:r>
        <w:rPr>
          <w:rFonts w:ascii="Times New Roman" w:cs="Times New Roman" w:eastAsia="Times New Roman" w:hAnsi="Times New Roman"/>
          <w:b/>
          <w:bCs/>
          <w:color w:val="2F3B57"/>
          <w:sz w:val="24"/>
          <w:szCs w:val="24"/>
        </w:rPr>
        <w:t xml:space="preserve">3.1.2  Phase 2 — VLM extraction in two passes</w:t>
      </w:r>
    </w:p>
    <w:p>
      <w:pPr>
        <w:spacing w:after="160" w:before="0" w:line="360" w:lineRule="auto"/>
        <w:jc w:val="both"/>
      </w:pPr>
      <w:r>
        <w:rPr>
          <w:rFonts w:ascii="Times New Roman" w:cs="Times New Roman" w:eastAsia="Times New Roman" w:hAnsi="Times New Roman"/>
          <w:sz w:val="24"/>
          <w:szCs w:val="24"/>
        </w:rPr>
        <w:t xml:space="preserve">The second phase uses a Visual Language Model — Claude Sonnet, accessed through an internal GenAI gateway — in two passes. In the first pass the model examines the page image together with the OCR data and produces a JSON schema for that page, correctly handling multi-row headers, timepoint columns, and continuation tables. In the second pass the model populates that schema with the actual values, chunking large tables into manageable pieces, preserving multi-line cell content, and flagging handwritten entries. Separating structure from content in this way keeps each pass focused and improves reliability. A key engineering insight during development was that the model must receive the page image and not text alone: adding image inputs allowed the model to exploit visual layout and materially improved extraction quality.</w:t>
      </w:r>
    </w:p>
    <w:p>
      <w:pPr>
        <w:pStyle w:val="Heading3"/>
        <w:spacing w:after="90" w:before="160"/>
      </w:pPr>
      <w:r>
        <w:rPr>
          <w:rFonts w:ascii="Times New Roman" w:cs="Times New Roman" w:eastAsia="Times New Roman" w:hAnsi="Times New Roman"/>
          <w:b/>
          <w:bCs/>
          <w:color w:val="2F3B57"/>
          <w:sz w:val="24"/>
          <w:szCs w:val="24"/>
        </w:rPr>
        <w:t xml:space="preserve">3.1.3  Phase 3 — validation and self-healing</w:t>
      </w:r>
    </w:p>
    <w:p>
      <w:pPr>
        <w:spacing w:after="160" w:before="0" w:line="360" w:lineRule="auto"/>
        <w:jc w:val="both"/>
      </w:pPr>
      <w:r>
        <w:rPr>
          <w:rFonts w:ascii="Times New Roman" w:cs="Times New Roman" w:eastAsia="Times New Roman" w:hAnsi="Times New Roman"/>
          <w:sz w:val="24"/>
          <w:szCs w:val="24"/>
        </w:rPr>
        <w:t xml:space="preserve">The third phase makes the pipeline verifiable. Every value produced by the model is compared, using fuzzy matching, against the Textract output for the same page, and each page receives a recall score (the proportion of reference values that were captured) and a Jaccard score (the overlap between the two value sets). Pages are then graded, and low-scoring pages are repaired automatically according to a tiered strategy, so that only the affected pages — not entire documents — are reprocessed. The grading and re-extraction policies are given in Tables 3.2 and 3.3.</w:t>
      </w:r>
    </w:p>
    <w:tbl>
      <w:tblPr>
        <w:tblW w:type="dxa" w:w="9360"/>
        <w:tblBorders>
          <w:top w:val="single" w:color="9AA8C4" w:sz="4"/>
          <w:left w:val="single" w:color="9AA8C4" w:sz="4"/>
          <w:bottom w:val="single" w:color="9AA8C4" w:sz="4"/>
          <w:right w:val="single" w:color="9AA8C4" w:sz="4"/>
          <w:insideH w:val="single" w:color="C7D0E2" w:sz="2"/>
          <w:insideV w:val="single" w:color="C7D0E2" w:sz="2"/>
        </w:tblBorders>
      </w:tblPr>
      <w:tblGrid>
        <w:gridCol w:w="3120"/>
        <w:gridCol w:w="3120"/>
        <w:gridCol w:w="3120"/>
      </w:tblGrid>
      <w:tr>
        <w:trPr>
          <w:tblHeader/>
        </w:trPr>
        <w:tc>
          <w:tcPr>
            <w:tcW w:type="dxa" w:w="3120"/>
            <w:shd w:fill="1F3B73"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b/>
                <w:bCs/>
                <w:color w:val="FFFFFF"/>
                <w:sz w:val="21"/>
                <w:szCs w:val="21"/>
              </w:rPr>
              <w:t xml:space="preserve">Grade</w:t>
            </w:r>
          </w:p>
        </w:tc>
        <w:tc>
          <w:tcPr>
            <w:tcW w:type="dxa" w:w="3120"/>
            <w:shd w:fill="1F3B73"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b/>
                <w:bCs/>
                <w:color w:val="FFFFFF"/>
                <w:sz w:val="21"/>
                <w:szCs w:val="21"/>
              </w:rPr>
              <w:t xml:space="preserve">Recall</w:t>
            </w:r>
          </w:p>
        </w:tc>
        <w:tc>
          <w:tcPr>
            <w:tcW w:type="dxa" w:w="3120"/>
            <w:shd w:fill="1F3B73"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b/>
                <w:bCs/>
                <w:color w:val="FFFFFF"/>
                <w:sz w:val="21"/>
                <w:szCs w:val="21"/>
              </w:rPr>
              <w:t xml:space="preserve">Jaccard</w:t>
            </w:r>
          </w:p>
        </w:tc>
      </w:tr>
      <w:tr>
        <w:tc>
          <w:tcPr>
            <w:tcW w:type="dxa" w:w="312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Excellent</w:t>
            </w:r>
          </w:p>
        </w:tc>
        <w:tc>
          <w:tcPr>
            <w:tcW w:type="dxa" w:w="3120"/>
            <w:shd w:fill="FFFFFF"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color w:val="000000"/>
                <w:sz w:val="21"/>
                <w:szCs w:val="21"/>
              </w:rPr>
              <w:t xml:space="preserve">≥ 95%</w:t>
            </w:r>
          </w:p>
        </w:tc>
        <w:tc>
          <w:tcPr>
            <w:tcW w:type="dxa" w:w="3120"/>
            <w:shd w:fill="FFFFFF"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color w:val="000000"/>
                <w:sz w:val="21"/>
                <w:szCs w:val="21"/>
              </w:rPr>
              <w:t xml:space="preserve">≥ 85%</w:t>
            </w:r>
          </w:p>
        </w:tc>
      </w:tr>
      <w:tr>
        <w:tc>
          <w:tcPr>
            <w:tcW w:type="dxa" w:w="312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Good</w:t>
            </w:r>
          </w:p>
        </w:tc>
        <w:tc>
          <w:tcPr>
            <w:tcW w:type="dxa" w:w="3120"/>
            <w:shd w:fill="EEF2FA"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color w:val="000000"/>
                <w:sz w:val="21"/>
                <w:szCs w:val="21"/>
              </w:rPr>
              <w:t xml:space="preserve">≥ 85%</w:t>
            </w:r>
          </w:p>
        </w:tc>
        <w:tc>
          <w:tcPr>
            <w:tcW w:type="dxa" w:w="3120"/>
            <w:shd w:fill="EEF2FA"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color w:val="000000"/>
                <w:sz w:val="21"/>
                <w:szCs w:val="21"/>
              </w:rPr>
              <w:t xml:space="preserve">≥ 70%</w:t>
            </w:r>
          </w:p>
        </w:tc>
      </w:tr>
      <w:tr>
        <w:tc>
          <w:tcPr>
            <w:tcW w:type="dxa" w:w="312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Fair</w:t>
            </w:r>
          </w:p>
        </w:tc>
        <w:tc>
          <w:tcPr>
            <w:tcW w:type="dxa" w:w="3120"/>
            <w:shd w:fill="FFFFFF"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color w:val="000000"/>
                <w:sz w:val="21"/>
                <w:szCs w:val="21"/>
              </w:rPr>
              <w:t xml:space="preserve">≥ 70%</w:t>
            </w:r>
          </w:p>
        </w:tc>
        <w:tc>
          <w:tcPr>
            <w:tcW w:type="dxa" w:w="3120"/>
            <w:shd w:fill="FFFFFF"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color w:val="000000"/>
                <w:sz w:val="21"/>
                <w:szCs w:val="21"/>
              </w:rPr>
              <w:t xml:space="preserve">≥ 50%</w:t>
            </w:r>
          </w:p>
        </w:tc>
      </w:tr>
      <w:tr>
        <w:tc>
          <w:tcPr>
            <w:tcW w:type="dxa" w:w="312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Poor</w:t>
            </w:r>
          </w:p>
        </w:tc>
        <w:tc>
          <w:tcPr>
            <w:tcW w:type="dxa" w:w="3120"/>
            <w:shd w:fill="EEF2FA"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color w:val="000000"/>
                <w:sz w:val="21"/>
                <w:szCs w:val="21"/>
              </w:rPr>
              <w:t xml:space="preserve">≥ 50%</w:t>
            </w:r>
          </w:p>
        </w:tc>
        <w:tc>
          <w:tcPr>
            <w:tcW w:type="dxa" w:w="3120"/>
            <w:shd w:fill="EEF2FA"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color w:val="000000"/>
                <w:sz w:val="21"/>
                <w:szCs w:val="21"/>
              </w:rPr>
              <w:t xml:space="preserve">—</w:t>
            </w:r>
          </w:p>
        </w:tc>
      </w:tr>
      <w:tr>
        <w:tc>
          <w:tcPr>
            <w:tcW w:type="dxa" w:w="312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Critical</w:t>
            </w:r>
          </w:p>
        </w:tc>
        <w:tc>
          <w:tcPr>
            <w:tcW w:type="dxa" w:w="3120"/>
            <w:shd w:fill="FFFFFF"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color w:val="000000"/>
                <w:sz w:val="21"/>
                <w:szCs w:val="21"/>
              </w:rPr>
              <w:t xml:space="preserve">&lt; 50%</w:t>
            </w:r>
          </w:p>
        </w:tc>
        <w:tc>
          <w:tcPr>
            <w:tcW w:type="dxa" w:w="3120"/>
            <w:shd w:fill="FFFFFF"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color w:val="000000"/>
                <w:sz w:val="21"/>
                <w:szCs w:val="21"/>
              </w:rPr>
              <w:t xml:space="preserve">—</w:t>
            </w:r>
          </w:p>
        </w:tc>
      </w:tr>
    </w:tbl>
    <w:p>
      <w:pPr>
        <w:spacing w:after="200" w:before="80"/>
        <w:jc w:val="center"/>
      </w:pPr>
      <w:r>
        <w:rPr>
          <w:rFonts w:ascii="Times New Roman" w:cs="Times New Roman" w:eastAsia="Times New Roman" w:hAnsi="Times New Roman"/>
          <w:i/>
          <w:iCs/>
          <w:color w:val="40465A"/>
          <w:sz w:val="20"/>
          <w:szCs w:val="20"/>
        </w:rPr>
        <w:t xml:space="preserve">Table 3.2  Per-page quality grades based on recall and Jaccard thresholds.</w:t>
      </w:r>
    </w:p>
    <w:tbl>
      <w:tblPr>
        <w:tblW w:type="dxa" w:w="9360"/>
        <w:tblBorders>
          <w:top w:val="single" w:color="9AA8C4" w:sz="4"/>
          <w:left w:val="single" w:color="9AA8C4" w:sz="4"/>
          <w:bottom w:val="single" w:color="9AA8C4" w:sz="4"/>
          <w:right w:val="single" w:color="9AA8C4" w:sz="4"/>
          <w:insideH w:val="single" w:color="C7D0E2" w:sz="2"/>
          <w:insideV w:val="single" w:color="C7D0E2" w:sz="2"/>
        </w:tblBorders>
      </w:tblPr>
      <w:tblGrid>
        <w:gridCol w:w="1700"/>
        <w:gridCol w:w="2100"/>
        <w:gridCol w:w="5560"/>
      </w:tblGrid>
      <w:tr>
        <w:trPr>
          <w:tblHeader/>
        </w:trPr>
        <w:tc>
          <w:tcPr>
            <w:tcW w:type="dxa" w:w="1700"/>
            <w:shd w:fill="1F3B73"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b/>
                <w:bCs/>
                <w:color w:val="FFFFFF"/>
                <w:sz w:val="21"/>
                <w:szCs w:val="21"/>
              </w:rPr>
              <w:t xml:space="preserve">Recall range</w:t>
            </w:r>
          </w:p>
        </w:tc>
        <w:tc>
          <w:tcPr>
            <w:tcW w:type="dxa" w:w="2100"/>
            <w:shd w:fill="1F3B73"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b/>
                <w:bCs/>
                <w:color w:val="FFFFFF"/>
                <w:sz w:val="21"/>
                <w:szCs w:val="21"/>
              </w:rPr>
              <w:t xml:space="preserve">Strategy</w:t>
            </w:r>
          </w:p>
        </w:tc>
        <w:tc>
          <w:tcPr>
            <w:tcW w:type="dxa" w:w="5560"/>
            <w:shd w:fill="1F3B73"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b/>
                <w:bCs/>
                <w:color w:val="FFFFFF"/>
                <w:sz w:val="21"/>
                <w:szCs w:val="21"/>
              </w:rPr>
              <w:t xml:space="preserve">Description</w:t>
            </w:r>
          </w:p>
        </w:tc>
      </w:tr>
      <w:tr>
        <w:tc>
          <w:tcPr>
            <w:tcW w:type="dxa" w:w="170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&lt; 75%</w:t>
            </w:r>
          </w:p>
        </w:tc>
        <w:tc>
          <w:tcPr>
            <w:tcW w:type="dxa" w:w="2100"/>
            <w:shd w:fill="FFFFFF"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color w:val="000000"/>
                <w:sz w:val="21"/>
                <w:szCs w:val="21"/>
              </w:rPr>
              <w:t xml:space="preserve">Full re-extraction</w:t>
            </w:r>
          </w:p>
        </w:tc>
        <w:tc>
          <w:tcPr>
            <w:tcW w:type="dxa" w:w="556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A targeted VLM call that re-extracts the specific missing rows and key-value pairs, then merges the result while avoiding duplicates.</w:t>
            </w:r>
          </w:p>
        </w:tc>
      </w:tr>
      <w:tr>
        <w:tc>
          <w:tcPr>
            <w:tcW w:type="dxa" w:w="170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75% – 88%</w:t>
            </w:r>
          </w:p>
        </w:tc>
        <w:tc>
          <w:tcPr>
            <w:tcW w:type="dxa" w:w="2100"/>
            <w:shd w:fill="EEF2FA"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color w:val="000000"/>
                <w:sz w:val="21"/>
                <w:szCs w:val="21"/>
              </w:rPr>
              <w:t xml:space="preserve">Lightweight fill</w:t>
            </w:r>
          </w:p>
        </w:tc>
        <w:tc>
          <w:tcPr>
            <w:tcW w:type="dxa" w:w="556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Missing values are filled by direct lookup in the Textract output, with no additional VLM call.</w:t>
            </w:r>
          </w:p>
        </w:tc>
      </w:tr>
      <w:tr>
        <w:tc>
          <w:tcPr>
            <w:tcW w:type="dxa" w:w="170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&gt; 88%</w:t>
            </w:r>
          </w:p>
        </w:tc>
        <w:tc>
          <w:tcPr>
            <w:tcW w:type="dxa" w:w="2100"/>
            <w:shd w:fill="FFFFFF"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color w:val="000000"/>
                <w:sz w:val="21"/>
                <w:szCs w:val="21"/>
              </w:rPr>
              <w:t xml:space="preserve">Accept as-is</w:t>
            </w:r>
          </w:p>
        </w:tc>
        <w:tc>
          <w:tcPr>
            <w:tcW w:type="dxa" w:w="556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The page is accepted without further processing.</w:t>
            </w:r>
          </w:p>
        </w:tc>
      </w:tr>
    </w:tbl>
    <w:p>
      <w:pPr>
        <w:spacing w:after="200" w:before="80"/>
        <w:jc w:val="center"/>
      </w:pPr>
      <w:r>
        <w:rPr>
          <w:rFonts w:ascii="Times New Roman" w:cs="Times New Roman" w:eastAsia="Times New Roman" w:hAnsi="Times New Roman"/>
          <w:i/>
          <w:iCs/>
          <w:color w:val="40465A"/>
          <w:sz w:val="20"/>
          <w:szCs w:val="20"/>
        </w:rPr>
        <w:t xml:space="preserve">Table 3.3  Tiered self-healing re-extraction strategy.</w:t>
      </w:r>
    </w:p>
    <w:p>
      <w:pPr>
        <w:pStyle w:val="Heading3"/>
        <w:spacing w:after="90" w:before="160"/>
      </w:pPr>
      <w:r>
        <w:rPr>
          <w:rFonts w:ascii="Times New Roman" w:cs="Times New Roman" w:eastAsia="Times New Roman" w:hAnsi="Times New Roman"/>
          <w:b/>
          <w:bCs/>
          <w:color w:val="2F3B57"/>
          <w:sz w:val="24"/>
          <w:szCs w:val="24"/>
        </w:rPr>
        <w:t xml:space="preserve">3.1.4  Phase 4 — post-processing</w:t>
      </w:r>
    </w:p>
    <w:p>
      <w:pPr>
        <w:spacing w:after="160" w:before="0" w:line="360" w:lineRule="auto"/>
        <w:jc w:val="both"/>
      </w:pPr>
      <w:r>
        <w:rPr>
          <w:rFonts w:ascii="Times New Roman" w:cs="Times New Roman" w:eastAsia="Times New Roman" w:hAnsi="Times New Roman"/>
          <w:sz w:val="24"/>
          <w:szCs w:val="24"/>
        </w:rPr>
        <w:t xml:space="preserve">The final phase turns validated per-page results into a clean, unified document. A data-quality flagging step applies five checks — European decimal-comma normalisation, plausibility against a specification upper bound, consistency between adjacent timepoints, handwriting and signature detection, and out-of-specification values against parsed acceptance criteria — and records the outcomes in a dedicated field so that reviewers can see immediately which values need attention. A deep-merge step combines per-page results into a single document, concatenating continuation tables in order and de-duplicating at page boundaries. A refinement step converts numeric strings to typed numbers, normalises dates to ISO format, and parses pharmaceutical result strings into value, unit, and qualifier components. Finally, a suggested-schema step produces a reusable schema for similar future documents — a feature added specifically so that the LRL team could run the pipeline in a manual-schema mode and select the fields they needed.</w:t>
      </w:r>
    </w:p>
    <w:p>
      <w:pPr>
        <w:pStyle w:val="Heading2"/>
        <w:spacing w:after="120" w:before="220"/>
      </w:pPr>
      <w:r>
        <w:rPr>
          <w:rFonts w:ascii="Times New Roman" w:cs="Times New Roman" w:eastAsia="Times New Roman" w:hAnsi="Times New Roman"/>
          <w:b/>
          <w:bCs/>
          <w:color w:val="1F3B73"/>
          <w:sz w:val="26"/>
          <w:szCs w:val="26"/>
        </w:rPr>
        <w:t xml:space="preserve">3.2  Tools Used</w:t>
      </w:r>
    </w:p>
    <w:p>
      <w:pPr>
        <w:spacing w:after="160" w:before="0" w:line="360" w:lineRule="auto"/>
        <w:jc w:val="both"/>
      </w:pPr>
      <w:r>
        <w:rPr>
          <w:rFonts w:ascii="Times New Roman" w:cs="Times New Roman" w:eastAsia="Times New Roman" w:hAnsi="Times New Roman"/>
          <w:sz w:val="24"/>
          <w:szCs w:val="24"/>
        </w:rPr>
        <w:t xml:space="preserve">The pipeline is implemented in Python and deployed on AWS using infrastructure-as-code, with continuous integration through GitHub Actions. Table 3.1 lists the main components of the technology stack.</w:t>
      </w:r>
    </w:p>
    <w:tbl>
      <w:tblPr>
        <w:tblW w:type="dxa" w:w="9360"/>
        <w:tblBorders>
          <w:top w:val="single" w:color="9AA8C4" w:sz="4"/>
          <w:left w:val="single" w:color="9AA8C4" w:sz="4"/>
          <w:bottom w:val="single" w:color="9AA8C4" w:sz="4"/>
          <w:right w:val="single" w:color="9AA8C4" w:sz="4"/>
          <w:insideH w:val="single" w:color="C7D0E2" w:sz="2"/>
          <w:insideV w:val="single" w:color="C7D0E2" w:sz="2"/>
        </w:tblBorders>
      </w:tblPr>
      <w:tblGrid>
        <w:gridCol w:w="3200"/>
        <w:gridCol w:w="6160"/>
      </w:tblGrid>
      <w:tr>
        <w:trPr>
          <w:tblHeader/>
        </w:trPr>
        <w:tc>
          <w:tcPr>
            <w:tcW w:type="dxa" w:w="3200"/>
            <w:shd w:fill="1F3B73"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b/>
                <w:bCs/>
                <w:color w:val="FFFFFF"/>
                <w:sz w:val="21"/>
                <w:szCs w:val="21"/>
              </w:rPr>
              <w:t xml:space="preserve">Layer</w:t>
            </w:r>
          </w:p>
        </w:tc>
        <w:tc>
          <w:tcPr>
            <w:tcW w:type="dxa" w:w="6160"/>
            <w:shd w:fill="1F3B73"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b/>
                <w:bCs/>
                <w:color w:val="FFFFFF"/>
                <w:sz w:val="21"/>
                <w:szCs w:val="21"/>
              </w:rPr>
              <w:t xml:space="preserve">Technology</w:t>
            </w:r>
          </w:p>
        </w:tc>
      </w:tr>
      <w:tr>
        <w:tc>
          <w:tcPr>
            <w:tcW w:type="dxa" w:w="320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Language</w:t>
            </w:r>
          </w:p>
        </w:tc>
        <w:tc>
          <w:tcPr>
            <w:tcW w:type="dxa" w:w="616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Python 3.11</w:t>
            </w:r>
          </w:p>
        </w:tc>
      </w:tr>
      <w:tr>
        <w:tc>
          <w:tcPr>
            <w:tcW w:type="dxa" w:w="320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Visual Language Model</w:t>
            </w:r>
          </w:p>
        </w:tc>
        <w:tc>
          <w:tcPr>
            <w:tcW w:type="dxa" w:w="616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Claude Sonnet (via an internal GenAI gateway; AWS Bedrock as an alternate)</w:t>
            </w:r>
          </w:p>
        </w:tc>
      </w:tr>
      <w:tr>
        <w:tc>
          <w:tcPr>
            <w:tcW w:type="dxa" w:w="320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OCR</w:t>
            </w:r>
          </w:p>
        </w:tc>
        <w:tc>
          <w:tcPr>
            <w:tcW w:type="dxa" w:w="616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AWS Textract (tables, forms, text detection)</w:t>
            </w:r>
          </w:p>
        </w:tc>
      </w:tr>
      <w:tr>
        <w:tc>
          <w:tcPr>
            <w:tcW w:type="dxa" w:w="320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Compute</w:t>
            </w:r>
          </w:p>
        </w:tc>
        <w:tc>
          <w:tcPr>
            <w:tcW w:type="dxa" w:w="616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AWS Glue (ETL jobs)</w:t>
            </w:r>
          </w:p>
        </w:tc>
      </w:tr>
      <w:tr>
        <w:tc>
          <w:tcPr>
            <w:tcW w:type="dxa" w:w="320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Trigger</w:t>
            </w:r>
          </w:p>
        </w:tc>
        <w:tc>
          <w:tcPr>
            <w:tcW w:type="dxa" w:w="616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AWS Lambda (S3 event-driven)</w:t>
            </w:r>
          </w:p>
        </w:tc>
      </w:tr>
      <w:tr>
        <w:tc>
          <w:tcPr>
            <w:tcW w:type="dxa" w:w="320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Storage &amp; secrets</w:t>
            </w:r>
          </w:p>
        </w:tc>
        <w:tc>
          <w:tcPr>
            <w:tcW w:type="dxa" w:w="616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Amazon S3, AWS Secrets Manager</w:t>
            </w:r>
          </w:p>
        </w:tc>
      </w:tr>
      <w:tr>
        <w:tc>
          <w:tcPr>
            <w:tcW w:type="dxa" w:w="320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PDF rendering &amp; imaging</w:t>
            </w:r>
          </w:p>
        </w:tc>
        <w:tc>
          <w:tcPr>
            <w:tcW w:type="dxa" w:w="616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PyMuPDF, Pillow</w:t>
            </w:r>
          </w:p>
        </w:tc>
      </w:tr>
      <w:tr>
        <w:tc>
          <w:tcPr>
            <w:tcW w:type="dxa" w:w="320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Observability</w:t>
            </w:r>
          </w:p>
        </w:tc>
        <w:tc>
          <w:tcPr>
            <w:tcW w:type="dxa" w:w="616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AWS CloudWatch</w:t>
            </w:r>
          </w:p>
        </w:tc>
      </w:tr>
      <w:tr>
        <w:tc>
          <w:tcPr>
            <w:tcW w:type="dxa" w:w="320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Infrastructure as code</w:t>
            </w:r>
          </w:p>
        </w:tc>
        <w:tc>
          <w:tcPr>
            <w:tcW w:type="dxa" w:w="616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AWS SAM / CloudFormation</w:t>
            </w:r>
          </w:p>
        </w:tc>
      </w:tr>
      <w:tr>
        <w:tc>
          <w:tcPr>
            <w:tcW w:type="dxa" w:w="320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CI/CD &amp; testing</w:t>
            </w:r>
          </w:p>
        </w:tc>
        <w:tc>
          <w:tcPr>
            <w:tcW w:type="dxa" w:w="616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GitHub Actions, pytest</w:t>
            </w:r>
          </w:p>
        </w:tc>
      </w:tr>
    </w:tbl>
    <w:p>
      <w:pPr>
        <w:spacing w:after="200" w:before="80"/>
        <w:jc w:val="center"/>
      </w:pPr>
      <w:r>
        <w:rPr>
          <w:rFonts w:ascii="Times New Roman" w:cs="Times New Roman" w:eastAsia="Times New Roman" w:hAnsi="Times New Roman"/>
          <w:i/>
          <w:iCs/>
          <w:color w:val="40465A"/>
          <w:sz w:val="20"/>
          <w:szCs w:val="20"/>
        </w:rPr>
        <w:t xml:space="preserve">Table 3.1  Technology stack of the document-parsing pipeline.</w:t>
      </w:r>
    </w:p>
    <w:p>
      <w:pPr>
        <w:pStyle w:val="Heading2"/>
        <w:spacing w:after="120" w:before="220"/>
      </w:pPr>
      <w:r>
        <w:rPr>
          <w:rFonts w:ascii="Times New Roman" w:cs="Times New Roman" w:eastAsia="Times New Roman" w:hAnsi="Times New Roman"/>
          <w:b/>
          <w:bCs/>
          <w:color w:val="1F3B73"/>
          <w:sz w:val="26"/>
          <w:szCs w:val="26"/>
        </w:rPr>
        <w:t xml:space="preserve">3.3  Conclusions</w:t>
      </w:r>
    </w:p>
    <w:p>
      <w:pPr>
        <w:spacing w:after="160" w:before="0" w:line="360" w:lineRule="auto"/>
        <w:jc w:val="both"/>
      </w:pPr>
      <w:r>
        <w:rPr>
          <w:rFonts w:ascii="Times New Roman" w:cs="Times New Roman" w:eastAsia="Times New Roman" w:hAnsi="Times New Roman"/>
          <w:sz w:val="24"/>
          <w:szCs w:val="24"/>
        </w:rPr>
        <w:t xml:space="preserve">The methodology combines a reliable OCR baseline with layout-aware VLM extraction and an explicit, measurable validation step, all orchestrated by serverless AWS services. The design directly satisfies the target specifications set out in Chapter 1: it is template-free, handles mixed formats, scores every page, repairs its own low-quality output, and runs at scale. The next chapter evaluates how well it performs in practice.</w:t>
      </w:r>
    </w:p>
    <w:p>
      <w:pPr>
        <w:pageBreakBefore/>
        <w:spacing w:after="40" w:before="240"/>
        <w:jc w:val="center"/>
      </w:pPr>
      <w:r>
        <w:rPr>
          <w:rFonts w:ascii="Times New Roman" w:cs="Times New Roman" w:eastAsia="Times New Roman" w:hAnsi="Times New Roman"/>
          <w:b/>
          <w:bCs/>
          <w:color w:val="1F3B73"/>
          <w:sz w:val="26"/>
          <w:szCs w:val="26"/>
        </w:rPr>
        <w:t xml:space="preserve">CHAPTER 4</w:t>
      </w:r>
    </w:p>
    <w:p>
      <w:pPr>
        <w:pStyle w:val="Heading1"/>
        <w:spacing w:after="260"/>
        <w:jc w:val="center"/>
      </w:pPr>
      <w:r>
        <w:rPr>
          <w:rFonts w:ascii="Times New Roman" w:cs="Times New Roman" w:eastAsia="Times New Roman" w:hAnsi="Times New Roman"/>
          <w:b/>
          <w:bCs/>
          <w:color w:val="1F3B73"/>
          <w:sz w:val="30"/>
          <w:szCs w:val="30"/>
        </w:rPr>
        <w:t xml:space="preserve">RESULT ANALYSIS</w:t>
      </w:r>
    </w:p>
    <w:p>
      <w:pPr>
        <w:spacing w:after="160" w:before="0" w:line="360" w:lineRule="auto"/>
        <w:jc w:val="both"/>
      </w:pPr>
      <w:r>
        <w:rPr>
          <w:rFonts w:ascii="Times New Roman" w:cs="Times New Roman" w:eastAsia="Times New Roman" w:hAnsi="Times New Roman"/>
          <w:sz w:val="24"/>
          <w:szCs w:val="24"/>
        </w:rPr>
        <w:t xml:space="preserve">This chapter reports the results of evaluating the PDF parsing pipeline. It presents the quantitative validation framework and its findings, discusses the domain-expert evaluation carried out by the research laboratories team, and reflects on the pipeline’s behaviour, its throughput, and its deployment status.</w:t>
      </w:r>
    </w:p>
    <w:p>
      <w:pPr>
        <w:pStyle w:val="Heading2"/>
        <w:spacing w:after="120" w:before="220"/>
      </w:pPr>
      <w:r>
        <w:rPr>
          <w:rFonts w:ascii="Times New Roman" w:cs="Times New Roman" w:eastAsia="Times New Roman" w:hAnsi="Times New Roman"/>
          <w:b/>
          <w:bCs/>
          <w:color w:val="1F3B73"/>
          <w:sz w:val="26"/>
          <w:szCs w:val="26"/>
        </w:rPr>
        <w:t xml:space="preserve">4.1  Results</w:t>
      </w:r>
    </w:p>
    <w:p>
      <w:pPr>
        <w:spacing w:after="160" w:before="0" w:line="360" w:lineRule="auto"/>
        <w:jc w:val="both"/>
      </w:pPr>
      <w:r>
        <w:rPr>
          <w:rFonts w:ascii="Times New Roman" w:cs="Times New Roman" w:eastAsia="Times New Roman" w:hAnsi="Times New Roman"/>
          <w:sz w:val="24"/>
          <w:szCs w:val="24"/>
        </w:rPr>
        <w:t xml:space="preserve">A validation framework was developed to measure extraction quality quantitatively. It uses the Textract OCR output as the reference standard and evaluates the final structured output against it using three metrics: precision, defined as TP / (TP + FP); recall, defined as TP / (TP + FN); and the Jaccard index, defined as the size of the intersection over the size of the union of the two value sets. Recall measures how much of the source content is captured, precision how much of the output is supported by the reference, and Jaccard the overall overlap.</w:t>
      </w:r>
    </w:p>
    <w:p>
      <w:pPr>
        <w:spacing w:after="160" w:before="0" w:line="360" w:lineRule="auto"/>
        <w:jc w:val="both"/>
      </w:pPr>
      <w:r>
        <w:rPr>
          <w:rFonts w:ascii="Times New Roman" w:cs="Times New Roman" w:eastAsia="Times New Roman" w:hAnsi="Times New Roman"/>
          <w:sz w:val="24"/>
          <w:szCs w:val="24"/>
        </w:rPr>
        <w:t xml:space="preserve">The pipeline was run end-to-end on nineteen representative documents spanning natively generated PDFs, scanned documents, and landscape-format tables. Across this set the pipeline consistently achieved high recall — averaging approximately eighty-five percent — indicating that most of the information present on the page is captured. Table 4.1 summarises the framework and its principal findings.</w:t>
      </w:r>
    </w:p>
    <w:tbl>
      <w:tblPr>
        <w:tblW w:type="dxa" w:w="9360"/>
        <w:tblBorders>
          <w:top w:val="single" w:color="9AA8C4" w:sz="4"/>
          <w:left w:val="single" w:color="9AA8C4" w:sz="4"/>
          <w:bottom w:val="single" w:color="9AA8C4" w:sz="4"/>
          <w:right w:val="single" w:color="9AA8C4" w:sz="4"/>
          <w:insideH w:val="single" w:color="C7D0E2" w:sz="2"/>
          <w:insideV w:val="single" w:color="C7D0E2" w:sz="2"/>
        </w:tblBorders>
      </w:tblPr>
      <w:tblGrid>
        <w:gridCol w:w="3200"/>
        <w:gridCol w:w="6160"/>
      </w:tblGrid>
      <w:tr>
        <w:trPr>
          <w:tblHeader/>
        </w:trPr>
        <w:tc>
          <w:tcPr>
            <w:tcW w:type="dxa" w:w="3200"/>
            <w:shd w:fill="1F3B73"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b/>
                <w:bCs/>
                <w:color w:val="FFFFFF"/>
                <w:sz w:val="21"/>
                <w:szCs w:val="21"/>
              </w:rPr>
              <w:t xml:space="preserve">Aspect</w:t>
            </w:r>
          </w:p>
        </w:tc>
        <w:tc>
          <w:tcPr>
            <w:tcW w:type="dxa" w:w="6160"/>
            <w:shd w:fill="1F3B73"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b/>
                <w:bCs/>
                <w:color w:val="FFFFFF"/>
                <w:sz w:val="21"/>
                <w:szCs w:val="21"/>
              </w:rPr>
              <w:t xml:space="preserve">Result</w:t>
            </w:r>
          </w:p>
        </w:tc>
      </w:tr>
      <w:tr>
        <w:tc>
          <w:tcPr>
            <w:tcW w:type="dxa" w:w="320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Test corpus</w:t>
            </w:r>
          </w:p>
        </w:tc>
        <w:tc>
          <w:tcPr>
            <w:tcW w:type="dxa" w:w="616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19 representative documents (native, scanned, landscape tables)</w:t>
            </w:r>
          </w:p>
        </w:tc>
      </w:tr>
      <w:tr>
        <w:tc>
          <w:tcPr>
            <w:tcW w:type="dxa" w:w="320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Reference standard</w:t>
            </w:r>
          </w:p>
        </w:tc>
        <w:tc>
          <w:tcPr>
            <w:tcW w:type="dxa" w:w="616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AWS Textract OCR output</w:t>
            </w:r>
          </w:p>
        </w:tc>
      </w:tr>
      <w:tr>
        <w:tc>
          <w:tcPr>
            <w:tcW w:type="dxa" w:w="320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Metrics</w:t>
            </w:r>
          </w:p>
        </w:tc>
        <w:tc>
          <w:tcPr>
            <w:tcW w:type="dxa" w:w="616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Precision, Recall, Jaccard index</w:t>
            </w:r>
          </w:p>
        </w:tc>
      </w:tr>
      <w:tr>
        <w:tc>
          <w:tcPr>
            <w:tcW w:type="dxa" w:w="320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Average recall</w:t>
            </w:r>
          </w:p>
        </w:tc>
        <w:tc>
          <w:tcPr>
            <w:tcW w:type="dxa" w:w="616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 85% — most relevant information captured consistently</w:t>
            </w:r>
          </w:p>
        </w:tc>
      </w:tr>
      <w:tr>
        <w:tc>
          <w:tcPr>
            <w:tcW w:type="dxa" w:w="320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Precision</w:t>
            </w:r>
          </w:p>
        </w:tc>
        <w:tc>
          <w:tcPr>
            <w:tcW w:type="dxa" w:w="616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Numerically lower; an artefact of the reference (see discussion)</w:t>
            </w:r>
          </w:p>
        </w:tc>
      </w:tr>
      <w:tr>
        <w:tc>
          <w:tcPr>
            <w:tcW w:type="dxa" w:w="320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Throughput (stress test)</w:t>
            </w:r>
          </w:p>
        </w:tc>
        <w:tc>
          <w:tcPr>
            <w:tcW w:type="dxa" w:w="616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 500 PDFs in 30–45 minutes at ≈ 25 concurrent workers</w:t>
            </w:r>
          </w:p>
        </w:tc>
      </w:tr>
      <w:tr>
        <w:tc>
          <w:tcPr>
            <w:tcW w:type="dxa" w:w="320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Deployment</w:t>
            </w:r>
          </w:p>
        </w:tc>
        <w:tc>
          <w:tcPr>
            <w:tcW w:type="dxa" w:w="616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Development and QA environments; knowledge transfer completed</w:t>
            </w:r>
          </w:p>
        </w:tc>
      </w:tr>
    </w:tbl>
    <w:p>
      <w:pPr>
        <w:spacing w:after="200" w:before="80"/>
        <w:jc w:val="center"/>
      </w:pPr>
      <w:r>
        <w:rPr>
          <w:rFonts w:ascii="Times New Roman" w:cs="Times New Roman" w:eastAsia="Times New Roman" w:hAnsi="Times New Roman"/>
          <w:i/>
          <w:iCs/>
          <w:color w:val="40465A"/>
          <w:sz w:val="20"/>
          <w:szCs w:val="20"/>
        </w:rPr>
        <w:t xml:space="preserve">Table 4.1  Validation framework — metrics and principal findings.</w:t>
      </w:r>
    </w:p>
    <w:p>
      <w:pPr>
        <w:spacing w:after="160" w:before="0" w:line="360" w:lineRule="auto"/>
        <w:jc w:val="both"/>
      </w:pPr>
      <w:r>
        <w:rPr>
          <w:rFonts w:ascii="Times New Roman" w:cs="Times New Roman" w:eastAsia="Times New Roman" w:hAnsi="Times New Roman"/>
          <w:sz w:val="24"/>
          <w:szCs w:val="24"/>
        </w:rPr>
        <w:t xml:space="preserve">Under a dedicated stress test, the pipeline processed on the order of five hundred PDFs in thirty to forty-five minutes at a concurrency of about twenty-five workers, confirming that it holds up under realistic enterprise load. Operationally, the pipeline was promoted from the development environment — where it runs automatically whenever a PDF is dropped into its S3 bucket — to the quality-assurance environment, and knowledge transfer was completed so that a second team member can drive it forward.</w:t>
      </w:r>
    </w:p>
    <w:p>
      <w:pPr>
        <w:pStyle w:val="Heading2"/>
        <w:spacing w:after="120" w:before="220"/>
      </w:pPr>
      <w:r>
        <w:rPr>
          <w:rFonts w:ascii="Times New Roman" w:cs="Times New Roman" w:eastAsia="Times New Roman" w:hAnsi="Times New Roman"/>
          <w:b/>
          <w:bCs/>
          <w:color w:val="1F3B73"/>
          <w:sz w:val="26"/>
          <w:szCs w:val="26"/>
        </w:rPr>
        <w:t xml:space="preserve">4.2  Discussion</w:t>
      </w:r>
    </w:p>
    <w:p>
      <w:pPr>
        <w:spacing w:after="160" w:before="0" w:line="360" w:lineRule="auto"/>
        <w:jc w:val="both"/>
      </w:pPr>
      <w:r>
        <w:rPr>
          <w:rFonts w:ascii="Times New Roman" w:cs="Times New Roman" w:eastAsia="Times New Roman" w:hAnsi="Times New Roman"/>
          <w:sz w:val="24"/>
          <w:szCs w:val="24"/>
        </w:rPr>
        <w:t xml:space="preserve">The most important point of interpretation concerns precision. The precision figure appears numerically low, but this is an artefact of the evaluation methodology rather than a defect in the pipeline. The Textract reference is unstructured, whereas the pipeline deliberately adds structure — headers, labels, and field names — that has no counterpart in the reference. These added structural elements are counted as false positives and therefore depress precision, even though they are correct and useful. In other words, the limitation lies in the ground truth, not in the pipeline’s output, and recall is the more meaningful indicator of extraction completeness for this task.</w:t>
      </w:r>
    </w:p>
    <w:p>
      <w:pPr>
        <w:spacing w:after="160" w:before="0" w:line="360" w:lineRule="auto"/>
        <w:jc w:val="both"/>
      </w:pPr>
      <w:r>
        <w:rPr>
          <w:rFonts w:ascii="Times New Roman" w:cs="Times New Roman" w:eastAsia="Times New Roman" w:hAnsi="Times New Roman"/>
          <w:sz w:val="24"/>
          <w:szCs w:val="24"/>
        </w:rPr>
        <w:t xml:space="preserve">The structured outputs were shared with the research laboratories team for domain-expert review on a representative set of stability and certificate-of-analysis documents sourced from multiple contract testing laboratories. The team’s written feedback reported accuracy of approximately ninety-five percent on their documents and recognised the built-in per-page quality scoring — with its metrics and missing-value categorisation — as a key strength. Well-structured, natively generated reports scored consistently well, with the parser correctly separating multiple test conditions and faithfully extracting GMP-related metadata such as investigation records, amendment histories, analytical references, and change controls.</w:t>
      </w:r>
    </w:p>
    <w:p>
      <w:pPr>
        <w:spacing w:after="160" w:before="0" w:line="360" w:lineRule="auto"/>
        <w:jc w:val="both"/>
      </w:pPr>
      <w:r>
        <w:rPr>
          <w:rFonts w:ascii="Times New Roman" w:cs="Times New Roman" w:eastAsia="Times New Roman" w:hAnsi="Times New Roman"/>
          <w:sz w:val="24"/>
          <w:szCs w:val="24"/>
        </w:rPr>
        <w:t xml:space="preserve">A key architectural insight emerged from this evaluation: parser quality is driven primarily by the source document format rather than by content complexity. Native, well-structured documents are handled reliably, while scanned landscape-format tables are consistently the most challenging. Because this pattern is predictable, it can be managed in future through format-aware routing. The evaluation also identified concrete improvement areas — OCR accuracy on scanned documents, schema consistency across pages and files, multi-page table merging, character-level accuracy in identifiers, and structured numeric-result parsing — several of which were subsequently addressed through the data-quality flagging and refinement stages described in Chapter 3.</w:t>
      </w:r>
    </w:p>
    <w:p>
      <w:pPr>
        <w:pStyle w:val="Heading2"/>
        <w:spacing w:after="120" w:before="220"/>
      </w:pPr>
      <w:r>
        <w:rPr>
          <w:rFonts w:ascii="Times New Roman" w:cs="Times New Roman" w:eastAsia="Times New Roman" w:hAnsi="Times New Roman"/>
          <w:b/>
          <w:bCs/>
          <w:color w:val="1F3B73"/>
          <w:sz w:val="26"/>
          <w:szCs w:val="26"/>
        </w:rPr>
        <w:t xml:space="preserve">4.3  Conclusions</w:t>
      </w:r>
    </w:p>
    <w:p>
      <w:pPr>
        <w:spacing w:after="160" w:before="0" w:line="360" w:lineRule="auto"/>
        <w:jc w:val="both"/>
      </w:pPr>
      <w:r>
        <w:rPr>
          <w:rFonts w:ascii="Times New Roman" w:cs="Times New Roman" w:eastAsia="Times New Roman" w:hAnsi="Times New Roman"/>
          <w:sz w:val="24"/>
          <w:szCs w:val="24"/>
        </w:rPr>
        <w:t xml:space="preserve">The results confirm that the approach works: the pipeline captures the great majority of document content, scores its own output transparently, and is judged accurate and useful by domain experts. The apparent precision gap is explained by the structure the pipeline adds, and the dependence of quality on document format is understood and manageable. Taken together, the evidence supports the pipeline as a reliable, enterprise-ready tool for converting pharmaceutical PDFs into structured data.</w:t>
      </w:r>
    </w:p>
    <w:p>
      <w:pPr>
        <w:pageBreakBefore/>
        <w:spacing w:after="40" w:before="240"/>
        <w:jc w:val="center"/>
      </w:pPr>
      <w:r>
        <w:rPr>
          <w:rFonts w:ascii="Times New Roman" w:cs="Times New Roman" w:eastAsia="Times New Roman" w:hAnsi="Times New Roman"/>
          <w:b/>
          <w:bCs/>
          <w:color w:val="1F3B73"/>
          <w:sz w:val="26"/>
          <w:szCs w:val="26"/>
        </w:rPr>
        <w:t xml:space="preserve">CHAPTER 5</w:t>
      </w:r>
    </w:p>
    <w:p>
      <w:pPr>
        <w:pStyle w:val="Heading1"/>
        <w:spacing w:after="260"/>
        <w:jc w:val="center"/>
      </w:pPr>
      <w:r>
        <w:rPr>
          <w:rFonts w:ascii="Times New Roman" w:cs="Times New Roman" w:eastAsia="Times New Roman" w:hAnsi="Times New Roman"/>
          <w:b/>
          <w:bCs/>
          <w:color w:val="1F3B73"/>
          <w:sz w:val="30"/>
          <w:szCs w:val="30"/>
        </w:rPr>
        <w:t xml:space="preserve">ADDITIONAL CONTRIBUTIONS</w:t>
      </w:r>
    </w:p>
    <w:p>
      <w:pPr>
        <w:spacing w:after="160" w:before="0" w:line="360" w:lineRule="auto"/>
        <w:jc w:val="both"/>
      </w:pPr>
      <w:r>
        <w:rPr>
          <w:rFonts w:ascii="Times New Roman" w:cs="Times New Roman" w:eastAsia="Times New Roman" w:hAnsi="Times New Roman"/>
          <w:sz w:val="24"/>
          <w:szCs w:val="24"/>
        </w:rPr>
        <w:t xml:space="preserve">Alongside the primary PDF parsing project, three further pieces of work were delivered during the internship. Each addresses a distinct enterprise-data problem, and together they share a common theme with the main project: automating manual data-engineering effort and making the data platform more observable. This chapter summarises each contribution and its outcome.</w:t>
      </w:r>
    </w:p>
    <w:p>
      <w:pPr>
        <w:pStyle w:val="Heading2"/>
        <w:spacing w:after="120" w:before="220"/>
      </w:pPr>
      <w:r>
        <w:rPr>
          <w:rFonts w:ascii="Times New Roman" w:cs="Times New Roman" w:eastAsia="Times New Roman" w:hAnsi="Times New Roman"/>
          <w:b/>
          <w:bCs/>
          <w:color w:val="1F3B73"/>
          <w:sz w:val="26"/>
          <w:szCs w:val="26"/>
        </w:rPr>
        <w:t xml:space="preserve">5.1  GA4 Enhancement Pipeline — Latency Reduction</w:t>
      </w:r>
    </w:p>
    <w:p>
      <w:pPr>
        <w:spacing w:after="160" w:before="0" w:line="360" w:lineRule="auto"/>
        <w:jc w:val="both"/>
      </w:pPr>
      <w:r>
        <w:rPr>
          <w:rFonts w:ascii="Times New Roman" w:cs="Times New Roman" w:eastAsia="Times New Roman" w:hAnsi="Times New Roman"/>
          <w:sz w:val="24"/>
          <w:szCs w:val="24"/>
        </w:rPr>
        <w:t xml:space="preserve">Clickstream data from approximately 240 Lilly websites flows through Google Analytics 4 into BigQuery and onward into the Enterprise Data Backbone on Amazon S3. By the time this data reached the backbone it was roughly three days old, which meant that decisions about campaigns and customer experience were being made on stale information. The objective of this contribution was to characterise and then reduce that latency.</w:t>
      </w:r>
    </w:p>
    <w:p>
      <w:pPr>
        <w:spacing w:after="160" w:before="0" w:line="360" w:lineRule="auto"/>
        <w:jc w:val="both"/>
      </w:pPr>
      <w:r>
        <w:rPr>
          <w:rFonts w:ascii="Times New Roman" w:cs="Times New Roman" w:eastAsia="Times New Roman" w:hAnsi="Times New Roman"/>
          <w:sz w:val="24"/>
          <w:szCs w:val="24"/>
        </w:rPr>
        <w:t xml:space="preserve">A reconciliation pipeline was built to measure, day by day and property by property, the gap between when data appears in BigQuery and when it arrives in S3. Over a 161-day observation window it found a median lag of four days — confirming the reported seventy-two-hour figure — with seventy-two percent of properties three or more days behind, while data ultimately reconciled at over ninety-six percent once delivered. The measured baseline is summarised in Table 5.1 and the end-to-end flow in Figure 5.1.</w:t>
      </w:r>
    </w:p>
    <w:p>
      <w:pPr>
        <w:spacing w:after="60" w:before="160"/>
        <w:jc w:val="center"/>
      </w:pPr>
      <w:r>
        <w:drawing>
          <wp:inline distT="0" distB="0" distL="0" distR="0">
            <wp:extent cx="4095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3076575"/>
                    </a:xfrm>
                    <a:prstGeom prst="rect">
                      <a:avLst/>
                    </a:prstGeom>
                  </pic:spPr>
                </pic:pic>
              </a:graphicData>
            </a:graphic>
          </wp:inline>
        </w:drawing>
      </w:r>
    </w:p>
    <w:p>
      <w:pPr>
        <w:spacing w:after="200" w:before="80"/>
        <w:jc w:val="center"/>
      </w:pPr>
      <w:r>
        <w:rPr>
          <w:rFonts w:ascii="Times New Roman" w:cs="Times New Roman" w:eastAsia="Times New Roman" w:hAnsi="Times New Roman"/>
          <w:i/>
          <w:iCs/>
          <w:color w:val="40465A"/>
          <w:sz w:val="20"/>
          <w:szCs w:val="20"/>
        </w:rPr>
        <w:t xml:space="preserve">Figure 5.1  GA4 Enhancement Pipeline — the data flow from BigQuery to the Enterprise Data Backbone, and the target reduction in end-to-end latency.</w:t>
      </w:r>
    </w:p>
    <w:tbl>
      <w:tblPr>
        <w:tblW w:type="dxa" w:w="9360"/>
        <w:tblBorders>
          <w:top w:val="single" w:color="9AA8C4" w:sz="4"/>
          <w:left w:val="single" w:color="9AA8C4" w:sz="4"/>
          <w:bottom w:val="single" w:color="9AA8C4" w:sz="4"/>
          <w:right w:val="single" w:color="9AA8C4" w:sz="4"/>
          <w:insideH w:val="single" w:color="C7D0E2" w:sz="2"/>
          <w:insideV w:val="single" w:color="C7D0E2" w:sz="2"/>
        </w:tblBorders>
      </w:tblPr>
      <w:tblGrid>
        <w:gridCol w:w="3400"/>
        <w:gridCol w:w="5960"/>
      </w:tblGrid>
      <w:tr>
        <w:trPr>
          <w:tblHeader/>
        </w:trPr>
        <w:tc>
          <w:tcPr>
            <w:tcW w:type="dxa" w:w="3400"/>
            <w:shd w:fill="1F3B73"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b/>
                <w:bCs/>
                <w:color w:val="FFFFFF"/>
                <w:sz w:val="21"/>
                <w:szCs w:val="21"/>
              </w:rPr>
              <w:t xml:space="preserve">Metric</w:t>
            </w:r>
          </w:p>
        </w:tc>
        <w:tc>
          <w:tcPr>
            <w:tcW w:type="dxa" w:w="5960"/>
            <w:shd w:fill="1F3B73"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b/>
                <w:bCs/>
                <w:color w:val="FFFFFF"/>
                <w:sz w:val="21"/>
                <w:szCs w:val="21"/>
              </w:rPr>
              <w:t xml:space="preserve">Measured value</w:t>
            </w:r>
          </w:p>
        </w:tc>
      </w:tr>
      <w:tr>
        <w:tc>
          <w:tcPr>
            <w:tcW w:type="dxa" w:w="340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Median lag (BigQuery → S3)</w:t>
            </w:r>
          </w:p>
        </w:tc>
        <w:tc>
          <w:tcPr>
            <w:tcW w:type="dxa" w:w="596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4.0 days (mean 3.7; worst property 57 days)</w:t>
            </w:r>
          </w:p>
        </w:tc>
      </w:tr>
      <w:tr>
        <w:tc>
          <w:tcPr>
            <w:tcW w:type="dxa" w:w="340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Properties ≥ 3 days behind</w:t>
            </w:r>
          </w:p>
        </w:tc>
        <w:tc>
          <w:tcPr>
            <w:tcW w:type="dxa" w:w="596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126 of 174 (72%)</w:t>
            </w:r>
          </w:p>
        </w:tc>
      </w:tr>
      <w:tr>
        <w:tc>
          <w:tcPr>
            <w:tcW w:type="dxa" w:w="340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Total event rows processed</w:t>
            </w:r>
          </w:p>
        </w:tc>
        <w:tc>
          <w:tcPr>
            <w:tcW w:type="dxa" w:w="596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372.7 million</w:t>
            </w:r>
          </w:p>
        </w:tc>
      </w:tr>
      <w:tr>
        <w:tc>
          <w:tcPr>
            <w:tcW w:type="dxa" w:w="340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Data volume</w:t>
            </w:r>
          </w:p>
        </w:tc>
        <w:tc>
          <w:tcPr>
            <w:tcW w:type="dxa" w:w="596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 505 GB (BigQuery) vs ≈ 1,771 GB (S3, after JSON expansion)</w:t>
            </w:r>
          </w:p>
        </w:tc>
      </w:tr>
      <w:tr>
        <w:tc>
          <w:tcPr>
            <w:tcW w:type="dxa" w:w="340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Eventual reconciliation</w:t>
            </w:r>
          </w:p>
        </w:tc>
        <w:tc>
          <w:tcPr>
            <w:tcW w:type="dxa" w:w="596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96.3% of property-days</w:t>
            </w:r>
          </w:p>
        </w:tc>
      </w:tr>
      <w:tr>
        <w:tc>
          <w:tcPr>
            <w:tcW w:type="dxa" w:w="340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Target latency</w:t>
            </w:r>
          </w:p>
        </w:tc>
        <w:tc>
          <w:tcPr>
            <w:tcW w:type="dxa" w:w="596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under 4 hours (an 18× improvement)</w:t>
            </w:r>
          </w:p>
        </w:tc>
      </w:tr>
    </w:tbl>
    <w:p>
      <w:pPr>
        <w:spacing w:after="200" w:before="80"/>
        <w:jc w:val="center"/>
      </w:pPr>
      <w:r>
        <w:rPr>
          <w:rFonts w:ascii="Times New Roman" w:cs="Times New Roman" w:eastAsia="Times New Roman" w:hAnsi="Times New Roman"/>
          <w:i/>
          <w:iCs/>
          <w:color w:val="40465A"/>
          <w:sz w:val="20"/>
          <w:szCs w:val="20"/>
        </w:rPr>
        <w:t xml:space="preserve">Table 5.1  GA4 pipeline — measured baseline metrics over a 161-day window.</w:t>
      </w:r>
    </w:p>
    <w:p>
      <w:pPr>
        <w:spacing w:after="160" w:before="0" w:line="360" w:lineRule="auto"/>
        <w:jc w:val="both"/>
      </w:pPr>
      <w:r>
        <w:rPr>
          <w:rFonts w:ascii="Times New Roman" w:cs="Times New Roman" w:eastAsia="Times New Roman" w:hAnsi="Times New Roman"/>
          <w:sz w:val="24"/>
          <w:szCs w:val="24"/>
        </w:rPr>
        <w:t xml:space="preserve">The root causes of the delay were traced to a design that waits for BigQuery tables to fully stabilise before exporting, batch state management that only exports settled tables, sequential daily runs in a narrow window, and the absence of any incremental or streaming approach. The proposed enhancement exports available data incrementally from intraday tables, raises the export frequency to every few hours, and reconciles late-arriving data afterwards. At the close of the internship the baseline metrics and discrepancy report were complete and running on a daily cadence, and the enhancement itself was designed and ready, pending repository security-scanning and pull-request-automation compliance before it can be promoted; production rollout is planned for a later quarter.</w:t>
      </w:r>
    </w:p>
    <w:p>
      <w:pPr>
        <w:pStyle w:val="Heading2"/>
        <w:spacing w:after="120" w:before="220"/>
      </w:pPr>
      <w:r>
        <w:rPr>
          <w:rFonts w:ascii="Times New Roman" w:cs="Times New Roman" w:eastAsia="Times New Roman" w:hAnsi="Times New Roman"/>
          <w:b/>
          <w:bCs/>
          <w:color w:val="1F3B73"/>
          <w:sz w:val="26"/>
          <w:szCs w:val="26"/>
        </w:rPr>
        <w:t xml:space="preserve">5.2  Agentic DLT Config Generator — Autonomous API Ingestion</w:t>
      </w:r>
    </w:p>
    <w:p>
      <w:pPr>
        <w:spacing w:after="160" w:before="0" w:line="360" w:lineRule="auto"/>
        <w:jc w:val="both"/>
      </w:pPr>
      <w:r>
        <w:rPr>
          <w:rFonts w:ascii="Times New Roman" w:cs="Times New Roman" w:eastAsia="Times New Roman" w:hAnsi="Times New Roman"/>
          <w:sz w:val="24"/>
          <w:szCs w:val="24"/>
        </w:rPr>
        <w:t xml:space="preserve">Ingesting data from a REST API into the data platform is done with dlt (Data Load Tool), but writing a dlt configuration by hand is laborious: it requires researching the API’s documentation to find endpoints, understanding each endpoint’s pagination, identifying primary keys, configuring authentication, and debugging runtime errors. This routinely takes hours per API and demands deep knowledge of both the API and the dlt configuration format.</w:t>
      </w:r>
    </w:p>
    <w:p>
      <w:pPr>
        <w:spacing w:after="160" w:before="0" w:line="360" w:lineRule="auto"/>
        <w:jc w:val="both"/>
      </w:pPr>
      <w:r>
        <w:rPr>
          <w:rFonts w:ascii="Times New Roman" w:cs="Times New Roman" w:eastAsia="Times New Roman" w:hAnsi="Times New Roman"/>
          <w:sz w:val="24"/>
          <w:szCs w:val="24"/>
        </w:rPr>
        <w:t xml:space="preserve">To remove this effort, an autonomous agent was built using Claude on AWS Bedrock with the Strands Agents framework. Given only an API URL and credentials, the agent runs a four-phase workflow: it discovers every endpoint the API exposes using four independent mechanisms; it validates each endpoint with live HTTP requests, inferring schema, pagination type, and primary keys from the real responses; it reports the results for the user to select from; and it generates a complete, runnable dlt pipeline, executing it and self-healing — reading the error, fixing the generated code, and retrying up to three times — until it works. The workflow is shown in Figure 5.2.</w:t>
      </w:r>
    </w:p>
    <w:p>
      <w:pPr>
        <w:spacing w:after="60" w:before="160"/>
        <w:jc w:val="center"/>
      </w:pPr>
      <w:r>
        <w:drawing>
          <wp:inline distT="0" distB="0" distL="0" distR="0">
            <wp:extent cx="4095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3076575"/>
                    </a:xfrm>
                    <a:prstGeom prst="rect">
                      <a:avLst/>
                    </a:prstGeom>
                  </pic:spPr>
                </pic:pic>
              </a:graphicData>
            </a:graphic>
          </wp:inline>
        </w:drawing>
      </w:r>
    </w:p>
    <w:p>
      <w:pPr>
        <w:spacing w:after="200" w:before="80"/>
        <w:jc w:val="center"/>
      </w:pPr>
      <w:r>
        <w:rPr>
          <w:rFonts w:ascii="Times New Roman" w:cs="Times New Roman" w:eastAsia="Times New Roman" w:hAnsi="Times New Roman"/>
          <w:i/>
          <w:iCs/>
          <w:color w:val="40465A"/>
          <w:sz w:val="20"/>
          <w:szCs w:val="20"/>
        </w:rPr>
        <w:t xml:space="preserve">Figure 5.2  Agentic DLT Config Generator — the four-phase autonomous workflow, with anti-hallucination guardrails.</w:t>
      </w:r>
    </w:p>
    <w:p>
      <w:pPr>
        <w:spacing w:after="160" w:before="0" w:line="360" w:lineRule="auto"/>
        <w:jc w:val="both"/>
      </w:pPr>
      <w:r>
        <w:rPr>
          <w:rFonts w:ascii="Times New Roman" w:cs="Times New Roman" w:eastAsia="Times New Roman" w:hAnsi="Times New Roman"/>
          <w:sz w:val="24"/>
          <w:szCs w:val="24"/>
        </w:rPr>
        <w:t xml:space="preserve">A distinctive feature of the agent is its set of anti-hallucination guardrails. It may only validate endpoints that were actually returned by one of its discovery mechanisms, discovery and validation are exhaustive rather than sampled, primary keys are taken only from real response data, and credentials are injected at the HTTP layer so they are never exposed in model prompts. The generated pipelines are destination-agnostic, working with any dlt destination such as Postgres, BigQuery, Snowflake, or S3. During the internship the generator was built end-to-end — local execution, pagination and authentication support, and integration with the internal GenAI gateway — turning what had been hours of manual work per API into minutes.</w:t>
      </w:r>
    </w:p>
    <w:p>
      <w:pPr>
        <w:pStyle w:val="Heading2"/>
        <w:spacing w:after="120" w:before="220"/>
      </w:pPr>
      <w:r>
        <w:rPr>
          <w:rFonts w:ascii="Times New Roman" w:cs="Times New Roman" w:eastAsia="Times New Roman" w:hAnsi="Times New Roman"/>
          <w:b/>
          <w:bCs/>
          <w:color w:val="1F3B73"/>
          <w:sz w:val="26"/>
          <w:szCs w:val="26"/>
        </w:rPr>
        <w:t xml:space="preserve">5.3  EDB Reusable-Components Dashboard — Lineage and Usage</w:t>
      </w:r>
    </w:p>
    <w:p>
      <w:pPr>
        <w:spacing w:after="160" w:before="0" w:line="360" w:lineRule="auto"/>
        <w:jc w:val="both"/>
      </w:pPr>
      <w:r>
        <w:rPr>
          <w:rFonts w:ascii="Times New Roman" w:cs="Times New Roman" w:eastAsia="Times New Roman" w:hAnsi="Times New Roman"/>
          <w:sz w:val="24"/>
          <w:szCs w:val="24"/>
        </w:rPr>
        <w:t xml:space="preserve">The Enterprise Data platform is built from a set of reusable components, but there was limited visibility into how each one is actually used — which projects depend on it and who consumes its output. The objective of this contribution was to make that usage and lineage visible. A discovery engine was built that parses the production configuration of each reusable component from its repository, normalises the several different configuration formats into a single relational model in SQLite, links components to their use-cases, projects, consumers, and inter-component dependencies, and identifies gaps where information is missing. It produces an interactive lineage graph, an executive overview dashboard, and a gap report. The architecture is shown in Figure 5.3.</w:t>
      </w:r>
    </w:p>
    <w:p>
      <w:pPr>
        <w:spacing w:after="60" w:before="160"/>
        <w:jc w:val="center"/>
      </w:pPr>
      <w:r>
        <w:drawing>
          <wp:inline distT="0" distB="0" distL="0" distR="0">
            <wp:extent cx="4095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3076575"/>
                    </a:xfrm>
                    <a:prstGeom prst="rect">
                      <a:avLst/>
                    </a:prstGeom>
                  </pic:spPr>
                </pic:pic>
              </a:graphicData>
            </a:graphic>
          </wp:inline>
        </w:drawing>
      </w:r>
    </w:p>
    <w:p>
      <w:pPr>
        <w:spacing w:after="200" w:before="80"/>
        <w:jc w:val="center"/>
      </w:pPr>
      <w:r>
        <w:rPr>
          <w:rFonts w:ascii="Times New Roman" w:cs="Times New Roman" w:eastAsia="Times New Roman" w:hAnsi="Times New Roman"/>
          <w:i/>
          <w:iCs/>
          <w:color w:val="40465A"/>
          <w:sz w:val="20"/>
          <w:szCs w:val="20"/>
        </w:rPr>
        <w:t xml:space="preserve">Figure 5.3  EDB Lineage Discovery Engine — configuration discovery, normalisation into a relational model, and interactive dashboard outputs.</w:t>
      </w:r>
    </w:p>
    <w:p>
      <w:pPr>
        <w:spacing w:after="160" w:before="0" w:line="360" w:lineRule="auto"/>
        <w:jc w:val="both"/>
      </w:pPr>
      <w:r>
        <w:rPr>
          <w:rFonts w:ascii="Times New Roman" w:cs="Times New Roman" w:eastAsia="Times New Roman" w:hAnsi="Times New Roman"/>
          <w:sz w:val="24"/>
          <w:szCs w:val="24"/>
        </w:rPr>
        <w:t xml:space="preserve">Because configuration files tell only part of the story, the engine also enriches its model from supplementary sources of consumer information. Table 5.2 shows the discovery coverage across the components. The exercise surfaced a clear finding: consumer information is the single biggest lineage gap, present for only one of the six components, which pinpoints exactly where enrichment effort should be focused. Change-request attribution was implemented across all components, a lineage tracker and a development-timeline view were added from platform metadata, and the dashboard was demonstrated to the leadership and iterated on their feedback.</w:t>
      </w:r>
    </w:p>
    <w:tbl>
      <w:tblPr>
        <w:tblW w:type="dxa" w:w="9360"/>
        <w:tblBorders>
          <w:top w:val="single" w:color="9AA8C4" w:sz="4"/>
          <w:left w:val="single" w:color="9AA8C4" w:sz="4"/>
          <w:bottom w:val="single" w:color="9AA8C4" w:sz="4"/>
          <w:right w:val="single" w:color="9AA8C4" w:sz="4"/>
          <w:insideH w:val="single" w:color="C7D0E2" w:sz="2"/>
          <w:insideV w:val="single" w:color="C7D0E2" w:sz="2"/>
        </w:tblBorders>
      </w:tblPr>
      <w:tblGrid>
        <w:gridCol w:w="4360"/>
        <w:gridCol w:w="2500"/>
        <w:gridCol w:w="2500"/>
      </w:tblGrid>
      <w:tr>
        <w:trPr>
          <w:tblHeader/>
        </w:trPr>
        <w:tc>
          <w:tcPr>
            <w:tcW w:type="dxa" w:w="4360"/>
            <w:shd w:fill="1F3B73"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b/>
                <w:bCs/>
                <w:color w:val="FFFFFF"/>
                <w:sz w:val="21"/>
                <w:szCs w:val="21"/>
              </w:rPr>
              <w:t xml:space="preserve">Reusable component</w:t>
            </w:r>
          </w:p>
        </w:tc>
        <w:tc>
          <w:tcPr>
            <w:tcW w:type="dxa" w:w="2500"/>
            <w:shd w:fill="1F3B73"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b/>
                <w:bCs/>
                <w:color w:val="FFFFFF"/>
                <w:sz w:val="21"/>
                <w:szCs w:val="21"/>
              </w:rPr>
              <w:t xml:space="preserve">Use-cases</w:t>
            </w:r>
          </w:p>
        </w:tc>
        <w:tc>
          <w:tcPr>
            <w:tcW w:type="dxa" w:w="2500"/>
            <w:shd w:fill="1F3B73"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b/>
                <w:bCs/>
                <w:color w:val="FFFFFF"/>
                <w:sz w:val="21"/>
                <w:szCs w:val="21"/>
              </w:rPr>
              <w:t xml:space="preserve">Consumer info</w:t>
            </w:r>
          </w:p>
        </w:tc>
      </w:tr>
      <w:tr>
        <w:tc>
          <w:tcPr>
            <w:tcW w:type="dxa" w:w="436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Veeva Raw → Refine</w:t>
            </w:r>
          </w:p>
        </w:tc>
        <w:tc>
          <w:tcPr>
            <w:tcW w:type="dxa" w:w="2500"/>
            <w:shd w:fill="FFFFFF"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color w:val="000000"/>
                <w:sz w:val="21"/>
                <w:szCs w:val="21"/>
              </w:rPr>
              <w:t xml:space="preserve">56</w:t>
            </w:r>
          </w:p>
        </w:tc>
        <w:tc>
          <w:tcPr>
            <w:tcW w:type="dxa" w:w="2500"/>
            <w:shd w:fill="FFFFFF"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color w:val="000000"/>
                <w:sz w:val="21"/>
                <w:szCs w:val="21"/>
              </w:rPr>
              <w:t xml:space="preserve">Missing</w:t>
            </w:r>
          </w:p>
        </w:tc>
      </w:tr>
      <w:tr>
        <w:tc>
          <w:tcPr>
            <w:tcW w:type="dxa" w:w="436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File Consumption (DAG)</w:t>
            </w:r>
          </w:p>
        </w:tc>
        <w:tc>
          <w:tcPr>
            <w:tcW w:type="dxa" w:w="2500"/>
            <w:shd w:fill="EEF2FA"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color w:val="000000"/>
                <w:sz w:val="21"/>
                <w:szCs w:val="21"/>
              </w:rPr>
              <w:t xml:space="preserve">35</w:t>
            </w:r>
          </w:p>
        </w:tc>
        <w:tc>
          <w:tcPr>
            <w:tcW w:type="dxa" w:w="2500"/>
            <w:shd w:fill="EEF2FA"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color w:val="000000"/>
                <w:sz w:val="21"/>
                <w:szCs w:val="21"/>
              </w:rPr>
              <w:t xml:space="preserve">Missing</w:t>
            </w:r>
          </w:p>
        </w:tc>
      </w:tr>
      <w:tr>
        <w:tc>
          <w:tcPr>
            <w:tcW w:type="dxa" w:w="436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Veeva Source → Raw</w:t>
            </w:r>
          </w:p>
        </w:tc>
        <w:tc>
          <w:tcPr>
            <w:tcW w:type="dxa" w:w="2500"/>
            <w:shd w:fill="FFFFFF"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color w:val="000000"/>
                <w:sz w:val="21"/>
                <w:szCs w:val="21"/>
              </w:rPr>
              <w:t xml:space="preserve">34</w:t>
            </w:r>
          </w:p>
        </w:tc>
        <w:tc>
          <w:tcPr>
            <w:tcW w:type="dxa" w:w="2500"/>
            <w:shd w:fill="FFFFFF"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color w:val="000000"/>
                <w:sz w:val="21"/>
                <w:szCs w:val="21"/>
              </w:rPr>
              <w:t xml:space="preserve">Missing</w:t>
            </w:r>
          </w:p>
        </w:tc>
      </w:tr>
      <w:tr>
        <w:tc>
          <w:tcPr>
            <w:tcW w:type="dxa" w:w="436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API Ingestion</w:t>
            </w:r>
          </w:p>
        </w:tc>
        <w:tc>
          <w:tcPr>
            <w:tcW w:type="dxa" w:w="2500"/>
            <w:shd w:fill="EEF2FA"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color w:val="000000"/>
                <w:sz w:val="21"/>
                <w:szCs w:val="21"/>
              </w:rPr>
              <w:t xml:space="preserve">22</w:t>
            </w:r>
          </w:p>
        </w:tc>
        <w:tc>
          <w:tcPr>
            <w:tcW w:type="dxa" w:w="2500"/>
            <w:shd w:fill="EEF2FA"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color w:val="000000"/>
                <w:sz w:val="21"/>
                <w:szCs w:val="21"/>
              </w:rPr>
              <w:t xml:space="preserve">Missing</w:t>
            </w:r>
          </w:p>
        </w:tc>
      </w:tr>
      <w:tr>
        <w:tc>
          <w:tcPr>
            <w:tcW w:type="dxa" w:w="4360"/>
            <w:shd w:fill="FFFFFF"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Web Direct Download</w:t>
            </w:r>
          </w:p>
        </w:tc>
        <w:tc>
          <w:tcPr>
            <w:tcW w:type="dxa" w:w="2500"/>
            <w:shd w:fill="FFFFFF"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color w:val="000000"/>
                <w:sz w:val="21"/>
                <w:szCs w:val="21"/>
              </w:rPr>
              <w:t xml:space="preserve">10</w:t>
            </w:r>
          </w:p>
        </w:tc>
        <w:tc>
          <w:tcPr>
            <w:tcW w:type="dxa" w:w="2500"/>
            <w:shd w:fill="FFFFFF"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color w:val="000000"/>
                <w:sz w:val="21"/>
                <w:szCs w:val="21"/>
              </w:rPr>
              <w:t xml:space="preserve">Missing</w:t>
            </w:r>
          </w:p>
        </w:tc>
      </w:tr>
      <w:tr>
        <w:tc>
          <w:tcPr>
            <w:tcW w:type="dxa" w:w="4360"/>
            <w:shd w:fill="EEF2FA" w:val="clear"/>
            <w:tcMar>
              <w:top w:type="dxa" w:w="60"/>
              <w:left w:type="dxa" w:w="90"/>
              <w:bottom w:type="dxa" w:w="60"/>
              <w:right w:type="dxa" w:w="90"/>
            </w:tcMar>
            <w:vAlign w:val="center"/>
          </w:tcPr>
          <w:p>
            <w:pPr>
              <w:spacing w:line="276" w:lineRule="auto"/>
              <w:jc w:val="left"/>
            </w:pPr>
            <w:r>
              <w:rPr>
                <w:rFonts w:ascii="Times New Roman" w:cs="Times New Roman" w:eastAsia="Times New Roman" w:hAnsi="Times New Roman"/>
                <w:color w:val="000000"/>
                <w:sz w:val="21"/>
                <w:szCs w:val="21"/>
              </w:rPr>
              <w:t xml:space="preserve">FastAPI Consumption</w:t>
            </w:r>
          </w:p>
        </w:tc>
        <w:tc>
          <w:tcPr>
            <w:tcW w:type="dxa" w:w="2500"/>
            <w:shd w:fill="EEF2FA"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color w:val="000000"/>
                <w:sz w:val="21"/>
                <w:szCs w:val="21"/>
              </w:rPr>
              <w:t xml:space="preserve">6</w:t>
            </w:r>
          </w:p>
        </w:tc>
        <w:tc>
          <w:tcPr>
            <w:tcW w:type="dxa" w:w="2500"/>
            <w:shd w:fill="EEF2FA" w:val="clear"/>
            <w:tcMar>
              <w:top w:type="dxa" w:w="60"/>
              <w:left w:type="dxa" w:w="90"/>
              <w:bottom w:type="dxa" w:w="60"/>
              <w:right w:type="dxa" w:w="90"/>
            </w:tcMar>
            <w:vAlign w:val="center"/>
          </w:tcPr>
          <w:p>
            <w:pPr>
              <w:spacing w:line="276" w:lineRule="auto"/>
              <w:jc w:val="center"/>
            </w:pPr>
            <w:r>
              <w:rPr>
                <w:rFonts w:ascii="Times New Roman" w:cs="Times New Roman" w:eastAsia="Times New Roman" w:hAnsi="Times New Roman"/>
                <w:color w:val="000000"/>
                <w:sz w:val="21"/>
                <w:szCs w:val="21"/>
              </w:rPr>
              <w:t xml:space="preserve">Present</w:t>
            </w:r>
          </w:p>
        </w:tc>
      </w:tr>
    </w:tbl>
    <w:p>
      <w:pPr>
        <w:spacing w:after="200" w:before="80"/>
        <w:jc w:val="center"/>
      </w:pPr>
      <w:r>
        <w:rPr>
          <w:rFonts w:ascii="Times New Roman" w:cs="Times New Roman" w:eastAsia="Times New Roman" w:hAnsi="Times New Roman"/>
          <w:i/>
          <w:iCs/>
          <w:color w:val="40465A"/>
          <w:sz w:val="20"/>
          <w:szCs w:val="20"/>
        </w:rPr>
        <w:t xml:space="preserve">Table 5.2  EDB reusable-components — discovery coverage (163 use-cases across six components).</w:t>
      </w:r>
    </w:p>
    <w:p>
      <w:pPr>
        <w:pStyle w:val="Heading2"/>
        <w:spacing w:after="120" w:before="220"/>
      </w:pPr>
      <w:r>
        <w:rPr>
          <w:rFonts w:ascii="Times New Roman" w:cs="Times New Roman" w:eastAsia="Times New Roman" w:hAnsi="Times New Roman"/>
          <w:b/>
          <w:bCs/>
          <w:color w:val="1F3B73"/>
          <w:sz w:val="26"/>
          <w:szCs w:val="26"/>
        </w:rPr>
        <w:t xml:space="preserve">5.4  Conclusions</w:t>
      </w:r>
    </w:p>
    <w:p>
      <w:pPr>
        <w:spacing w:after="160" w:before="0" w:line="360" w:lineRule="auto"/>
        <w:jc w:val="both"/>
      </w:pPr>
      <w:r>
        <w:rPr>
          <w:rFonts w:ascii="Times New Roman" w:cs="Times New Roman" w:eastAsia="Times New Roman" w:hAnsi="Times New Roman"/>
          <w:sz w:val="24"/>
          <w:szCs w:val="24"/>
        </w:rPr>
        <w:t xml:space="preserve">The three additional contributions reinforce the theme of the main project. The GA4 work replaced anecdote with a data-backed baseline and a concrete latency-reduction design; the DLT agent automated an entire class of manual pipeline engineering with strong safeguards against hallucination; and the reusable-components dashboard turned an opaque platform into an observable one. In each case, manual effort was reduced and the enterprise data platform was made faster, more automated, or more transparent.</w:t>
      </w:r>
    </w:p>
    <w:p>
      <w:pPr>
        <w:pageBreakBefore/>
        <w:spacing w:after="40" w:before="240"/>
        <w:jc w:val="center"/>
      </w:pPr>
      <w:r>
        <w:rPr>
          <w:rFonts w:ascii="Times New Roman" w:cs="Times New Roman" w:eastAsia="Times New Roman" w:hAnsi="Times New Roman"/>
          <w:b/>
          <w:bCs/>
          <w:color w:val="1F3B73"/>
          <w:sz w:val="26"/>
          <w:szCs w:val="26"/>
        </w:rPr>
        <w:t xml:space="preserve">CHAPTER 6</w:t>
      </w:r>
    </w:p>
    <w:p>
      <w:pPr>
        <w:pStyle w:val="Heading1"/>
        <w:spacing w:after="260"/>
        <w:jc w:val="center"/>
      </w:pPr>
      <w:r>
        <w:rPr>
          <w:rFonts w:ascii="Times New Roman" w:cs="Times New Roman" w:eastAsia="Times New Roman" w:hAnsi="Times New Roman"/>
          <w:b/>
          <w:bCs/>
          <w:color w:val="1F3B73"/>
          <w:sz w:val="30"/>
          <w:szCs w:val="30"/>
        </w:rPr>
        <w:t xml:space="preserve">CONCLUSION AND FUTURE SCOPE</w:t>
      </w:r>
    </w:p>
    <w:p>
      <w:pPr>
        <w:pStyle w:val="Heading2"/>
        <w:spacing w:after="120" w:before="220"/>
      </w:pPr>
      <w:r>
        <w:rPr>
          <w:rFonts w:ascii="Times New Roman" w:cs="Times New Roman" w:eastAsia="Times New Roman" w:hAnsi="Times New Roman"/>
          <w:b/>
          <w:bCs/>
          <w:color w:val="1F3B73"/>
          <w:sz w:val="26"/>
          <w:szCs w:val="26"/>
        </w:rPr>
        <w:t xml:space="preserve">6.1  Summary</w:t>
      </w:r>
    </w:p>
    <w:p>
      <w:pPr>
        <w:spacing w:after="160" w:before="0" w:line="360" w:lineRule="auto"/>
        <w:jc w:val="both"/>
      </w:pPr>
      <w:r>
        <w:rPr>
          <w:rFonts w:ascii="Times New Roman" w:cs="Times New Roman" w:eastAsia="Times New Roman" w:hAnsi="Times New Roman"/>
          <w:sz w:val="24"/>
          <w:szCs w:val="24"/>
        </w:rPr>
        <w:t xml:space="preserve">This report presented the design, implementation, evaluation, and deployment of an enterprise-scale, template-free system for parsing pharmaceutical research PDFs into standardised JSON. The system pairs a reliable OCR baseline with a Visual Language Model that infers and populates a per-page schema, validates every page against the OCR reference, and automatically repairs low-quality pages before merging and refining the result. It was evaluated quantitatively and by domain experts, deployed through development and QA environments, and complemented by three further contributions to the enterprise data platform.</w:t>
      </w:r>
    </w:p>
    <w:p>
      <w:pPr>
        <w:pStyle w:val="Heading2"/>
        <w:spacing w:after="120" w:before="220"/>
      </w:pPr>
      <w:r>
        <w:rPr>
          <w:rFonts w:ascii="Times New Roman" w:cs="Times New Roman" w:eastAsia="Times New Roman" w:hAnsi="Times New Roman"/>
          <w:b/>
          <w:bCs/>
          <w:color w:val="1F3B73"/>
          <w:sz w:val="26"/>
          <w:szCs w:val="26"/>
        </w:rPr>
        <w:t xml:space="preserve">6.2  Conclusions</w:t>
      </w:r>
    </w:p>
    <w:p>
      <w:pPr>
        <w:spacing w:after="160" w:before="0" w:line="360" w:lineRule="auto"/>
        <w:jc w:val="both"/>
      </w:pPr>
      <w:r>
        <w:rPr>
          <w:rFonts w:ascii="Times New Roman" w:cs="Times New Roman" w:eastAsia="Times New Roman" w:hAnsi="Times New Roman"/>
          <w:sz w:val="24"/>
          <w:szCs w:val="24"/>
        </w:rPr>
        <w:t xml:space="preserve">The work shows that combining OCR ground truth with layout-aware VLM extraction and an explicit, measurable validation step yields a reliable, scalable, and auditable document-processing pipeline. On nineteen representative documents the pipeline achieved approximately eighty-five percent average recall, and domain-expert review reported approximately ninety-five percent accuracy while highlighting the value of per-page quality scoring. The apparent precision gap was shown to be an artefact of comparing structured output against an unstructured reference. Above all, the pipeline changes the nature of the reviewer’s task: instead of reading every line, reviewers now examine only the values the system flags.</w:t>
      </w:r>
    </w:p>
    <w:p>
      <w:pPr>
        <w:pStyle w:val="Heading2"/>
        <w:spacing w:after="120" w:before="220"/>
      </w:pPr>
      <w:r>
        <w:rPr>
          <w:rFonts w:ascii="Times New Roman" w:cs="Times New Roman" w:eastAsia="Times New Roman" w:hAnsi="Times New Roman"/>
          <w:b/>
          <w:bCs/>
          <w:color w:val="1F3B73"/>
          <w:sz w:val="26"/>
          <w:szCs w:val="26"/>
        </w:rPr>
        <w:t xml:space="preserve">6.3  Future Scope</w:t>
      </w:r>
    </w:p>
    <w:p>
      <w:pPr>
        <w:spacing w:after="160" w:before="0" w:line="360" w:lineRule="auto"/>
        <w:jc w:val="both"/>
      </w:pPr>
      <w:r>
        <w:rPr>
          <w:rFonts w:ascii="Times New Roman" w:cs="Times New Roman" w:eastAsia="Times New Roman" w:hAnsi="Times New Roman"/>
          <w:sz w:val="24"/>
          <w:szCs w:val="24"/>
        </w:rPr>
        <w:t xml:space="preserve">Several directions follow naturally from the evaluation. Because document format is the primary driver of quality, format-aware routing would send scanned and landscape documents down specialised paths, improving OCR accuracy and table reconstruction where it is most needed. Adopting a fixed, standardised output schema across all document types would eliminate schema drift, and identifier-format validation and locale-aware numeric normalisation would further harden character-level accuracy. Standing up a full CI/CD pipeline for the repository and identifying a consuming team would move the parser from QA toward production use. Finally, the structured data produced by the pipeline could seed the exploration of knowledge distillation, training a smaller domain-specific model for cheaper inference at scale.</w:t>
      </w:r>
    </w:p>
    <w:p>
      <w:pPr>
        <w:pStyle w:val="Heading2"/>
        <w:spacing w:after="120" w:before="220"/>
      </w:pPr>
      <w:r>
        <w:rPr>
          <w:rFonts w:ascii="Times New Roman" w:cs="Times New Roman" w:eastAsia="Times New Roman" w:hAnsi="Times New Roman"/>
          <w:b/>
          <w:bCs/>
          <w:color w:val="1F3B73"/>
          <w:sz w:val="26"/>
          <w:szCs w:val="26"/>
        </w:rPr>
        <w:t xml:space="preserve">6.4  Contribution Summary</w:t>
      </w:r>
    </w:p>
    <w:p>
      <w:pPr>
        <w:spacing w:after="160" w:before="0" w:line="360" w:lineRule="auto"/>
        <w:jc w:val="both"/>
      </w:pPr>
      <w:r>
        <w:rPr>
          <w:rFonts w:ascii="Times New Roman" w:cs="Times New Roman" w:eastAsia="Times New Roman" w:hAnsi="Times New Roman"/>
          <w:sz w:val="24"/>
          <w:szCs w:val="24"/>
        </w:rPr>
        <w:t xml:space="preserve">All of the work described in this report was carried out individually by the author, with guidance and code review from senior members of the Enterprise Data – Data Delivery team. The author was responsible for the design, implementation, validation, and deployment of the PDF parsing pipeline, and for the three additional contributions described in Chapter 5.</w:t>
      </w:r>
    </w:p>
    <w:p>
      <w:pPr>
        <w:pageBreakBefore/>
        <w:spacing w:after="40" w:before="200"/>
        <w:jc w:val="center"/>
      </w:pPr>
      <w:r>
        <w:rPr>
          <w:rFonts w:ascii="Times New Roman" w:cs="Times New Roman" w:eastAsia="Times New Roman" w:hAnsi="Times New Roman"/>
          <w:b/>
          <w:bCs/>
          <w:color w:val="1F3B73"/>
          <w:sz w:val="30"/>
          <w:szCs w:val="30"/>
        </w:rPr>
        <w:t xml:space="preserve">REFERENCES</w:t>
      </w:r>
    </w:p>
    <w:p>
      <w:pPr>
        <w:spacing w:after="160" w:before="60" w:line="360" w:lineRule="auto"/>
        <w:jc w:val="both"/>
      </w:pPr>
      <w:r>
        <w:rPr>
          <w:rFonts w:ascii="Times New Roman" w:cs="Times New Roman" w:eastAsia="Times New Roman" w:hAnsi="Times New Roman"/>
          <w:i/>
          <w:iCs/>
          <w:color w:val="777777"/>
          <w:sz w:val="20"/>
          <w:szCs w:val="20"/>
        </w:rPr>
        <w:t xml:space="preserve">The following are documentation sources referenced during the project. Peer-reviewed literature for the OCR and Visual Language Model discussion in Chapter 2 is to be finalised by the author.</w:t>
      </w:r>
    </w:p>
    <w:p>
      <w:pPr>
        <w:spacing w:after="120" w:line="300" w:lineRule="auto"/>
        <w:ind w:left="360" w:hanging="360"/>
      </w:pPr>
      <w:r>
        <w:rPr>
          <w:rFonts w:ascii="Times New Roman" w:cs="Times New Roman" w:eastAsia="Times New Roman" w:hAnsi="Times New Roman"/>
          <w:sz w:val="22"/>
          <w:szCs w:val="22"/>
        </w:rPr>
        <w:t xml:space="preserve">[1]  </w:t>
      </w:r>
      <w:r>
        <w:rPr>
          <w:rFonts w:ascii="Times New Roman" w:cs="Times New Roman" w:eastAsia="Times New Roman" w:hAnsi="Times New Roman"/>
          <w:sz w:val="24"/>
          <w:szCs w:val="24"/>
        </w:rPr>
        <w:t xml:space="preserve">Amazon Web Services, </w:t>
      </w:r>
      <w:r>
        <w:rPr>
          <w:rFonts w:ascii="Times New Roman" w:cs="Times New Roman" w:eastAsia="Times New Roman" w:hAnsi="Times New Roman"/>
          <w:i/>
          <w:iCs/>
          <w:sz w:val="22"/>
          <w:szCs w:val="22"/>
        </w:rPr>
        <w:t xml:space="preserve">Amazon Textract Developer Guide</w:t>
      </w:r>
      <w:r>
        <w:rPr>
          <w:rFonts w:ascii="Times New Roman" w:cs="Times New Roman" w:eastAsia="Times New Roman" w:hAnsi="Times New Roman"/>
          <w:sz w:val="24"/>
          <w:szCs w:val="24"/>
        </w:rPr>
        <w:t xml:space="preserve">. </w:t>
      </w:r>
      <w:hyperlink w:history="1" r:id="rIdjc0fimj6bskjtfzikt66t">
        <w:r>
          <w:rPr>
            <w:rFonts w:ascii="Times New Roman" w:cs="Times New Roman" w:eastAsia="Times New Roman" w:hAnsi="Times New Roman"/>
            <w:color w:val="1155CC"/>
            <w:sz w:val="22"/>
            <w:szCs w:val="22"/>
          </w:rPr>
          <w:t xml:space="preserve">https://docs.aws.amazon.com/textract/</w:t>
        </w:r>
      </w:hyperlink>
    </w:p>
    <w:p>
      <w:pPr>
        <w:spacing w:after="120" w:line="300" w:lineRule="auto"/>
        <w:ind w:left="360" w:hanging="360"/>
      </w:pPr>
      <w:r>
        <w:rPr>
          <w:rFonts w:ascii="Times New Roman" w:cs="Times New Roman" w:eastAsia="Times New Roman" w:hAnsi="Times New Roman"/>
          <w:sz w:val="22"/>
          <w:szCs w:val="22"/>
        </w:rPr>
        <w:t xml:space="preserve">[2]  </w:t>
      </w:r>
      <w:r>
        <w:rPr>
          <w:rFonts w:ascii="Times New Roman" w:cs="Times New Roman" w:eastAsia="Times New Roman" w:hAnsi="Times New Roman"/>
          <w:sz w:val="24"/>
          <w:szCs w:val="24"/>
        </w:rPr>
        <w:t xml:space="preserve">Amazon Web Services, </w:t>
      </w:r>
      <w:r>
        <w:rPr>
          <w:rFonts w:ascii="Times New Roman" w:cs="Times New Roman" w:eastAsia="Times New Roman" w:hAnsi="Times New Roman"/>
          <w:i/>
          <w:iCs/>
          <w:sz w:val="22"/>
          <w:szCs w:val="22"/>
        </w:rPr>
        <w:t xml:space="preserve">AWS Lambda Developer Guide</w:t>
      </w:r>
      <w:r>
        <w:rPr>
          <w:rFonts w:ascii="Times New Roman" w:cs="Times New Roman" w:eastAsia="Times New Roman" w:hAnsi="Times New Roman"/>
          <w:sz w:val="24"/>
          <w:szCs w:val="24"/>
        </w:rPr>
        <w:t xml:space="preserve">. </w:t>
      </w:r>
      <w:hyperlink w:history="1" r:id="rIduqxqmcqb7qq29lkmuvuzg">
        <w:r>
          <w:rPr>
            <w:rFonts w:ascii="Times New Roman" w:cs="Times New Roman" w:eastAsia="Times New Roman" w:hAnsi="Times New Roman"/>
            <w:color w:val="1155CC"/>
            <w:sz w:val="22"/>
            <w:szCs w:val="22"/>
          </w:rPr>
          <w:t xml:space="preserve">https://docs.aws.amazon.com/lambda/</w:t>
        </w:r>
      </w:hyperlink>
    </w:p>
    <w:p>
      <w:pPr>
        <w:spacing w:after="120" w:line="300" w:lineRule="auto"/>
        <w:ind w:left="360" w:hanging="360"/>
      </w:pPr>
      <w:r>
        <w:rPr>
          <w:rFonts w:ascii="Times New Roman" w:cs="Times New Roman" w:eastAsia="Times New Roman" w:hAnsi="Times New Roman"/>
          <w:sz w:val="22"/>
          <w:szCs w:val="22"/>
        </w:rPr>
        <w:t xml:space="preserve">[3]  </w:t>
      </w:r>
      <w:r>
        <w:rPr>
          <w:rFonts w:ascii="Times New Roman" w:cs="Times New Roman" w:eastAsia="Times New Roman" w:hAnsi="Times New Roman"/>
          <w:sz w:val="24"/>
          <w:szCs w:val="24"/>
        </w:rPr>
        <w:t xml:space="preserve">Amazon Web Services, </w:t>
      </w:r>
      <w:r>
        <w:rPr>
          <w:rFonts w:ascii="Times New Roman" w:cs="Times New Roman" w:eastAsia="Times New Roman" w:hAnsi="Times New Roman"/>
          <w:i/>
          <w:iCs/>
          <w:sz w:val="22"/>
          <w:szCs w:val="22"/>
        </w:rPr>
        <w:t xml:space="preserve">AWS Glue Developer Guide</w:t>
      </w:r>
      <w:r>
        <w:rPr>
          <w:rFonts w:ascii="Times New Roman" w:cs="Times New Roman" w:eastAsia="Times New Roman" w:hAnsi="Times New Roman"/>
          <w:sz w:val="24"/>
          <w:szCs w:val="24"/>
        </w:rPr>
        <w:t xml:space="preserve">. </w:t>
      </w:r>
      <w:hyperlink w:history="1" r:id="rIdvacjp3e9h2yx4xzuydkal">
        <w:r>
          <w:rPr>
            <w:rFonts w:ascii="Times New Roman" w:cs="Times New Roman" w:eastAsia="Times New Roman" w:hAnsi="Times New Roman"/>
            <w:color w:val="1155CC"/>
            <w:sz w:val="22"/>
            <w:szCs w:val="22"/>
          </w:rPr>
          <w:t xml:space="preserve">https://docs.aws.amazon.com/glue/</w:t>
        </w:r>
      </w:hyperlink>
    </w:p>
    <w:p>
      <w:pPr>
        <w:spacing w:after="120" w:line="300" w:lineRule="auto"/>
        <w:ind w:left="360" w:hanging="360"/>
      </w:pPr>
      <w:r>
        <w:rPr>
          <w:rFonts w:ascii="Times New Roman" w:cs="Times New Roman" w:eastAsia="Times New Roman" w:hAnsi="Times New Roman"/>
          <w:sz w:val="22"/>
          <w:szCs w:val="22"/>
        </w:rPr>
        <w:t xml:space="preserve">[4]  </w:t>
      </w:r>
      <w:r>
        <w:rPr>
          <w:rFonts w:ascii="Times New Roman" w:cs="Times New Roman" w:eastAsia="Times New Roman" w:hAnsi="Times New Roman"/>
          <w:sz w:val="24"/>
          <w:szCs w:val="24"/>
        </w:rPr>
        <w:t xml:space="preserve">Amazon Web Services, </w:t>
      </w:r>
      <w:r>
        <w:rPr>
          <w:rFonts w:ascii="Times New Roman" w:cs="Times New Roman" w:eastAsia="Times New Roman" w:hAnsi="Times New Roman"/>
          <w:i/>
          <w:iCs/>
          <w:sz w:val="22"/>
          <w:szCs w:val="22"/>
        </w:rPr>
        <w:t xml:space="preserve">AWS Serverless Application Model (SAM) Developer Guide</w:t>
      </w:r>
      <w:r>
        <w:rPr>
          <w:rFonts w:ascii="Times New Roman" w:cs="Times New Roman" w:eastAsia="Times New Roman" w:hAnsi="Times New Roman"/>
          <w:sz w:val="24"/>
          <w:szCs w:val="24"/>
        </w:rPr>
        <w:t xml:space="preserve">. </w:t>
      </w:r>
      <w:hyperlink w:history="1" r:id="rIdiw5i3xabxwhfntioz-8cj">
        <w:r>
          <w:rPr>
            <w:rFonts w:ascii="Times New Roman" w:cs="Times New Roman" w:eastAsia="Times New Roman" w:hAnsi="Times New Roman"/>
            <w:color w:val="1155CC"/>
            <w:sz w:val="22"/>
            <w:szCs w:val="22"/>
          </w:rPr>
          <w:t xml:space="preserve">https://docs.aws.amazon.com/serverless-application-model/</w:t>
        </w:r>
      </w:hyperlink>
    </w:p>
    <w:p>
      <w:pPr>
        <w:spacing w:after="120" w:line="300" w:lineRule="auto"/>
        <w:ind w:left="360" w:hanging="360"/>
      </w:pPr>
      <w:r>
        <w:rPr>
          <w:rFonts w:ascii="Times New Roman" w:cs="Times New Roman" w:eastAsia="Times New Roman" w:hAnsi="Times New Roman"/>
          <w:sz w:val="22"/>
          <w:szCs w:val="22"/>
        </w:rPr>
        <w:t xml:space="preserve">[5]  </w:t>
      </w:r>
      <w:r>
        <w:rPr>
          <w:rFonts w:ascii="Times New Roman" w:cs="Times New Roman" w:eastAsia="Times New Roman" w:hAnsi="Times New Roman"/>
          <w:sz w:val="24"/>
          <w:szCs w:val="24"/>
        </w:rPr>
        <w:t xml:space="preserve">Anthropic, </w:t>
      </w:r>
      <w:r>
        <w:rPr>
          <w:rFonts w:ascii="Times New Roman" w:cs="Times New Roman" w:eastAsia="Times New Roman" w:hAnsi="Times New Roman"/>
          <w:i/>
          <w:iCs/>
          <w:sz w:val="22"/>
          <w:szCs w:val="22"/>
        </w:rPr>
        <w:t xml:space="preserve">Claude Models — Documentation</w:t>
      </w:r>
      <w:r>
        <w:rPr>
          <w:rFonts w:ascii="Times New Roman" w:cs="Times New Roman" w:eastAsia="Times New Roman" w:hAnsi="Times New Roman"/>
          <w:sz w:val="24"/>
          <w:szCs w:val="24"/>
        </w:rPr>
        <w:t xml:space="preserve">. </w:t>
      </w:r>
      <w:hyperlink w:history="1" r:id="rIdj0tpxemx57cohmn948k1k">
        <w:r>
          <w:rPr>
            <w:rFonts w:ascii="Times New Roman" w:cs="Times New Roman" w:eastAsia="Times New Roman" w:hAnsi="Times New Roman"/>
            <w:color w:val="1155CC"/>
            <w:sz w:val="22"/>
            <w:szCs w:val="22"/>
          </w:rPr>
          <w:t xml:space="preserve">https://docs.anthropic.com/</w:t>
        </w:r>
      </w:hyperlink>
    </w:p>
    <w:p>
      <w:pPr>
        <w:spacing w:after="120" w:line="300" w:lineRule="auto"/>
        <w:ind w:left="360" w:hanging="360"/>
      </w:pPr>
      <w:r>
        <w:rPr>
          <w:rFonts w:ascii="Times New Roman" w:cs="Times New Roman" w:eastAsia="Times New Roman" w:hAnsi="Times New Roman"/>
          <w:sz w:val="22"/>
          <w:szCs w:val="22"/>
        </w:rPr>
        <w:t xml:space="preserve">[6]  </w:t>
      </w:r>
      <w:r>
        <w:rPr>
          <w:rFonts w:ascii="Times New Roman" w:cs="Times New Roman" w:eastAsia="Times New Roman" w:hAnsi="Times New Roman"/>
          <w:sz w:val="24"/>
          <w:szCs w:val="24"/>
        </w:rPr>
        <w:t xml:space="preserve">dltHub, </w:t>
      </w:r>
      <w:r>
        <w:rPr>
          <w:rFonts w:ascii="Times New Roman" w:cs="Times New Roman" w:eastAsia="Times New Roman" w:hAnsi="Times New Roman"/>
          <w:i/>
          <w:iCs/>
          <w:sz w:val="22"/>
          <w:szCs w:val="22"/>
        </w:rPr>
        <w:t xml:space="preserve">dlt — Data Load Tool Documentation</w:t>
      </w:r>
      <w:r>
        <w:rPr>
          <w:rFonts w:ascii="Times New Roman" w:cs="Times New Roman" w:eastAsia="Times New Roman" w:hAnsi="Times New Roman"/>
          <w:sz w:val="24"/>
          <w:szCs w:val="24"/>
        </w:rPr>
        <w:t xml:space="preserve">. </w:t>
      </w:r>
      <w:hyperlink w:history="1" r:id="rIdo9bcxk6rzpvryqtvrw8hp">
        <w:r>
          <w:rPr>
            <w:rFonts w:ascii="Times New Roman" w:cs="Times New Roman" w:eastAsia="Times New Roman" w:hAnsi="Times New Roman"/>
            <w:color w:val="1155CC"/>
            <w:sz w:val="22"/>
            <w:szCs w:val="22"/>
          </w:rPr>
          <w:t xml:space="preserve">https://dlthub.com/docs</w:t>
        </w:r>
      </w:hyperlink>
    </w:p>
    <w:p>
      <w:pPr>
        <w:spacing w:after="120" w:line="300" w:lineRule="auto"/>
        <w:ind w:left="360" w:hanging="360"/>
      </w:pPr>
      <w:r>
        <w:rPr>
          <w:rFonts w:ascii="Times New Roman" w:cs="Times New Roman" w:eastAsia="Times New Roman" w:hAnsi="Times New Roman"/>
          <w:sz w:val="22"/>
          <w:szCs w:val="22"/>
        </w:rPr>
        <w:t xml:space="preserve">[7]  </w:t>
      </w:r>
      <w:r>
        <w:rPr>
          <w:rFonts w:ascii="Times New Roman" w:cs="Times New Roman" w:eastAsia="Times New Roman" w:hAnsi="Times New Roman"/>
          <w:sz w:val="24"/>
          <w:szCs w:val="24"/>
        </w:rPr>
        <w:t xml:space="preserve">DS4SD, </w:t>
      </w:r>
      <w:r>
        <w:rPr>
          <w:rFonts w:ascii="Times New Roman" w:cs="Times New Roman" w:eastAsia="Times New Roman" w:hAnsi="Times New Roman"/>
          <w:i/>
          <w:iCs/>
          <w:sz w:val="22"/>
          <w:szCs w:val="22"/>
        </w:rPr>
        <w:t xml:space="preserve">Docling — Document Processing Library</w:t>
      </w:r>
      <w:r>
        <w:rPr>
          <w:rFonts w:ascii="Times New Roman" w:cs="Times New Roman" w:eastAsia="Times New Roman" w:hAnsi="Times New Roman"/>
          <w:sz w:val="24"/>
          <w:szCs w:val="24"/>
        </w:rPr>
        <w:t xml:space="preserve">. </w:t>
      </w:r>
      <w:hyperlink w:history="1" r:id="rIdg_xpp8az28uf0mgjgzfi5">
        <w:r>
          <w:rPr>
            <w:rFonts w:ascii="Times New Roman" w:cs="Times New Roman" w:eastAsia="Times New Roman" w:hAnsi="Times New Roman"/>
            <w:color w:val="1155CC"/>
            <w:sz w:val="22"/>
            <w:szCs w:val="22"/>
          </w:rPr>
          <w:t xml:space="preserve">https://github.com/DS4SD/docling</w:t>
        </w:r>
      </w:hyperlink>
    </w:p>
    <w:p>
      <w:pPr>
        <w:spacing w:after="120" w:line="300" w:lineRule="auto"/>
        <w:ind w:left="360" w:hanging="360"/>
      </w:pPr>
      <w:r>
        <w:rPr>
          <w:rFonts w:ascii="Times New Roman" w:cs="Times New Roman" w:eastAsia="Times New Roman" w:hAnsi="Times New Roman"/>
          <w:sz w:val="22"/>
          <w:szCs w:val="22"/>
        </w:rPr>
        <w:t xml:space="preserve">[8]  </w:t>
      </w:r>
      <w:r>
        <w:rPr>
          <w:rFonts w:ascii="Times New Roman" w:cs="Times New Roman" w:eastAsia="Times New Roman" w:hAnsi="Times New Roman"/>
          <w:sz w:val="24"/>
          <w:szCs w:val="24"/>
        </w:rPr>
        <w:t xml:space="preserve">GitHub, </w:t>
      </w:r>
      <w:r>
        <w:rPr>
          <w:rFonts w:ascii="Times New Roman" w:cs="Times New Roman" w:eastAsia="Times New Roman" w:hAnsi="Times New Roman"/>
          <w:i/>
          <w:iCs/>
          <w:sz w:val="22"/>
          <w:szCs w:val="22"/>
        </w:rPr>
        <w:t xml:space="preserve">GitHub Actions Documentation</w:t>
      </w:r>
      <w:r>
        <w:rPr>
          <w:rFonts w:ascii="Times New Roman" w:cs="Times New Roman" w:eastAsia="Times New Roman" w:hAnsi="Times New Roman"/>
          <w:sz w:val="24"/>
          <w:szCs w:val="24"/>
        </w:rPr>
        <w:t xml:space="preserve">. </w:t>
      </w:r>
      <w:hyperlink w:history="1" r:id="rId6vs5xdpkq9rl2tmh9abh2">
        <w:r>
          <w:rPr>
            <w:rFonts w:ascii="Times New Roman" w:cs="Times New Roman" w:eastAsia="Times New Roman" w:hAnsi="Times New Roman"/>
            <w:color w:val="1155CC"/>
            <w:sz w:val="22"/>
            <w:szCs w:val="22"/>
          </w:rPr>
          <w:t xml:space="preserve">https://docs.github.com/actions</w:t>
        </w:r>
      </w:hyperlink>
    </w:p>
    <w:p>
      <w:pPr>
        <w:spacing w:after="120" w:line="300" w:lineRule="auto"/>
        <w:ind w:left="360" w:hanging="360"/>
      </w:pPr>
      <w:r>
        <w:rPr>
          <w:rFonts w:ascii="Times New Roman" w:cs="Times New Roman" w:eastAsia="Times New Roman" w:hAnsi="Times New Roman"/>
          <w:sz w:val="22"/>
          <w:szCs w:val="22"/>
        </w:rPr>
        <w:t xml:space="preserve">[9]  </w:t>
      </w:r>
      <w:r>
        <w:rPr>
          <w:rFonts w:ascii="Times New Roman" w:cs="Times New Roman" w:eastAsia="Times New Roman" w:hAnsi="Times New Roman"/>
          <w:sz w:val="24"/>
          <w:szCs w:val="24"/>
        </w:rPr>
        <w:t xml:space="preserve">Apache Software Foundation, </w:t>
      </w:r>
      <w:r>
        <w:rPr>
          <w:rFonts w:ascii="Times New Roman" w:cs="Times New Roman" w:eastAsia="Times New Roman" w:hAnsi="Times New Roman"/>
          <w:i/>
          <w:iCs/>
          <w:sz w:val="22"/>
          <w:szCs w:val="22"/>
        </w:rPr>
        <w:t xml:space="preserve">Apache Spark Documentation</w:t>
      </w:r>
      <w:r>
        <w:rPr>
          <w:rFonts w:ascii="Times New Roman" w:cs="Times New Roman" w:eastAsia="Times New Roman" w:hAnsi="Times New Roman"/>
          <w:sz w:val="24"/>
          <w:szCs w:val="24"/>
        </w:rPr>
        <w:t xml:space="preserve">. </w:t>
      </w:r>
      <w:hyperlink w:history="1" r:id="rIdbzy-fvlf4v3mas3cyo43m">
        <w:r>
          <w:rPr>
            <w:rFonts w:ascii="Times New Roman" w:cs="Times New Roman" w:eastAsia="Times New Roman" w:hAnsi="Times New Roman"/>
            <w:color w:val="1155CC"/>
            <w:sz w:val="22"/>
            <w:szCs w:val="22"/>
          </w:rPr>
          <w:t xml:space="preserve">https://spark.apache.org/docs/latest/</w:t>
        </w:r>
      </w:hyperlink>
    </w:p>
    <w:p>
      <w:pPr>
        <w:spacing w:after="120" w:line="300" w:lineRule="auto"/>
        <w:ind w:left="360" w:hanging="360"/>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4"/>
          <w:szCs w:val="24"/>
        </w:rPr>
        <w:t xml:space="preserve">SQLite Consortium, </w:t>
      </w:r>
      <w:r>
        <w:rPr>
          <w:rFonts w:ascii="Times New Roman" w:cs="Times New Roman" w:eastAsia="Times New Roman" w:hAnsi="Times New Roman"/>
          <w:i/>
          <w:iCs/>
          <w:sz w:val="22"/>
          <w:szCs w:val="22"/>
        </w:rPr>
        <w:t xml:space="preserve">SQLite Documentation</w:t>
      </w:r>
      <w:r>
        <w:rPr>
          <w:rFonts w:ascii="Times New Roman" w:cs="Times New Roman" w:eastAsia="Times New Roman" w:hAnsi="Times New Roman"/>
          <w:sz w:val="24"/>
          <w:szCs w:val="24"/>
        </w:rPr>
        <w:t xml:space="preserve">. </w:t>
      </w:r>
      <w:hyperlink w:history="1" r:id="rId48012eprggpwgq9h8qglu">
        <w:r>
          <w:rPr>
            <w:rFonts w:ascii="Times New Roman" w:cs="Times New Roman" w:eastAsia="Times New Roman" w:hAnsi="Times New Roman"/>
            <w:color w:val="1155CC"/>
            <w:sz w:val="22"/>
            <w:szCs w:val="22"/>
          </w:rPr>
          <w:t xml:space="preserve">https://www.sqlite.org/docs.html</w:t>
        </w:r>
      </w:hyperlink>
    </w:p>
    <w:p>
      <w:pPr>
        <w:spacing w:after="120" w:line="300" w:lineRule="auto"/>
        <w:ind w:left="360" w:hanging="360"/>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4"/>
          <w:szCs w:val="24"/>
        </w:rPr>
        <w:t xml:space="preserve">Mike Bostock, </w:t>
      </w:r>
      <w:r>
        <w:rPr>
          <w:rFonts w:ascii="Times New Roman" w:cs="Times New Roman" w:eastAsia="Times New Roman" w:hAnsi="Times New Roman"/>
          <w:i/>
          <w:iCs/>
          <w:sz w:val="22"/>
          <w:szCs w:val="22"/>
        </w:rPr>
        <w:t xml:space="preserve">D3: Data-Driven Documents</w:t>
      </w:r>
      <w:r>
        <w:rPr>
          <w:rFonts w:ascii="Times New Roman" w:cs="Times New Roman" w:eastAsia="Times New Roman" w:hAnsi="Times New Roman"/>
          <w:sz w:val="24"/>
          <w:szCs w:val="24"/>
        </w:rPr>
        <w:t xml:space="preserve">. </w:t>
      </w:r>
      <w:hyperlink w:history="1" r:id="rIdmw1_uk5qhfkzuryeq_lpj">
        <w:r>
          <w:rPr>
            <w:rFonts w:ascii="Times New Roman" w:cs="Times New Roman" w:eastAsia="Times New Roman" w:hAnsi="Times New Roman"/>
            <w:color w:val="1155CC"/>
            <w:sz w:val="22"/>
            <w:szCs w:val="22"/>
          </w:rPr>
          <w:t xml:space="preserve">https://d3js.org/</w:t>
        </w:r>
      </w:hyperlink>
    </w:p>
    <w:p>
      <w:pPr>
        <w:pageBreakBefore/>
        <w:spacing w:after="40" w:before="200"/>
        <w:jc w:val="center"/>
      </w:pPr>
      <w:r>
        <w:rPr>
          <w:rFonts w:ascii="Times New Roman" w:cs="Times New Roman" w:eastAsia="Times New Roman" w:hAnsi="Times New Roman"/>
          <w:b/>
          <w:bCs/>
          <w:color w:val="1F3B73"/>
          <w:sz w:val="26"/>
          <w:szCs w:val="26"/>
        </w:rPr>
        <w:t xml:space="preserve">ANNEXURE A</w:t>
      </w:r>
    </w:p>
    <w:p>
      <w:pPr>
        <w:spacing w:after="200" w:before="0" w:line="300" w:lineRule="auto"/>
        <w:jc w:val="center"/>
      </w:pPr>
      <w:r>
        <w:rPr>
          <w:rFonts w:ascii="Times New Roman" w:cs="Times New Roman" w:eastAsia="Times New Roman" w:hAnsi="Times New Roman"/>
          <w:b/>
          <w:bCs/>
          <w:sz w:val="26"/>
          <w:szCs w:val="26"/>
        </w:rPr>
        <w:t xml:space="preserve">CODE LISTING</w:t>
      </w:r>
    </w:p>
    <w:p>
      <w:pPr>
        <w:spacing w:after="160" w:before="0" w:line="360" w:lineRule="auto"/>
        <w:jc w:val="both"/>
      </w:pPr>
      <w:r>
        <w:rPr>
          <w:rFonts w:ascii="Times New Roman" w:cs="Times New Roman" w:eastAsia="Times New Roman" w:hAnsi="Times New Roman"/>
          <w:i/>
          <w:iCs/>
          <w:color w:val="666666"/>
          <w:sz w:val="24"/>
          <w:szCs w:val="24"/>
        </w:rPr>
        <w:t xml:space="preserve">Representative structure of the extraction pipeline’s core library (module responsibilities). Full source is maintained in the project repository.</w:t>
      </w:r>
    </w:p>
    <w:p>
      <w:pPr>
        <w:shd w:fill="F3F5F9" w:val="clear"/>
        <w:spacing w:after="40" w:before="80" w:line="300" w:lineRule="auto"/>
      </w:pPr>
      <w:r>
        <w:rPr>
          <w:rFonts w:ascii="Courier New" w:cs="Courier New" w:eastAsia="Courier New" w:hAnsi="Courier New"/>
          <w:sz w:val="19"/>
          <w:szCs w:val="19"/>
        </w:rPr>
        <w:t xml:space="preserve">pipeline.py           — orchestrates single-PDF processing end-to-end</w:t>
      </w:r>
      <w:r>
        <w:rPr>
          <w:rFonts w:ascii="Courier New" w:cs="Courier New" w:eastAsia="Courier New" w:hAnsi="Courier New"/>
          <w:sz w:val="19"/>
          <w:szCs w:val="19"/>
        </w:rPr>
        <w:br/>
        <w:t xml:space="preserve">textract_processor.py — Textract OCR wrapper + continuation detection</w:t>
      </w:r>
      <w:r>
        <w:rPr>
          <w:rFonts w:ascii="Courier New" w:cs="Courier New" w:eastAsia="Courier New" w:hAnsi="Courier New"/>
          <w:sz w:val="19"/>
          <w:szCs w:val="19"/>
        </w:rPr>
        <w:br/>
        <w:t xml:space="preserve">schema_generator.py   — VLM-driven per-page JSON schema generation</w:t>
      </w:r>
      <w:r>
        <w:rPr>
          <w:rFonts w:ascii="Courier New" w:cs="Courier New" w:eastAsia="Courier New" w:hAnsi="Courier New"/>
          <w:sz w:val="19"/>
          <w:szCs w:val="19"/>
        </w:rPr>
        <w:br/>
        <w:t xml:space="preserve">extraction.py         — Pass 1 data extraction into the schema</w:t>
      </w:r>
      <w:r>
        <w:rPr>
          <w:rFonts w:ascii="Courier New" w:cs="Courier New" w:eastAsia="Courier New" w:hAnsi="Courier New"/>
          <w:sz w:val="19"/>
          <w:szCs w:val="19"/>
        </w:rPr>
        <w:br/>
        <w:t xml:space="preserve">reextraction.py       — Pass 2 tiered self-healing re-extraction</w:t>
      </w:r>
      <w:r>
        <w:rPr>
          <w:rFonts w:ascii="Courier New" w:cs="Courier New" w:eastAsia="Courier New" w:hAnsi="Courier New"/>
          <w:sz w:val="19"/>
          <w:szCs w:val="19"/>
        </w:rPr>
        <w:br/>
        <w:t xml:space="preserve">completeness.py       — recall and Jaccard scoring</w:t>
      </w:r>
      <w:r>
        <w:rPr>
          <w:rFonts w:ascii="Courier New" w:cs="Courier New" w:eastAsia="Courier New" w:hAnsi="Courier New"/>
          <w:sz w:val="19"/>
          <w:szCs w:val="19"/>
        </w:rPr>
        <w:br/>
        <w:t xml:space="preserve">deep_merger.py        — multi-page merge into a unified document</w:t>
      </w:r>
      <w:r>
        <w:rPr>
          <w:rFonts w:ascii="Courier New" w:cs="Courier New" w:eastAsia="Courier New" w:hAnsi="Courier New"/>
          <w:sz w:val="19"/>
          <w:szCs w:val="19"/>
        </w:rPr>
        <w:br/>
        <w:t xml:space="preserve">flagging.py           — five data-quality checks</w:t>
      </w:r>
      <w:r>
        <w:rPr>
          <w:rFonts w:ascii="Courier New" w:cs="Courier New" w:eastAsia="Courier New" w:hAnsi="Courier New"/>
          <w:sz w:val="19"/>
          <w:szCs w:val="19"/>
        </w:rPr>
        <w:br/>
        <w:t xml:space="preserve">refinement.py         — typed numerics, ISO dates, result parsing</w:t>
      </w:r>
    </w:p>
    <w:p>
      <w:pPr>
        <w:pageBreakBefore/>
        <w:spacing w:after="40" w:before="200"/>
        <w:jc w:val="center"/>
      </w:pPr>
      <w:r>
        <w:rPr>
          <w:rFonts w:ascii="Times New Roman" w:cs="Times New Roman" w:eastAsia="Times New Roman" w:hAnsi="Times New Roman"/>
          <w:b/>
          <w:bCs/>
          <w:color w:val="1F3B73"/>
          <w:sz w:val="26"/>
          <w:szCs w:val="26"/>
        </w:rPr>
        <w:t xml:space="preserve">ANNEXURE B</w:t>
      </w:r>
    </w:p>
    <w:p>
      <w:pPr>
        <w:spacing w:after="200" w:before="0" w:line="300" w:lineRule="auto"/>
        <w:jc w:val="center"/>
      </w:pPr>
      <w:r>
        <w:rPr>
          <w:rFonts w:ascii="Times New Roman" w:cs="Times New Roman" w:eastAsia="Times New Roman" w:hAnsi="Times New Roman"/>
          <w:b/>
          <w:bCs/>
          <w:sz w:val="26"/>
          <w:szCs w:val="26"/>
        </w:rPr>
        <w:t xml:space="preserve">ADDITIONAL DATA</w:t>
      </w:r>
    </w:p>
    <w:p>
      <w:pPr>
        <w:spacing w:after="160" w:before="0" w:line="360" w:lineRule="auto"/>
        <w:jc w:val="both"/>
      </w:pPr>
      <w:r>
        <w:rPr>
          <w:rFonts w:ascii="Times New Roman" w:cs="Times New Roman" w:eastAsia="Times New Roman" w:hAnsi="Times New Roman"/>
          <w:i/>
          <w:iCs/>
          <w:color w:val="666666"/>
          <w:sz w:val="24"/>
          <w:szCs w:val="24"/>
        </w:rPr>
        <w:t xml:space="preserve">Additional supporting data and extended result tables may be included here.</w:t>
      </w:r>
    </w:p>
    <w:p>
      <w:pPr>
        <w:pageBreakBefore/>
        <w:spacing w:after="200" w:before="200"/>
        <w:jc w:val="center"/>
      </w:pPr>
      <w:r>
        <w:rPr>
          <w:rFonts w:ascii="Times New Roman" w:cs="Times New Roman" w:eastAsia="Times New Roman" w:hAnsi="Times New Roman"/>
          <w:b/>
          <w:bCs/>
          <w:sz w:val="28"/>
          <w:szCs w:val="28"/>
        </w:rPr>
        <w:t xml:space="preserve">PLAGIARISM REPORT</w:t>
      </w:r>
    </w:p>
    <w:p>
      <w:pPr>
        <w:spacing w:after="160" w:before="0" w:line="360" w:lineRule="auto"/>
        <w:jc w:val="both"/>
      </w:pPr>
      <w:r>
        <w:rPr>
          <w:rFonts w:ascii="Times New Roman" w:cs="Times New Roman" w:eastAsia="Times New Roman" w:hAnsi="Times New Roman"/>
          <w:i/>
          <w:iCs/>
          <w:color w:val="666666"/>
          <w:sz w:val="24"/>
          <w:szCs w:val="24"/>
        </w:rPr>
        <w:t xml:space="preserve">The similarity-check statistics page (content plagiarism &lt; 15%, AI &lt; 20%) is to be inserted here, with the e-signatures of the student and the internal guide, per the submission guidelines.</w:t>
      </w:r>
    </w:p>
    <w:p>
      <w:pPr>
        <w:pageBreakBefore/>
        <w:spacing w:after="220" w:before="160"/>
        <w:jc w:val="center"/>
      </w:pPr>
      <w:r>
        <w:rPr>
          <w:rFonts w:ascii="Times New Roman" w:cs="Times New Roman" w:eastAsia="Times New Roman" w:hAnsi="Times New Roman"/>
          <w:b/>
          <w:bCs/>
          <w:sz w:val="28"/>
          <w:szCs w:val="28"/>
        </w:rPr>
        <w:t xml:space="preserve">PROJECT DETAILS</w:t>
      </w:r>
    </w:p>
    <w:p>
      <w:pPr>
        <w:spacing w:after="80" w:before="160"/>
      </w:pPr>
      <w:r>
        <w:rPr>
          <w:rFonts w:ascii="Times New Roman" w:cs="Times New Roman" w:eastAsia="Times New Roman" w:hAnsi="Times New Roman"/>
          <w:b/>
          <w:bCs/>
          <w:color w:val="1F3B73"/>
          <w:sz w:val="23"/>
          <w:szCs w:val="23"/>
        </w:rPr>
        <w:t xml:space="preserve">Student Details</w:t>
      </w:r>
    </w:p>
    <w:tbl>
      <w:tblPr>
        <w:tblW w:type="dxa" w:w="9360"/>
        <w:tblBorders>
          <w:top w:val="single" w:color="C7D0E2" w:sz="2"/>
          <w:left w:val="single" w:color="C7D0E2" w:sz="2"/>
          <w:bottom w:val="single" w:color="C7D0E2" w:sz="2"/>
          <w:right w:val="single" w:color="C7D0E2" w:sz="2"/>
          <w:insideH w:val="single" w:color="C7D0E2" w:sz="2"/>
          <w:insideV w:val="single" w:color="C7D0E2" w:sz="2"/>
        </w:tblBorders>
      </w:tblPr>
      <w:tblGrid>
        <w:gridCol w:w="3400"/>
        <w:gridCol w:w="5960"/>
      </w:tblGrid>
      <w:tr>
        <w:tc>
          <w:tcPr>
            <w:tcW w:type="dxa" w:w="3400"/>
            <w:shd w:fill="EEF2FA" w:val="clear"/>
            <w:tcMar>
              <w:top w:type="dxa" w:w="50"/>
              <w:left w:type="dxa" w:w="90"/>
              <w:bottom w:type="dxa" w:w="50"/>
              <w:right w:type="dxa" w:w="90"/>
            </w:tcMar>
          </w:tcPr>
          <w:p>
            <w:r>
              <w:rPr>
                <w:rFonts w:ascii="Times New Roman" w:cs="Times New Roman" w:eastAsia="Times New Roman" w:hAnsi="Times New Roman"/>
                <w:b/>
                <w:bCs/>
                <w:sz w:val="21"/>
                <w:szCs w:val="21"/>
              </w:rPr>
              <w:t xml:space="preserve">Student Name</w:t>
            </w:r>
          </w:p>
        </w:tc>
        <w:tc>
          <w:tcPr>
            <w:tcW w:type="dxa" w:w="5960"/>
            <w:tcMar>
              <w:top w:type="dxa" w:w="50"/>
              <w:left w:type="dxa" w:w="90"/>
              <w:bottom w:type="dxa" w:w="50"/>
              <w:right w:type="dxa" w:w="90"/>
            </w:tcMar>
          </w:tcPr>
          <w:p>
            <w:r>
              <w:rPr>
                <w:rFonts w:ascii="Times New Roman" w:cs="Times New Roman" w:eastAsia="Times New Roman" w:hAnsi="Times New Roman"/>
                <w:sz w:val="21"/>
                <w:szCs w:val="21"/>
              </w:rPr>
              <w:t xml:space="preserve">Vansh Amit Jogani</w:t>
            </w:r>
          </w:p>
        </w:tc>
      </w:tr>
      <w:tr>
        <w:tc>
          <w:tcPr>
            <w:tcW w:type="dxa" w:w="3400"/>
            <w:shd w:fill="EEF2FA" w:val="clear"/>
            <w:tcMar>
              <w:top w:type="dxa" w:w="50"/>
              <w:left w:type="dxa" w:w="90"/>
              <w:bottom w:type="dxa" w:w="50"/>
              <w:right w:type="dxa" w:w="90"/>
            </w:tcMar>
          </w:tcPr>
          <w:p>
            <w:r>
              <w:rPr>
                <w:rFonts w:ascii="Times New Roman" w:cs="Times New Roman" w:eastAsia="Times New Roman" w:hAnsi="Times New Roman"/>
                <w:b/>
                <w:bCs/>
                <w:sz w:val="21"/>
                <w:szCs w:val="21"/>
              </w:rPr>
              <w:t xml:space="preserve">Register Number</w:t>
            </w:r>
          </w:p>
        </w:tc>
        <w:tc>
          <w:tcPr>
            <w:tcW w:type="dxa" w:w="5960"/>
            <w:tcMar>
              <w:top w:type="dxa" w:w="50"/>
              <w:left w:type="dxa" w:w="90"/>
              <w:bottom w:type="dxa" w:w="50"/>
              <w:right w:type="dxa" w:w="90"/>
            </w:tcMar>
          </w:tcPr>
          <w:p>
            <w:r>
              <w:rPr>
                <w:rFonts w:ascii="Times New Roman" w:cs="Times New Roman" w:eastAsia="Times New Roman" w:hAnsi="Times New Roman"/>
                <w:sz w:val="21"/>
                <w:szCs w:val="21"/>
              </w:rPr>
              <w:t xml:space="preserve">220953126</w:t>
            </w:r>
          </w:p>
        </w:tc>
      </w:tr>
      <w:tr>
        <w:tc>
          <w:tcPr>
            <w:tcW w:type="dxa" w:w="3400"/>
            <w:shd w:fill="EEF2FA" w:val="clear"/>
            <w:tcMar>
              <w:top w:type="dxa" w:w="50"/>
              <w:left w:type="dxa" w:w="90"/>
              <w:bottom w:type="dxa" w:w="50"/>
              <w:right w:type="dxa" w:w="90"/>
            </w:tcMar>
          </w:tcPr>
          <w:p>
            <w:r>
              <w:rPr>
                <w:rFonts w:ascii="Times New Roman" w:cs="Times New Roman" w:eastAsia="Times New Roman" w:hAnsi="Times New Roman"/>
                <w:b/>
                <w:bCs/>
                <w:sz w:val="21"/>
                <w:szCs w:val="21"/>
              </w:rPr>
              <w:t xml:space="preserve">Email Address</w:t>
            </w:r>
          </w:p>
        </w:tc>
        <w:tc>
          <w:tcPr>
            <w:tcW w:type="dxa" w:w="5960"/>
            <w:tcMar>
              <w:top w:type="dxa" w:w="50"/>
              <w:left w:type="dxa" w:w="90"/>
              <w:bottom w:type="dxa" w:w="50"/>
              <w:right w:type="dxa" w:w="90"/>
            </w:tcMar>
          </w:tcPr>
          <w:p>
            <w:r>
              <w:rPr>
                <w:rFonts w:ascii="Times New Roman" w:cs="Times New Roman" w:eastAsia="Times New Roman" w:hAnsi="Times New Roman"/>
                <w:sz w:val="21"/>
                <w:szCs w:val="21"/>
              </w:rPr>
              <w:t xml:space="preserve">vanshjogani04@gmail.com</w:t>
            </w:r>
          </w:p>
        </w:tc>
      </w:tr>
    </w:tbl>
    <w:p>
      <w:pPr>
        <w:spacing w:after="80" w:before="160"/>
      </w:pPr>
      <w:r>
        <w:rPr>
          <w:rFonts w:ascii="Times New Roman" w:cs="Times New Roman" w:eastAsia="Times New Roman" w:hAnsi="Times New Roman"/>
          <w:b/>
          <w:bCs/>
          <w:color w:val="1F3B73"/>
          <w:sz w:val="23"/>
          <w:szCs w:val="23"/>
        </w:rPr>
        <w:t xml:space="preserve">Project Details</w:t>
      </w:r>
    </w:p>
    <w:tbl>
      <w:tblPr>
        <w:tblW w:type="dxa" w:w="9360"/>
        <w:tblBorders>
          <w:top w:val="single" w:color="C7D0E2" w:sz="2"/>
          <w:left w:val="single" w:color="C7D0E2" w:sz="2"/>
          <w:bottom w:val="single" w:color="C7D0E2" w:sz="2"/>
          <w:right w:val="single" w:color="C7D0E2" w:sz="2"/>
          <w:insideH w:val="single" w:color="C7D0E2" w:sz="2"/>
          <w:insideV w:val="single" w:color="C7D0E2" w:sz="2"/>
        </w:tblBorders>
      </w:tblPr>
      <w:tblGrid>
        <w:gridCol w:w="3400"/>
        <w:gridCol w:w="5960"/>
      </w:tblGrid>
      <w:tr>
        <w:tc>
          <w:tcPr>
            <w:tcW w:type="dxa" w:w="3400"/>
            <w:shd w:fill="EEF2FA" w:val="clear"/>
            <w:tcMar>
              <w:top w:type="dxa" w:w="50"/>
              <w:left w:type="dxa" w:w="90"/>
              <w:bottom w:type="dxa" w:w="50"/>
              <w:right w:type="dxa" w:w="90"/>
            </w:tcMar>
          </w:tcPr>
          <w:p>
            <w:r>
              <w:rPr>
                <w:rFonts w:ascii="Times New Roman" w:cs="Times New Roman" w:eastAsia="Times New Roman" w:hAnsi="Times New Roman"/>
                <w:b/>
                <w:bCs/>
                <w:sz w:val="21"/>
                <w:szCs w:val="21"/>
              </w:rPr>
              <w:t xml:space="preserve">Project Title</w:t>
            </w:r>
          </w:p>
        </w:tc>
        <w:tc>
          <w:tcPr>
            <w:tcW w:type="dxa" w:w="5960"/>
            <w:tcMar>
              <w:top w:type="dxa" w:w="50"/>
              <w:left w:type="dxa" w:w="90"/>
              <w:bottom w:type="dxa" w:w="50"/>
              <w:right w:type="dxa" w:w="90"/>
            </w:tcMar>
          </w:tcPr>
          <w:p>
            <w:r>
              <w:rPr>
                <w:rFonts w:ascii="Times New Roman" w:cs="Times New Roman" w:eastAsia="Times New Roman" w:hAnsi="Times New Roman"/>
                <w:sz w:val="21"/>
                <w:szCs w:val="21"/>
              </w:rPr>
              <w:t xml:space="preserve">Enterprise-Scale Intelligent PDF Parsing and Structured Data Extraction System for Pharmaceutical Research Documents using AWS</w:t>
            </w:r>
          </w:p>
        </w:tc>
      </w:tr>
      <w:tr>
        <w:tc>
          <w:tcPr>
            <w:tcW w:type="dxa" w:w="3400"/>
            <w:shd w:fill="EEF2FA" w:val="clear"/>
            <w:tcMar>
              <w:top w:type="dxa" w:w="50"/>
              <w:left w:type="dxa" w:w="90"/>
              <w:bottom w:type="dxa" w:w="50"/>
              <w:right w:type="dxa" w:w="90"/>
            </w:tcMar>
          </w:tcPr>
          <w:p>
            <w:r>
              <w:rPr>
                <w:rFonts w:ascii="Times New Roman" w:cs="Times New Roman" w:eastAsia="Times New Roman" w:hAnsi="Times New Roman"/>
                <w:b/>
                <w:bCs/>
                <w:sz w:val="21"/>
                <w:szCs w:val="21"/>
              </w:rPr>
              <w:t xml:space="preserve">Project Duration</w:t>
            </w:r>
          </w:p>
        </w:tc>
        <w:tc>
          <w:tcPr>
            <w:tcW w:type="dxa" w:w="5960"/>
            <w:tcMar>
              <w:top w:type="dxa" w:w="50"/>
              <w:left w:type="dxa" w:w="90"/>
              <w:bottom w:type="dxa" w:w="50"/>
              <w:right w:type="dxa" w:w="90"/>
            </w:tcMar>
          </w:tcPr>
          <w:p>
            <w:r>
              <w:rPr>
                <w:rFonts w:ascii="Times New Roman" w:cs="Times New Roman" w:eastAsia="Times New Roman" w:hAnsi="Times New Roman"/>
                <w:sz w:val="21"/>
                <w:szCs w:val="21"/>
              </w:rPr>
              <w:t xml:space="preserve">16 January 2026 – 15 July 2026</w:t>
            </w:r>
          </w:p>
        </w:tc>
      </w:tr>
      <w:tr>
        <w:tc>
          <w:tcPr>
            <w:tcW w:type="dxa" w:w="3400"/>
            <w:shd w:fill="EEF2FA" w:val="clear"/>
            <w:tcMar>
              <w:top w:type="dxa" w:w="50"/>
              <w:left w:type="dxa" w:w="90"/>
              <w:bottom w:type="dxa" w:w="50"/>
              <w:right w:type="dxa" w:w="90"/>
            </w:tcMar>
          </w:tcPr>
          <w:p>
            <w:r>
              <w:rPr>
                <w:rFonts w:ascii="Times New Roman" w:cs="Times New Roman" w:eastAsia="Times New Roman" w:hAnsi="Times New Roman"/>
                <w:b/>
                <w:bCs/>
                <w:sz w:val="21"/>
                <w:szCs w:val="21"/>
              </w:rPr>
              <w:t xml:space="preserve">Date of Reporting</w:t>
            </w:r>
          </w:p>
        </w:tc>
        <w:tc>
          <w:tcPr>
            <w:tcW w:type="dxa" w:w="5960"/>
            <w:tcMar>
              <w:top w:type="dxa" w:w="50"/>
              <w:left w:type="dxa" w:w="90"/>
              <w:bottom w:type="dxa" w:w="50"/>
              <w:right w:type="dxa" w:w="90"/>
            </w:tcMar>
          </w:tcPr>
          <w:p>
            <w:r>
              <w:rPr>
                <w:rFonts w:ascii="Times New Roman" w:cs="Times New Roman" w:eastAsia="Times New Roman" w:hAnsi="Times New Roman"/>
                <w:sz w:val="21"/>
                <w:szCs w:val="21"/>
              </w:rPr>
              <w:t xml:space="preserve">16 January 2026</w:t>
            </w:r>
          </w:p>
        </w:tc>
      </w:tr>
    </w:tbl>
    <w:p>
      <w:pPr>
        <w:spacing w:after="80" w:before="160"/>
      </w:pPr>
      <w:r>
        <w:rPr>
          <w:rFonts w:ascii="Times New Roman" w:cs="Times New Roman" w:eastAsia="Times New Roman" w:hAnsi="Times New Roman"/>
          <w:b/>
          <w:bCs/>
          <w:color w:val="1F3B73"/>
          <w:sz w:val="23"/>
          <w:szCs w:val="23"/>
        </w:rPr>
        <w:t xml:space="preserve">Organization Details</w:t>
      </w:r>
    </w:p>
    <w:tbl>
      <w:tblPr>
        <w:tblW w:type="dxa" w:w="9360"/>
        <w:tblBorders>
          <w:top w:val="single" w:color="C7D0E2" w:sz="2"/>
          <w:left w:val="single" w:color="C7D0E2" w:sz="2"/>
          <w:bottom w:val="single" w:color="C7D0E2" w:sz="2"/>
          <w:right w:val="single" w:color="C7D0E2" w:sz="2"/>
          <w:insideH w:val="single" w:color="C7D0E2" w:sz="2"/>
          <w:insideV w:val="single" w:color="C7D0E2" w:sz="2"/>
        </w:tblBorders>
      </w:tblPr>
      <w:tblGrid>
        <w:gridCol w:w="3400"/>
        <w:gridCol w:w="5960"/>
      </w:tblGrid>
      <w:tr>
        <w:tc>
          <w:tcPr>
            <w:tcW w:type="dxa" w:w="3400"/>
            <w:shd w:fill="EEF2FA" w:val="clear"/>
            <w:tcMar>
              <w:top w:type="dxa" w:w="50"/>
              <w:left w:type="dxa" w:w="90"/>
              <w:bottom w:type="dxa" w:w="50"/>
              <w:right w:type="dxa" w:w="90"/>
            </w:tcMar>
          </w:tcPr>
          <w:p>
            <w:r>
              <w:rPr>
                <w:rFonts w:ascii="Times New Roman" w:cs="Times New Roman" w:eastAsia="Times New Roman" w:hAnsi="Times New Roman"/>
                <w:b/>
                <w:bCs/>
                <w:sz w:val="21"/>
                <w:szCs w:val="21"/>
              </w:rPr>
              <w:t xml:space="preserve">Organization Name</w:t>
            </w:r>
          </w:p>
        </w:tc>
        <w:tc>
          <w:tcPr>
            <w:tcW w:type="dxa" w:w="5960"/>
            <w:tcMar>
              <w:top w:type="dxa" w:w="50"/>
              <w:left w:type="dxa" w:w="90"/>
              <w:bottom w:type="dxa" w:w="50"/>
              <w:right w:type="dxa" w:w="90"/>
            </w:tcMar>
          </w:tcPr>
          <w:p>
            <w:r>
              <w:rPr>
                <w:rFonts w:ascii="Times New Roman" w:cs="Times New Roman" w:eastAsia="Times New Roman" w:hAnsi="Times New Roman"/>
                <w:sz w:val="21"/>
                <w:szCs w:val="21"/>
              </w:rPr>
              <w:t xml:space="preserve">Eli Lilly and Company</w:t>
            </w:r>
          </w:p>
        </w:tc>
      </w:tr>
      <w:tr>
        <w:tc>
          <w:tcPr>
            <w:tcW w:type="dxa" w:w="3400"/>
            <w:shd w:fill="EEF2FA" w:val="clear"/>
            <w:tcMar>
              <w:top w:type="dxa" w:w="50"/>
              <w:left w:type="dxa" w:w="90"/>
              <w:bottom w:type="dxa" w:w="50"/>
              <w:right w:type="dxa" w:w="90"/>
            </w:tcMar>
          </w:tcPr>
          <w:p>
            <w:r>
              <w:rPr>
                <w:rFonts w:ascii="Times New Roman" w:cs="Times New Roman" w:eastAsia="Times New Roman" w:hAnsi="Times New Roman"/>
                <w:b/>
                <w:bCs/>
                <w:sz w:val="21"/>
                <w:szCs w:val="21"/>
              </w:rPr>
              <w:t xml:space="preserve">Address</w:t>
            </w:r>
          </w:p>
        </w:tc>
        <w:tc>
          <w:tcPr>
            <w:tcW w:type="dxa" w:w="5960"/>
            <w:tcMar>
              <w:top w:type="dxa" w:w="50"/>
              <w:left w:type="dxa" w:w="90"/>
              <w:bottom w:type="dxa" w:w="50"/>
              <w:right w:type="dxa" w:w="90"/>
            </w:tcMar>
          </w:tcPr>
          <w:p>
            <w:r>
              <w:rPr>
                <w:rFonts w:ascii="Times New Roman" w:cs="Times New Roman" w:eastAsia="Times New Roman" w:hAnsi="Times New Roman"/>
                <w:sz w:val="21"/>
                <w:szCs w:val="21"/>
              </w:rPr>
              <w:t xml:space="preserve">Hyderabad, Telangana, India</w:t>
            </w:r>
          </w:p>
        </w:tc>
      </w:tr>
      <w:tr>
        <w:tc>
          <w:tcPr>
            <w:tcW w:type="dxa" w:w="3400"/>
            <w:shd w:fill="EEF2FA" w:val="clear"/>
            <w:tcMar>
              <w:top w:type="dxa" w:w="50"/>
              <w:left w:type="dxa" w:w="90"/>
              <w:bottom w:type="dxa" w:w="50"/>
              <w:right w:type="dxa" w:w="90"/>
            </w:tcMar>
          </w:tcPr>
          <w:p>
            <w:r>
              <w:rPr>
                <w:rFonts w:ascii="Times New Roman" w:cs="Times New Roman" w:eastAsia="Times New Roman" w:hAnsi="Times New Roman"/>
                <w:b/>
                <w:bCs/>
                <w:sz w:val="21"/>
                <w:szCs w:val="21"/>
              </w:rPr>
              <w:t xml:space="preserve">Team</w:t>
            </w:r>
          </w:p>
        </w:tc>
        <w:tc>
          <w:tcPr>
            <w:tcW w:type="dxa" w:w="5960"/>
            <w:tcMar>
              <w:top w:type="dxa" w:w="50"/>
              <w:left w:type="dxa" w:w="90"/>
              <w:bottom w:type="dxa" w:w="50"/>
              <w:right w:type="dxa" w:w="90"/>
            </w:tcMar>
          </w:tcPr>
          <w:p>
            <w:r>
              <w:rPr>
                <w:rFonts w:ascii="Times New Roman" w:cs="Times New Roman" w:eastAsia="Times New Roman" w:hAnsi="Times New Roman"/>
                <w:sz w:val="21"/>
                <w:szCs w:val="21"/>
              </w:rPr>
              <w:t xml:space="preserve">Enterprise Data – Data Delivery</w:t>
            </w:r>
          </w:p>
        </w:tc>
      </w:tr>
    </w:tbl>
    <w:p>
      <w:pPr>
        <w:spacing w:after="80" w:before="160"/>
      </w:pPr>
      <w:r>
        <w:rPr>
          <w:rFonts w:ascii="Times New Roman" w:cs="Times New Roman" w:eastAsia="Times New Roman" w:hAnsi="Times New Roman"/>
          <w:b/>
          <w:bCs/>
          <w:color w:val="1F3B73"/>
          <w:sz w:val="23"/>
          <w:szCs w:val="23"/>
        </w:rPr>
        <w:t xml:space="preserve">Supervisor / External Guide</w:t>
      </w:r>
    </w:p>
    <w:tbl>
      <w:tblPr>
        <w:tblW w:type="dxa" w:w="9360"/>
        <w:tblBorders>
          <w:top w:val="single" w:color="C7D0E2" w:sz="2"/>
          <w:left w:val="single" w:color="C7D0E2" w:sz="2"/>
          <w:bottom w:val="single" w:color="C7D0E2" w:sz="2"/>
          <w:right w:val="single" w:color="C7D0E2" w:sz="2"/>
          <w:insideH w:val="single" w:color="C7D0E2" w:sz="2"/>
          <w:insideV w:val="single" w:color="C7D0E2" w:sz="2"/>
        </w:tblBorders>
      </w:tblPr>
      <w:tblGrid>
        <w:gridCol w:w="3400"/>
        <w:gridCol w:w="5960"/>
      </w:tblGrid>
      <w:tr>
        <w:tc>
          <w:tcPr>
            <w:tcW w:type="dxa" w:w="3400"/>
            <w:shd w:fill="EEF2FA" w:val="clear"/>
            <w:tcMar>
              <w:top w:type="dxa" w:w="50"/>
              <w:left w:type="dxa" w:w="90"/>
              <w:bottom w:type="dxa" w:w="50"/>
              <w:right w:type="dxa" w:w="90"/>
            </w:tcMar>
          </w:tcPr>
          <w:p>
            <w:r>
              <w:rPr>
                <w:rFonts w:ascii="Times New Roman" w:cs="Times New Roman" w:eastAsia="Times New Roman" w:hAnsi="Times New Roman"/>
                <w:b/>
                <w:bCs/>
                <w:sz w:val="21"/>
                <w:szCs w:val="21"/>
              </w:rPr>
              <w:t xml:space="preserve">Name</w:t>
            </w:r>
          </w:p>
        </w:tc>
        <w:tc>
          <w:tcPr>
            <w:tcW w:type="dxa" w:w="5960"/>
            <w:tcMar>
              <w:top w:type="dxa" w:w="50"/>
              <w:left w:type="dxa" w:w="90"/>
              <w:bottom w:type="dxa" w:w="50"/>
              <w:right w:type="dxa" w:w="90"/>
            </w:tcMar>
          </w:tcPr>
          <w:p>
            <w:r>
              <w:rPr>
                <w:rFonts w:ascii="Times New Roman" w:cs="Times New Roman" w:eastAsia="Times New Roman" w:hAnsi="Times New Roman"/>
                <w:sz w:val="21"/>
                <w:szCs w:val="21"/>
              </w:rPr>
              <w:t xml:space="preserve">Neha Agrawal</w:t>
            </w:r>
          </w:p>
        </w:tc>
      </w:tr>
      <w:tr>
        <w:tc>
          <w:tcPr>
            <w:tcW w:type="dxa" w:w="3400"/>
            <w:shd w:fill="EEF2FA" w:val="clear"/>
            <w:tcMar>
              <w:top w:type="dxa" w:w="50"/>
              <w:left w:type="dxa" w:w="90"/>
              <w:bottom w:type="dxa" w:w="50"/>
              <w:right w:type="dxa" w:w="90"/>
            </w:tcMar>
          </w:tcPr>
          <w:p>
            <w:r>
              <w:rPr>
                <w:rFonts w:ascii="Times New Roman" w:cs="Times New Roman" w:eastAsia="Times New Roman" w:hAnsi="Times New Roman"/>
                <w:b/>
                <w:bCs/>
                <w:sz w:val="21"/>
                <w:szCs w:val="21"/>
              </w:rPr>
              <w:t xml:space="preserve">Designation</w:t>
            </w:r>
          </w:p>
        </w:tc>
        <w:tc>
          <w:tcPr>
            <w:tcW w:type="dxa" w:w="5960"/>
            <w:tcMar>
              <w:top w:type="dxa" w:w="50"/>
              <w:left w:type="dxa" w:w="90"/>
              <w:bottom w:type="dxa" w:w="50"/>
              <w:right w:type="dxa" w:w="90"/>
            </w:tcMar>
          </w:tcPr>
          <w:p>
            <w:r>
              <w:rPr>
                <w:rFonts w:ascii="Times New Roman" w:cs="Times New Roman" w:eastAsia="Times New Roman" w:hAnsi="Times New Roman"/>
                <w:sz w:val="21"/>
                <w:szCs w:val="21"/>
              </w:rPr>
              <w:t xml:space="preserve">Manager – Data Delivery, Enterprise Data</w:t>
            </w:r>
          </w:p>
        </w:tc>
      </w:tr>
    </w:tbl>
    <w:p>
      <w:pPr>
        <w:spacing w:after="80" w:before="160"/>
      </w:pPr>
      <w:r>
        <w:rPr>
          <w:rFonts w:ascii="Times New Roman" w:cs="Times New Roman" w:eastAsia="Times New Roman" w:hAnsi="Times New Roman"/>
          <w:b/>
          <w:bCs/>
          <w:color w:val="1F3B73"/>
          <w:sz w:val="23"/>
          <w:szCs w:val="23"/>
        </w:rPr>
        <w:t xml:space="preserve">Internal Guide</w:t>
      </w:r>
    </w:p>
    <w:tbl>
      <w:tblPr>
        <w:tblW w:type="dxa" w:w="9360"/>
        <w:tblBorders>
          <w:top w:val="single" w:color="C7D0E2" w:sz="2"/>
          <w:left w:val="single" w:color="C7D0E2" w:sz="2"/>
          <w:bottom w:val="single" w:color="C7D0E2" w:sz="2"/>
          <w:right w:val="single" w:color="C7D0E2" w:sz="2"/>
          <w:insideH w:val="single" w:color="C7D0E2" w:sz="2"/>
          <w:insideV w:val="single" w:color="C7D0E2" w:sz="2"/>
        </w:tblBorders>
      </w:tblPr>
      <w:tblGrid>
        <w:gridCol w:w="3400"/>
        <w:gridCol w:w="5960"/>
      </w:tblGrid>
      <w:tr>
        <w:tc>
          <w:tcPr>
            <w:tcW w:type="dxa" w:w="3400"/>
            <w:shd w:fill="EEF2FA" w:val="clear"/>
            <w:tcMar>
              <w:top w:type="dxa" w:w="50"/>
              <w:left w:type="dxa" w:w="90"/>
              <w:bottom w:type="dxa" w:w="50"/>
              <w:right w:type="dxa" w:w="90"/>
            </w:tcMar>
          </w:tcPr>
          <w:p>
            <w:r>
              <w:rPr>
                <w:rFonts w:ascii="Times New Roman" w:cs="Times New Roman" w:eastAsia="Times New Roman" w:hAnsi="Times New Roman"/>
                <w:b/>
                <w:bCs/>
                <w:sz w:val="21"/>
                <w:szCs w:val="21"/>
              </w:rPr>
              <w:t xml:space="preserve">Name</w:t>
            </w:r>
          </w:p>
        </w:tc>
        <w:tc>
          <w:tcPr>
            <w:tcW w:type="dxa" w:w="5960"/>
            <w:tcMar>
              <w:top w:type="dxa" w:w="50"/>
              <w:left w:type="dxa" w:w="90"/>
              <w:bottom w:type="dxa" w:w="50"/>
              <w:right w:type="dxa" w:w="90"/>
            </w:tcMar>
          </w:tcPr>
          <w:p>
            <w:r>
              <w:rPr>
                <w:rFonts w:ascii="Times New Roman" w:cs="Times New Roman" w:eastAsia="Times New Roman" w:hAnsi="Times New Roman"/>
                <w:sz w:val="21"/>
                <w:szCs w:val="21"/>
              </w:rPr>
              <w:t xml:space="preserve">Ms. Chithra K</w:t>
            </w:r>
          </w:p>
        </w:tc>
      </w:tr>
      <w:tr>
        <w:tc>
          <w:tcPr>
            <w:tcW w:type="dxa" w:w="3400"/>
            <w:shd w:fill="EEF2FA" w:val="clear"/>
            <w:tcMar>
              <w:top w:type="dxa" w:w="50"/>
              <w:left w:type="dxa" w:w="90"/>
              <w:bottom w:type="dxa" w:w="50"/>
              <w:right w:type="dxa" w:w="90"/>
            </w:tcMar>
          </w:tcPr>
          <w:p>
            <w:r>
              <w:rPr>
                <w:rFonts w:ascii="Times New Roman" w:cs="Times New Roman" w:eastAsia="Times New Roman" w:hAnsi="Times New Roman"/>
                <w:b/>
                <w:bCs/>
                <w:sz w:val="21"/>
                <w:szCs w:val="21"/>
              </w:rPr>
              <w:t xml:space="preserve">Designation</w:t>
            </w:r>
          </w:p>
        </w:tc>
        <w:tc>
          <w:tcPr>
            <w:tcW w:type="dxa" w:w="5960"/>
            <w:tcMar>
              <w:top w:type="dxa" w:w="50"/>
              <w:left w:type="dxa" w:w="90"/>
              <w:bottom w:type="dxa" w:w="50"/>
              <w:right w:type="dxa" w:w="90"/>
            </w:tcMar>
          </w:tcPr>
          <w:p>
            <w:r>
              <w:rPr>
                <w:rFonts w:ascii="Times New Roman" w:cs="Times New Roman" w:eastAsia="Times New Roman" w:hAnsi="Times New Roman"/>
                <w:sz w:val="21"/>
                <w:szCs w:val="21"/>
              </w:rPr>
              <w:t xml:space="preserve">Assistant Professor, School of Computer Engineering, MIT Manipal</w:t>
            </w:r>
          </w:p>
        </w:tc>
      </w:tr>
    </w:tbl>
    <w:p>
      <w:pPr>
        <w:pageBreakBefore/>
        <w:spacing w:after="260" w:before="200"/>
        <w:jc w:val="center"/>
      </w:pPr>
      <w:r>
        <w:rPr>
          <w:rFonts w:ascii="Times New Roman" w:cs="Times New Roman" w:eastAsia="Times New Roman" w:hAnsi="Times New Roman"/>
          <w:b/>
          <w:bCs/>
          <w:sz w:val="28"/>
          <w:szCs w:val="28"/>
        </w:rPr>
        <w:t xml:space="preserve">PROJECT / INTERNSHIP OFFER LETTER</w:t>
      </w:r>
    </w:p>
    <w:p>
      <w:pPr>
        <w:spacing w:after="160" w:before="0" w:line="360" w:lineRule="auto"/>
        <w:jc w:val="both"/>
      </w:pPr>
      <w:r>
        <w:rPr>
          <w:rFonts w:ascii="Times New Roman" w:cs="Times New Roman" w:eastAsia="Times New Roman" w:hAnsi="Times New Roman"/>
          <w:i/>
          <w:iCs/>
          <w:color w:val="666666"/>
          <w:sz w:val="24"/>
          <w:szCs w:val="24"/>
        </w:rPr>
        <w:t xml:space="preserve">The internship offer letter issued by Eli Lilly and Company is to be inserted here.</w:t>
      </w:r>
    </w:p>
    <w:p>
      <w:pPr>
        <w:spacing w:after="160" w:before="0" w:line="360" w:lineRule="auto"/>
        <w:jc w:val="center"/>
      </w:pPr>
      <w:r>
        <w:rPr>
          <w:rFonts w:ascii="Times New Roman" w:cs="Times New Roman" w:eastAsia="Times New Roman" w:hAnsi="Times New Roman"/>
          <w:i/>
          <w:iCs/>
          <w:color w:val="999999"/>
          <w:sz w:val="24"/>
          <w:szCs w:val="24"/>
        </w:rPr>
        <w:t xml:space="preserve">[ Placeholder — offer letter to be appended. ]</w:t>
      </w:r>
    </w:p>
    <w:sectPr>
      <w:footerReference w:type="default" r:id="rId9"/>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sz w:val="24"/>
        <w:szCs w:val="24"/>
      </w:rP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1F3B73"/>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1F3B73"/>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color w:val="2F3B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jc0fimj6bskjtfzikt66t" Type="http://schemas.openxmlformats.org/officeDocument/2006/relationships/hyperlink" Target="https://docs.aws.amazon.com/textract/" TargetMode="External"/><Relationship Id="rIduqxqmcqb7qq29lkmuvuzg" Type="http://schemas.openxmlformats.org/officeDocument/2006/relationships/hyperlink" Target="https://docs.aws.amazon.com/lambda/" TargetMode="External"/><Relationship Id="rIdvacjp3e9h2yx4xzuydkal" Type="http://schemas.openxmlformats.org/officeDocument/2006/relationships/hyperlink" Target="https://docs.aws.amazon.com/glue/" TargetMode="External"/><Relationship Id="rIdiw5i3xabxwhfntioz-8cj" Type="http://schemas.openxmlformats.org/officeDocument/2006/relationships/hyperlink" Target="https://docs.aws.amazon.com/serverless-application-model/" TargetMode="External"/><Relationship Id="rIdj0tpxemx57cohmn948k1k" Type="http://schemas.openxmlformats.org/officeDocument/2006/relationships/hyperlink" Target="https://docs.anthropic.com/" TargetMode="External"/><Relationship Id="rIdo9bcxk6rzpvryqtvrw8hp" Type="http://schemas.openxmlformats.org/officeDocument/2006/relationships/hyperlink" Target="https://dlthub.com/docs" TargetMode="External"/><Relationship Id="rIdg_xpp8az28uf0mgjgzfi5" Type="http://schemas.openxmlformats.org/officeDocument/2006/relationships/hyperlink" Target="https://github.com/DS4SD/docling" TargetMode="External"/><Relationship Id="rId6vs5xdpkq9rl2tmh9abh2" Type="http://schemas.openxmlformats.org/officeDocument/2006/relationships/hyperlink" Target="https://docs.github.com/actions" TargetMode="External"/><Relationship Id="rIdbzy-fvlf4v3mas3cyo43m" Type="http://schemas.openxmlformats.org/officeDocument/2006/relationships/hyperlink" Target="https://spark.apache.org/docs/latest/" TargetMode="External"/><Relationship Id="rId48012eprggpwgq9h8qglu" Type="http://schemas.openxmlformats.org/officeDocument/2006/relationships/hyperlink" Target="https://www.sqlite.org/docs.html" TargetMode="External"/><Relationship Id="rIdmw1_uk5qhfkzuryeq_lpj" Type="http://schemas.openxmlformats.org/officeDocument/2006/relationships/hyperlink" Target="https://d3js.org/" TargetMode="External"/><Relationship Id="rId10" Type="http://schemas.openxmlformats.org/officeDocument/2006/relationships/image" Target="media/e78811ac4ca90fd3a59dff63377fa9da749f2415.png"/><Relationship Id="rId11" Type="http://schemas.openxmlformats.org/officeDocument/2006/relationships/image" Target="media/480e79c5334a7935ad975d17581d62cbbfb0537e.png"/><Relationship Id="rId12" Type="http://schemas.openxmlformats.org/officeDocument/2006/relationships/image" Target="media/7086ac2b9b75ad362eae5a7a03689acb4a6a2e45.png"/><Relationship Id="rId13" Type="http://schemas.openxmlformats.org/officeDocument/2006/relationships/image" Target="media/b3c664ba1ec6507181450337a305b5ceb16ffced.png"/><Relationship Id="rId14" Type="http://schemas.openxmlformats.org/officeDocument/2006/relationships/image" Target="media/87fc73c4164f20e3e0581bcc2eea7285566db11e.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Enterprise-Scale Intelligent PDF Parsing and Structured Data Extraction System for Pharmaceutical Research Documents using AWS</dc:title>
  <dc:creator>Vansh Amit Jogani</dc:creator>
  <cp:lastModifiedBy>Un-named</cp:lastModifiedBy>
  <cp:revision>1</cp:revision>
  <dcterms:created xsi:type="dcterms:W3CDTF">2026-07-01T20:31:08.070Z</dcterms:created>
  <dcterms:modified xsi:type="dcterms:W3CDTF">2026-07-01T20:31:08.070Z</dcterms:modified>
</cp:coreProperties>
</file>

<file path=docProps/custom.xml><?xml version="1.0" encoding="utf-8"?>
<Properties xmlns="http://schemas.openxmlformats.org/officeDocument/2006/custom-properties" xmlns:vt="http://schemas.openxmlformats.org/officeDocument/2006/docPropsVTypes"/>
</file>