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VIREO AUDIO — REFUND REVIEW MEMO</w:t>
      </w:r>
    </w:p>
    <w:p>
      <w:r>
        <w:rPr>
          <w:b/>
        </w:rPr>
        <w:t xml:space="preserve">To: </w:t>
      </w:r>
      <w:r>
        <w:t xml:space="preserve">Arjun Mehta, Finance Controller   </w:t>
      </w:r>
      <w:r>
        <w:rPr>
          <w:b/>
        </w:rPr>
        <w:t xml:space="preserve">Date: </w:t>
      </w:r>
      <w:r>
        <w:t>4 October 2026</w:t>
      </w:r>
    </w:p>
    <w:p>
      <w:r>
        <w:rPr>
          <w:b/>
        </w:rPr>
        <w:t xml:space="preserve">Subject: </w:t>
      </w:r>
      <w:r>
        <w:t>Refund reconciliation, drivers and immediate leakage control</w:t>
      </w:r>
    </w:p>
    <w:p>
      <w:r>
        <w:rPr>
          <w:b/>
        </w:rPr>
        <w:t>Bottom line</w:t>
      </w:r>
    </w:p>
    <w:p>
      <w:pPr>
        <w:spacing w:after="60"/>
      </w:pPr>
      <w:r>
        <w:t>The export is overstating refunds. After correcting the legacy Freshdesk monetary unit and removing migration re-import duplicates, the 18-month file contains Rs 67.10 lakh of refunds across 2,340 refund tickets. Q2 2026 is Rs 12.80 lakh, much closer to the helpdesk estimate of roughly Rs 11 lakh/quarter than the raw Finance export.</w:t>
      </w:r>
    </w:p>
    <w:p>
      <w:r>
        <w:rPr>
          <w:b/>
        </w:rPr>
        <w:t>What is driving the money</w:t>
      </w:r>
    </w:p>
    <w:p>
      <w:pPr>
        <w:spacing w:after="60"/>
      </w:pPr>
      <w:r>
        <w:t>GW-OTHER is the largest refund reason at Rs 29.07 lakh (43.3% of refund value). This should not automatically be treated as agent misconduct: the CX team explicitly changed frontline behaviour to reduce arguments, with higher refunds accepted in exchange for higher CSAT. Agent tables therefore separate volume from exception behaviour. Tier 2 is not ranked against Tier 1 on volume.</w:t>
      </w:r>
    </w:p>
    <w:p>
      <w:r>
        <w:rPr>
          <w:b/>
        </w:rPr>
        <w:t>Recommended target</w:t>
      </w:r>
    </w:p>
    <w:p>
      <w:pPr>
        <w:spacing w:after="60"/>
      </w:pPr>
      <w:r>
        <w:t>Reduce refund+replacement exceptions from 7.1% to 2.0% within one quarter. Using the average quarterly refund value for Q1–Q2 2026, that is approximately Rs 64,650 per quarter / Rs 2.59 lakh annualised of avoidable refund leakage, if prevented refunds are fully recoverable.</w:t>
      </w:r>
    </w:p>
    <w:p>
      <w:r>
        <w:rPr>
          <w:b/>
        </w:rPr>
        <w:t>Actions</w:t>
      </w:r>
    </w:p>
    <w:p>
      <w:pPr>
        <w:spacing w:after="60"/>
      </w:pPr>
      <w:r>
        <w:t>1) Add a hard stop before refund approval when replacement_issued = Y. 2) Require Team Lead review for exceptions and report the rate weekly by agent/team. 3) Keep goodwill refunds visible as a separate management choice. 4) Use the monthly reason/agent tables in the board pack; use the AI reviewer only to flag tickets for human review, not to calculate money.</w:t>
      </w:r>
    </w:p>
    <w:p>
      <w:r>
        <w:rPr>
          <w:b/>
        </w:rPr>
        <w:t>Confidence</w:t>
      </w:r>
    </w:p>
    <w:p>
      <w:pPr>
        <w:spacing w:after="60"/>
      </w:pPr>
      <w:r>
        <w:t>High for the financial reconciliation and policy-exception count; moderate for the AI reason-code reviewer. The local reviewer achieved 54.0% held-out accuracy, so it is advisory only.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