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t>Student Name: Jane Doe</w:t>
      </w:r>
    </w:p>
    <w:p>
      <w:pPr>
        <w:spacing w:line="480" w:lineRule="auto"/>
      </w:pPr>
      <w:r>
        <w:t>Student ID: STU-2024-8891</w:t>
      </w:r>
    </w:p>
    <w:p>
      <w:pPr>
        <w:spacing w:line="480" w:lineRule="auto"/>
      </w:pPr>
      <w:r>
        <w:t>Course Code: CS-401</w:t>
      </w:r>
    </w:p>
    <w:p>
      <w:pPr>
        <w:spacing w:line="480" w:lineRule="auto"/>
      </w:pPr>
      <w:r>
        <w:t>Date: October 14, 2024</w:t>
      </w:r>
    </w:p>
    <w:p>
      <w:pPr>
        <w:spacing w:line="480" w:lineRule="auto"/>
        <w:jc w:val="center"/>
      </w:pPr>
      <w:r>
        <w:rPr>
          <w:b/>
        </w:rPr>
        <w:t>THE IMPACT OF ARTIFICIAL INTELLIGENCE ON AUTOMATED COMPLIANCE VERIFICATION</w:t>
      </w:r>
    </w:p>
    <w:p>
      <w:pPr>
        <w:pStyle w:val="Heading1"/>
        <w:spacing w:line="480" w:lineRule="auto"/>
        <w:jc w:val="center"/>
      </w:pPr>
      <w:r>
        <w:rPr>
          <w:rFonts w:ascii="Times New Roman" w:hAnsi="Times New Roman"/>
          <w:color w:val="000000"/>
          <w:sz w:val="24"/>
        </w:rPr>
        <w:t>Abstract</w:t>
      </w:r>
    </w:p>
    <w:p>
      <w:pPr>
        <w:spacing w:line="480" w:lineRule="auto"/>
      </w:pPr>
      <w:r>
        <w:rPr>
          <w:rFonts w:ascii="Times New Roman" w:hAnsi="Times New Roman"/>
          <w:sz w:val="24"/>
        </w:rPr>
        <w:t>This research paper investigates the efficacy of automated compliance verification frameworks within academic and professional evaluation workflows. As institutional submission rubrics grow increasingly complex, manual evaluation suffers from elevated error rates and grading inconsistencies. By deploying structural inspection algorithms alongside deterministic font geometry measurements, modern compliance engines achieve high reliability. This study reviews automated parsing architectures across 500 student submissions, demonstrating a 94 percent reduction in technical formatting penalties. The findings emphasize that automated pre-flight compliance checks empower researchers to eliminate preventable administrative marks deductions before final submission.</w:t>
      </w:r>
    </w:p>
    <w:p>
      <w:pPr>
        <w:pStyle w:val="Heading1"/>
        <w:spacing w:line="480" w:lineRule="auto"/>
        <w:jc w:val="center"/>
      </w:pPr>
      <w:r>
        <w:rPr>
          <w:rFonts w:ascii="Times New Roman" w:hAnsi="Times New Roman"/>
          <w:color w:val="000000"/>
          <w:sz w:val="24"/>
        </w:rPr>
        <w:t>Introduction</w:t>
      </w:r>
    </w:p>
    <w:p>
      <w:pPr>
        <w:spacing w:line="480" w:lineRule="auto"/>
      </w:pPr>
      <w:r>
        <w:rPr>
          <w:rFonts w:ascii="Times New Roman" w:hAnsi="Times New Roman"/>
          <w:sz w:val="24"/>
        </w:rPr>
        <w:t>Academic excellence requires adherence to scholarly conventions, formatting standards, and citation integrity. In contemporary higher education, students frequently lose substantial marks due to administrative non-compliance rather than substantive intellectual shortcomings (Smith, 2020). Previous investigations indicate that formatting guidelines such as 1-inch margins, consistent font hierarchies, and standardized citation styles cause significant student anxiety (Johnson &amp; Lee, 2021). This paper proposes a systematic approach to verifying submission integrity through automated auditing.</w:t>
      </w:r>
    </w:p>
    <w:p>
      <w:pPr>
        <w:pStyle w:val="Heading1"/>
        <w:spacing w:line="480" w:lineRule="auto"/>
        <w:jc w:val="center"/>
      </w:pPr>
      <w:r>
        <w:rPr>
          <w:rFonts w:ascii="Times New Roman" w:hAnsi="Times New Roman"/>
          <w:color w:val="000000"/>
          <w:sz w:val="24"/>
        </w:rPr>
        <w:t>Methodology</w:t>
      </w:r>
    </w:p>
    <w:p>
      <w:pPr>
        <w:spacing w:line="480" w:lineRule="auto"/>
      </w:pPr>
      <w:r>
        <w:rPr>
          <w:rFonts w:ascii="Times New Roman" w:hAnsi="Times New Roman"/>
          <w:sz w:val="24"/>
        </w:rPr>
        <w:t>To evaluate document compliance, we established a modular evaluation pipeline comprising document layout parsing, font geometry profiling, and citation graph validation. We examined 500 academic papers formatted under APA 7th Edition standards. Document geometry was extracted via bounding box analysis, while in-text citation instances were matched against terminal bibliographies using string distance metrics (Brown et al., 2022). Quantitative compliance scores were computed across five categories: typography, structural presence, citation fidelity, metadata presence, and lexical clarity.</w:t>
      </w:r>
    </w:p>
    <w:p>
      <w:pPr>
        <w:pStyle w:val="Heading1"/>
        <w:spacing w:line="480" w:lineRule="auto"/>
        <w:jc w:val="center"/>
      </w:pPr>
      <w:r>
        <w:rPr>
          <w:rFonts w:ascii="Times New Roman" w:hAnsi="Times New Roman"/>
          <w:color w:val="000000"/>
          <w:sz w:val="24"/>
        </w:rPr>
        <w:t>Results</w:t>
      </w:r>
    </w:p>
    <w:p>
      <w:pPr>
        <w:spacing w:line="480" w:lineRule="auto"/>
      </w:pPr>
      <w:r>
        <w:rPr>
          <w:rFonts w:ascii="Times New Roman" w:hAnsi="Times New Roman"/>
          <w:sz w:val="24"/>
        </w:rPr>
        <w:t>The experimental results demonstrate that automated inspection accurately identified 98.4 percent of formatting deviations and 100 percent of missing mandatory sections. Furthermore, citation cross-referencing successfully flagged orphaned citations and unreferenced bibliography entries (Davis, 2023). Overall, the intervention improved compliance adherence from 71.2 percent to 96.8 percent across consecutive assignment submissions.</w:t>
      </w:r>
    </w:p>
    <w:p>
      <w:pPr>
        <w:pStyle w:val="Heading1"/>
        <w:spacing w:line="480" w:lineRule="auto"/>
        <w:jc w:val="center"/>
      </w:pPr>
      <w:r>
        <w:rPr>
          <w:rFonts w:ascii="Times New Roman" w:hAnsi="Times New Roman"/>
          <w:color w:val="000000"/>
          <w:sz w:val="24"/>
        </w:rPr>
        <w:t>Discussion</w:t>
      </w:r>
    </w:p>
    <w:p>
      <w:pPr>
        <w:spacing w:line="480" w:lineRule="auto"/>
      </w:pPr>
      <w:r>
        <w:rPr>
          <w:rFonts w:ascii="Times New Roman" w:hAnsi="Times New Roman"/>
          <w:sz w:val="24"/>
        </w:rPr>
        <w:t>The analysis reveals that the primary drivers of compliance failure are inconsistent margin settings and mismatched in-text citations. When automated tools provide targeted feedback before final grading, students correct technical errors proactively. These results align with broader educational literature advocating for iterative submission workflows and formative diagnostic feedback mechanisms.</w:t>
      </w:r>
    </w:p>
    <w:p>
      <w:pPr>
        <w:pStyle w:val="Heading1"/>
        <w:spacing w:line="480" w:lineRule="auto"/>
        <w:jc w:val="center"/>
      </w:pPr>
      <w:r>
        <w:rPr>
          <w:rFonts w:ascii="Times New Roman" w:hAnsi="Times New Roman"/>
          <w:color w:val="000000"/>
          <w:sz w:val="24"/>
        </w:rPr>
        <w:t>Conclusion</w:t>
      </w:r>
    </w:p>
    <w:p>
      <w:pPr>
        <w:spacing w:line="480" w:lineRule="auto"/>
      </w:pPr>
      <w:r>
        <w:rPr>
          <w:rFonts w:ascii="Times New Roman" w:hAnsi="Times New Roman"/>
          <w:sz w:val="24"/>
        </w:rPr>
        <w:t>In conclusion, automated compliance verification tools significantly reduce preventable formatting penalties in student submissions. By offering deterministic layout measurement and citation cross-checking, the framework fosters greater academic rigor and preserves grading focus on intellectual quality. Future research will explore integration with modern Learning Management Systems.</w:t>
      </w:r>
    </w:p>
    <w:p>
      <w:pPr>
        <w:pStyle w:val="Heading1"/>
        <w:spacing w:line="480" w:lineRule="auto"/>
        <w:jc w:val="center"/>
      </w:pPr>
      <w:r>
        <w:rPr>
          <w:rFonts w:ascii="Times New Roman" w:hAnsi="Times New Roman"/>
          <w:color w:val="000000"/>
          <w:sz w:val="24"/>
        </w:rPr>
        <w:t>References</w:t>
      </w:r>
    </w:p>
    <w:p>
      <w:pPr>
        <w:spacing w:line="480" w:lineRule="auto"/>
      </w:pPr>
      <w:r>
        <w:rPr>
          <w:rFonts w:ascii="Times New Roman" w:hAnsi="Times New Roman"/>
          <w:sz w:val="24"/>
        </w:rPr>
        <w:t>Brown, T., Williams, C., &amp; Patel, K. (2022). Natural language processing for academic integrity. Journal of Educational Technology, 45(2), 112-128.</w:t>
      </w:r>
    </w:p>
    <w:p>
      <w:pPr>
        <w:spacing w:line="480" w:lineRule="auto"/>
      </w:pPr>
      <w:r>
        <w:rPr>
          <w:rFonts w:ascii="Times New Roman" w:hAnsi="Times New Roman"/>
          <w:sz w:val="24"/>
        </w:rPr>
        <w:t>Davis, M. (2023). Document geometry and automated layout verification. Digital Publishing Quarterly, 18(4), 205-221.</w:t>
      </w:r>
    </w:p>
    <w:p>
      <w:pPr>
        <w:spacing w:line="480" w:lineRule="auto"/>
      </w:pPr>
      <w:r>
        <w:rPr>
          <w:rFonts w:ascii="Times New Roman" w:hAnsi="Times New Roman"/>
          <w:sz w:val="24"/>
        </w:rPr>
        <w:t>Johnson, R., &amp; Lee, S. (2021). The cognitive load of submission guidelines in higher education. Higher Education Studies, 33(1), 45-59.</w:t>
      </w:r>
    </w:p>
    <w:p>
      <w:pPr>
        <w:spacing w:line="480" w:lineRule="auto"/>
      </w:pPr>
      <w:r>
        <w:rPr>
          <w:rFonts w:ascii="Times New Roman" w:hAnsi="Times New Roman"/>
          <w:sz w:val="24"/>
        </w:rPr>
        <w:t>Smith, A. (2020). Grading disparities and formatting compliance in university coursework. Academic Review, 29(3), 88-102.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