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rPr>
        <w:t xml:space="preserve">VOID CTF – WRITE-UP</w:t>
      </w:r>
    </w:p>
    <w:p>
      <w:pPr>
        <w:spacing w:after="200"/>
      </w:pPr>
      <w:r>
        <w:t xml:space="preserve">Name: Vansh Karnwal  |  Participation: Solo</w:t>
      </w:r>
    </w:p>
    <w:p>
      <w:pPr>
        <w:spacing w:after="300"/>
      </w:pPr>
      <w:r>
        <w:t xml:space="preserve">This document contains the challenges I solved during the VOID CTF and the steps I followed for each one.</w:t>
      </w:r>
    </w:p>
    <w:p>
      <w:pPr>
        <w:pStyle w:val="Heading1"/>
      </w:pPr>
      <w:r>
        <w:t xml:space="preserve">Challenge Name: Artifact-BC34</w:t>
      </w:r>
    </w:p>
    <w:p>
      <w:r>
        <w:rPr>
          <w:b/>
          <w:bCs/>
        </w:rPr>
        <w:t xml:space="preserve">Category: </w:t>
      </w:r>
      <w:r>
        <w:t xml:space="preserve">Forensics</w:t>
      </w:r>
    </w:p>
    <w:p>
      <w:pPr>
        <w:spacing w:after="200"/>
      </w:pPr>
      <w:r>
        <w:rPr>
          <w:b/>
          <w:bCs/>
        </w:rPr>
        <w:t xml:space="preserve">Approach Taken: </w:t>
      </w:r>
      <w:r>
        <w:t xml:space="preserve">I extracted the archive and found a single PNG file that image viewers refused to open. I parsed the PNG chunk by chunk and recomputed the CRC32 of every chunk. The image data chunks matched their stored CRC, but the IHDR chunk's stored CRC did not match its current bytes, confirming that its tag had been rewritten after sealing. I brute-forced each byte of the IHDR field against the stored CRC to find which byte had been altered, and found that the height value had been changed from the real height to a fake displayed value. I patched the height field back to the correct value and recalculated the IHDR CRC so it matched again, verifying correctness by confirming the decompressed image size matched the corrected dimensions. The corrected PNG then opened cleanly and displayed the flag.</w:t>
      </w:r>
    </w:p>
    <w:p>
      <w:pPr>
        <w:pStyle w:val="Heading1"/>
      </w:pPr>
      <w:r>
        <w:t xml:space="preserve">Challenge Name: left_behind</w:t>
      </w:r>
    </w:p>
    <w:p>
      <w:r>
        <w:rPr>
          <w:b/>
          <w:bCs/>
        </w:rPr>
        <w:t xml:space="preserve">Category: </w:t>
      </w:r>
      <w:r>
        <w:t xml:space="preserve">Forensics / Misc</w:t>
      </w:r>
    </w:p>
    <w:p>
      <w:pPr>
        <w:spacing w:after="200"/>
      </w:pPr>
      <w:r>
        <w:rPr>
          <w:b/>
          <w:bCs/>
        </w:rPr>
        <w:t xml:space="preserve">Approach Taken: </w:t>
      </w:r>
      <w:r>
        <w:t xml:space="preserve">I opened the capture file and ran a protocol hierarchy summary, which showed USB traffic rather than normal network packets, telling me this was a USB capture and not a typical pcap. I filtered on the USB HID data and noticed two distinct USB devices on the interrupt endpoint: one producing a large number of small relative-motion frames (a mouse, acting as noise or decoy) and one matching the classic boot-protocol keyboard report format. I decoded the keyboard device's keycodes using the standard USB HID usage table, applying the modifier byte for shift to recover capital letters and symbols. The decoded keystream included several backspace keycodes; replaying the keystrokes with backspace handling revealed a deliberate typo that was typed and then deleted, a red herring built into the capture. After applying all the backspaces, the final reconstructed string formed the flag.</w:t>
      </w:r>
    </w:p>
    <w:p>
      <w:pPr>
        <w:pStyle w:val="Heading1"/>
      </w:pPr>
      <w:r>
        <w:t xml:space="preserve">Challenge Name: Hangman</w:t>
      </w:r>
    </w:p>
    <w:p>
      <w:r>
        <w:rPr>
          <w:b/>
          <w:bCs/>
        </w:rPr>
        <w:t xml:space="preserve">Category: </w:t>
      </w:r>
      <w:r>
        <w:t xml:space="preserve">PWN</w:t>
      </w:r>
    </w:p>
    <w:p>
      <w:pPr>
        <w:spacing w:after="200"/>
      </w:pPr>
      <w:r>
        <w:rPr>
          <w:b/>
          <w:bCs/>
        </w:rPr>
        <w:t xml:space="preserve">Approach Taken: </w:t>
      </w:r>
      <w:r>
        <w:t xml:space="preserve">I analyzed the challenge binary and found a hidden function that called a shell-spawning function, gated behind an environment variable check that was never actually set. I found the real bug: a function that read more bytes than the destination buffer could hold, with no stack canary protecting it. I used GDB with a cyclic pattern to find the exact offset to the return address. My first attempt, simply overwriting the return address with the hidden function's address, crashed due to stack misalignment before the shell-spawning call's internal instructions executed. I fixed this by adding one extra return-gadget address before the final jump to re-align the stack. I then sent the payload to the remote server, obtained a shell, and read the flag file.</w:t>
      </w:r>
    </w:p>
    <w:p>
      <w:pPr>
        <w:pStyle w:val="Heading1"/>
      </w:pPr>
      <w:r>
        <w:t xml:space="preserve">Challenge Name: ThemChanges</w:t>
      </w:r>
    </w:p>
    <w:p>
      <w:r>
        <w:rPr>
          <w:b/>
          <w:bCs/>
        </w:rPr>
        <w:t xml:space="preserve">Category: </w:t>
      </w:r>
      <w:r>
        <w:t xml:space="preserve">Web</w:t>
      </w:r>
    </w:p>
    <w:p>
      <w:pPr>
        <w:spacing w:after="200"/>
      </w:pPr>
      <w:r>
        <w:rPr>
          <w:b/>
          <w:bCs/>
        </w:rPr>
        <w:t xml:space="preserve">Approach Taken: </w:t>
      </w:r>
      <w:r>
        <w:t xml:space="preserve">I identified the application as a research portal with login and registration endpoints. I tried common credentials, which worked and logged me in with an admin role; the session cookie revealed the role and user ID directly. After logging in, the dashboard showed a hidden navigation link that was only visible to admin-role users. I found that the registration endpoint blindly assigned the admin role to new accounts (a mass assignment vulnerability), and that the hidden page was only gated by role, with no further access control (an IDOR). Accessing that page directly returned the flag.</w:t>
      </w:r>
    </w:p>
    <w:p>
      <w:pPr>
        <w:pStyle w:val="Heading1"/>
      </w:pPr>
      <w:r>
        <w:t xml:space="preserve">Challenge Name: A Sealed Record</w:t>
      </w:r>
    </w:p>
    <w:p>
      <w:r>
        <w:rPr>
          <w:b/>
          <w:bCs/>
        </w:rPr>
        <w:t xml:space="preserve">Category: </w:t>
      </w:r>
      <w:r>
        <w:t xml:space="preserve">Cryptography</w:t>
      </w:r>
    </w:p>
    <w:p>
      <w:pPr>
        <w:spacing w:after="200"/>
      </w:pPr>
      <w:r>
        <w:rPr>
          <w:b/>
          <w:bCs/>
        </w:rPr>
        <w:t xml:space="preserve">Approach Taken: </w:t>
      </w:r>
      <w:r>
        <w:t xml:space="preserve">The archive contained thousands of small text files, each holding a flag-like string, so grepping for the flag pattern was pointless since every file matched it. Since the content of the flags was designed to all look equally convincing, I looked for a property of the files themselves rather than their text, and checked file metadata, specifically the modification timestamps preserved by the archive. Sorting by timestamp, I found a single file with an unnaturally old date, the earliest date the archive's timestamp format could represent, which could not have occurred naturally and had to be set deliberately. I decoded that file and read it not as a flag but as an instruction describing a signing rule: hash the tail of one flag together with the body of the next, and take the first part of the hash as the next flag's tail. I tested this rule at scale across all the files using the deliberately-dated file as the starting point, and found that only a small handful of flags satisfied the rule, an outcome that would be astronomically unlikely by chance. Among that handful, I sorted by timestamp and took the newest one as the authentic flag.</w:t>
      </w:r>
    </w:p>
    <w:p>
      <w:pPr>
        <w:pStyle w:val="Heading1"/>
      </w:pPr>
      <w:r>
        <w:t xml:space="preserve">Challenge Name: The Tower in the Salt</w:t>
      </w:r>
    </w:p>
    <w:p>
      <w:r>
        <w:rPr>
          <w:b/>
          <w:bCs/>
        </w:rPr>
        <w:t xml:space="preserve">Category: </w:t>
      </w:r>
      <w:r>
        <w:t xml:space="preserve">OSINT</w:t>
      </w:r>
    </w:p>
    <w:p>
      <w:pPr>
        <w:spacing w:after="200"/>
      </w:pPr>
      <w:r>
        <w:rPr>
          <w:b/>
          <w:bCs/>
        </w:rPr>
        <w:t xml:space="preserve">Approach Taken: </w:t>
      </w:r>
      <w:r>
        <w:t xml:space="preserve">I used the location and structural clues provided to narrow down the region to search in. I cross-referenced satellite imagery with the visual details given to identify the exact structure. I verified my answer by checking that the surrounding terrain and landmarks matched the available public sources before settling on the final answer.</w:t>
      </w:r>
    </w:p>
    <w:p>
      <w:pPr>
        <w:pStyle w:val="Heading1"/>
      </w:pPr>
      <w:r>
        <w:t xml:space="preserve">Challenge Name: Do Not Search</w:t>
      </w:r>
    </w:p>
    <w:p>
      <w:r>
        <w:rPr>
          <w:b/>
          <w:bCs/>
        </w:rPr>
        <w:t xml:space="preserve">Category: </w:t>
      </w:r>
      <w:r>
        <w:t xml:space="preserve">OSINT</w:t>
      </w:r>
    </w:p>
    <w:p>
      <w:pPr>
        <w:spacing w:after="200"/>
      </w:pPr>
      <w:r>
        <w:rPr>
          <w:b/>
          <w:bCs/>
        </w:rPr>
        <w:t xml:space="preserve">Approach Taken: </w:t>
      </w:r>
      <w:r>
        <w:t xml:space="preserve">I started by examining the clue closely rather than searching for it directly, since the challenge name suggested a direct search would be misleading. I looked for indirect references and metadata connected to the clue, and used those to work backward to the intended source. Cross-checking the details against multiple public sources confirmed the answer before I submitted the flag.</w:t>
      </w:r>
    </w:p>
    <w:p>
      <w:pPr>
        <w:spacing w:before="300"/>
      </w:pPr>
      <w:r>
        <w:rPr>
          <w:i/>
          <w:iCs/>
        </w:rPr>
        <w:t xml:space="preserve">VOID CTF – Individual Write-up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2026-10-25T17:49:35.906Z</dcterms:created>
  <dcterms:modified xsi:type="dcterms:W3CDTF">2026-10-25T17:49:35.911Z</dcterms:modified>
</cp:coreProperties>
</file>

<file path=docProps/custom.xml><?xml version="1.0" encoding="utf-8"?>
<Properties xmlns="http://schemas.openxmlformats.org/officeDocument/2006/custom-properties" xmlns:vt="http://schemas.openxmlformats.org/officeDocument/2006/docPropsVTypes"/>
</file>