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48"/>
          <w:szCs w:val="48"/>
        </w:rPr>
        <w:t xml:space="preserve">CUSTOMER SHOPPING BEHAVIOR</w:t>
      </w:r>
    </w:p>
    <w:p>
      <w:pPr>
        <w:spacing w:after="500"/>
        <w:jc w:val="center"/>
      </w:pPr>
      <w:r>
        <w:rPr>
          <w:b/>
          <w:bCs/>
          <w:color w:val="2E75B6"/>
          <w:sz w:val="32"/>
          <w:szCs w:val="32"/>
        </w:rPr>
        <w:t xml:space="preserve">Business Analysis Report</w:t>
      </w:r>
    </w:p>
    <w:p>
      <w:pPr>
        <w:spacing w:after="100"/>
        <w:jc w:val="center"/>
      </w:pPr>
      <w:r>
        <w:rPr>
          <w:color w:val="595959"/>
          <w:sz w:val="22"/>
          <w:szCs w:val="22"/>
        </w:rPr>
        <w:t xml:space="preserve">Dataset: 3,900 transactions · 18 attributes</w:t>
      </w:r>
    </w:p>
    <w:p>
      <w:pPr>
        <w:spacing w:after="100"/>
        <w:jc w:val="center"/>
      </w:pPr>
      <w:r>
        <w:rPr>
          <w:color w:val="595959"/>
          <w:sz w:val="22"/>
          <w:szCs w:val="22"/>
        </w:rPr>
        <w:t xml:space="preserve">Sources: SQL analysis, Jupyter notebook, Power BI dashboard</w:t>
      </w:r>
    </w:p>
    <w:p>
      <w:pPr>
        <w:spacing w:after="1200"/>
        <w:jc w:val="center"/>
      </w:pPr>
      <w:r>
        <w:rPr>
          <w:color w:val="595959"/>
          <w:sz w:val="22"/>
          <w:szCs w:val="22"/>
        </w:rPr>
        <w:t xml:space="preserve">Prepared: September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$233,081</w:t>
            </w:r>
          </w:p>
          <w:p>
            <w:pPr>
              <w:jc w:val="center"/>
            </w:pPr>
            <w:r>
              <w:rPr>
                <w:color w:val="595959"/>
                <w:sz w:val="18"/>
                <w:szCs w:val="18"/>
              </w:rPr>
              <w:t xml:space="preserve">Total Revenue</w:t>
            </w:r>
          </w:p>
        </w:tc>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3,900</w:t>
            </w:r>
          </w:p>
          <w:p>
            <w:pPr>
              <w:jc w:val="center"/>
            </w:pPr>
            <w:r>
              <w:rPr>
                <w:color w:val="595959"/>
                <w:sz w:val="18"/>
                <w:szCs w:val="18"/>
              </w:rPr>
              <w:t xml:space="preserve">Total Orders</w:t>
            </w:r>
          </w:p>
        </w:tc>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$59.76</w:t>
            </w:r>
          </w:p>
          <w:p>
            <w:pPr>
              <w:jc w:val="center"/>
            </w:pPr>
            <w:r>
              <w:rPr>
                <w:color w:val="595959"/>
                <w:sz w:val="18"/>
                <w:szCs w:val="18"/>
              </w:rPr>
              <w:t xml:space="preserve">Avg Order Value</w:t>
            </w:r>
          </w:p>
        </w:tc>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3.75 / 5</w:t>
            </w:r>
          </w:p>
          <w:p>
            <w:pPr>
              <w:jc w:val="center"/>
            </w:pPr>
            <w:r>
              <w:rPr>
                <w:color w:val="595959"/>
                <w:sz w:val="18"/>
                <w:szCs w:val="18"/>
              </w:rPr>
              <w:t xml:space="preserve">Avg Rating</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27%</w:t>
            </w:r>
          </w:p>
          <w:p>
            <w:pPr>
              <w:jc w:val="center"/>
            </w:pPr>
            <w:r>
              <w:rPr>
                <w:color w:val="595959"/>
                <w:sz w:val="18"/>
                <w:szCs w:val="18"/>
              </w:rPr>
              <w:t xml:space="preserve">Subscribers</w:t>
            </w:r>
          </w:p>
        </w:tc>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43%</w:t>
            </w:r>
          </w:p>
          <w:p>
            <w:pPr>
              <w:jc w:val="center"/>
            </w:pPr>
            <w:r>
              <w:rPr>
                <w:color w:val="595959"/>
                <w:sz w:val="18"/>
                <w:szCs w:val="18"/>
              </w:rPr>
              <w:t xml:space="preserve">Discount Usage</w:t>
            </w:r>
          </w:p>
        </w:tc>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80%</w:t>
            </w:r>
          </w:p>
          <w:p>
            <w:pPr>
              <w:jc w:val="center"/>
            </w:pPr>
            <w:r>
              <w:rPr>
                <w:color w:val="595959"/>
                <w:sz w:val="18"/>
                <w:szCs w:val="18"/>
              </w:rPr>
              <w:t xml:space="preserve">Repeat Buyers</w:t>
            </w:r>
          </w:p>
        </w:tc>
        <w:tc>
          <w:tcPr>
            <w:tcW w:type="pct" w:w="25%"/>
            <w:shd w:fill="DCE6F1" w:val="clear"/>
            <w:tcMar>
              <w:top w:type="dxa" w:w="150"/>
              <w:left w:type="dxa" w:w="120"/>
              <w:bottom w:type="dxa" w:w="150"/>
              <w:right w:type="dxa" w:w="120"/>
            </w:tcMar>
          </w:tcPr>
          <w:p>
            <w:pPr>
              <w:spacing w:after="40"/>
              <w:jc w:val="center"/>
            </w:pPr>
            <w:r>
              <w:rPr>
                <w:b/>
                <w:bCs/>
                <w:color w:val="1F3864"/>
                <w:sz w:val="30"/>
                <w:szCs w:val="30"/>
              </w:rPr>
              <w:t xml:space="preserve">44 yrs</w:t>
            </w:r>
          </w:p>
          <w:p>
            <w:pPr>
              <w:jc w:val="center"/>
            </w:pPr>
            <w:r>
              <w:rPr>
                <w:color w:val="595959"/>
                <w:sz w:val="18"/>
                <w:szCs w:val="18"/>
              </w:rPr>
              <w:t xml:space="preserve">Avg Age</w:t>
            </w:r>
          </w:p>
        </w:tc>
      </w:tr>
    </w:tbl>
    <w:p>
      <w:r>
        <w:br w:type="page"/>
      </w:r>
    </w:p>
    <w:p>
      <w:pPr>
        <w:pStyle w:val="Heading1"/>
        <w:pBdr>
          <w:bottom w:val="single" w:color="1F3864" w:sz="6" w:space="4"/>
        </w:pBdr>
        <w:spacing w:after="200" w:before="400"/>
      </w:pPr>
      <w:r>
        <w:rPr>
          <w:b/>
          <w:bCs/>
          <w:color w:val="1F3864"/>
          <w:sz w:val="30"/>
          <w:szCs w:val="30"/>
        </w:rPr>
        <w:t xml:space="preserve">1. Executive Summary</w:t>
      </w:r>
    </w:p>
    <w:p>
      <w:pPr>
        <w:spacing w:after="160" w:line="300"/>
      </w:pPr>
      <w:r>
        <w:rPr>
          <w:sz w:val="22"/>
          <w:szCs w:val="22"/>
        </w:rPr>
        <w:t xml:space="preserve">This report analyzes 3,900 customer transactions to answer ten core business questions spanning revenue, discounting behavior, loyalty, shipping, and demographics. Data cleaning was performed in Python (see Section 2), after which the ten business questions were answered in SQL. All figures in this report were independently re-verified by replicating the exact Python cleaning steps and SQL logic directly against the raw dataset.</w:t>
      </w:r>
    </w:p>
    <w:p>
      <w:pPr>
        <w:spacing w:after="160" w:line="300"/>
      </w:pPr>
      <w:r>
        <w:rPr>
          <w:sz w:val="22"/>
          <w:szCs w:val="22"/>
        </w:rPr>
        <w:t xml:space="preserve">The headline finding is a loyalty paradox: the customer base is overwhelmingly repeat-purchase (80% have bought more than once, most heavily so), yet only 27% are formally subscribed, and subscription status has almost no effect on spend. In parallel, discounting is used broadly (43% of orders) but does not depress basket size — many discount users still spend above average — suggesting price sensitivity is not the primary lever driving order value in this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24"/>
              <w:bottom w:val="single" w:color="2E75B6" w:sz="4"/>
              <w:right w:val="single" w:color="2E75B6" w:sz="4"/>
            </w:tcBorders>
            <w:shd w:fill="EEF3FA" w:val="clear"/>
            <w:tcMar>
              <w:top w:type="dxa" w:w="150"/>
              <w:left w:type="dxa" w:w="200"/>
              <w:bottom w:type="dxa" w:w="150"/>
              <w:right w:type="dxa" w:w="200"/>
            </w:tcMar>
          </w:tcPr>
          <w:p>
            <w:pPr>
              <w:spacing w:after="100"/>
            </w:pPr>
            <w:r>
              <w:rPr>
                <w:b/>
                <w:bCs/>
                <w:color w:val="1F3864"/>
                <w:sz w:val="22"/>
                <w:szCs w:val="22"/>
              </w:rPr>
              <w:t xml:space="preserve">Top 3 Takeaways</w:t>
            </w:r>
          </w:p>
          <w:p>
            <w:pPr>
              <w:spacing w:after="60"/>
            </w:pPr>
            <w:r>
              <w:rPr>
                <w:color w:val="333333"/>
                <w:sz w:val="20"/>
                <w:szCs w:val="20"/>
              </w:rPr>
              <w:t xml:space="preserve">▸ Male customers generate 2.1x the revenue of female customers ($157.9K vs $75.2K) — driven by transaction volume (2,652 vs 1,248), not higher spend per order.</w:t>
            </w:r>
          </w:p>
          <w:p>
            <w:pPr>
              <w:spacing w:after="60"/>
            </w:pPr>
            <w:r>
              <w:rPr>
                <w:color w:val="333333"/>
                <w:sz w:val="20"/>
                <w:szCs w:val="20"/>
              </w:rPr>
              <w:t xml:space="preserve">▸ Subscription status is not correlated with higher spend (Yes: $59.49 avg vs No: $59.87 avg) — the subscription program is not currently a revenue differentiator.</w:t>
            </w:r>
          </w:p>
          <w:p>
            <w:pPr>
              <w:spacing w:after="60"/>
            </w:pPr>
            <w:r>
              <w:rPr>
                <w:color w:val="333333"/>
                <w:sz w:val="20"/>
                <w:szCs w:val="20"/>
              </w:rPr>
              <w:t xml:space="preserve">▸ 80% of customers are "Loyal" (11+ previous purchases) but only 27% are subscribed — a large addressable gap for converting proven repeat buyers into the subscription program.</w:t>
            </w:r>
          </w:p>
        </w:tc>
      </w:tr>
    </w:tbl>
    <w:p>
      <w:pPr>
        <w:pStyle w:val="Heading1"/>
        <w:pBdr>
          <w:bottom w:val="single" w:color="1F3864" w:sz="6" w:space="4"/>
        </w:pBdr>
        <w:spacing w:after="200" w:before="400"/>
      </w:pPr>
      <w:r>
        <w:rPr>
          <w:b/>
          <w:bCs/>
          <w:color w:val="1F3864"/>
          <w:sz w:val="30"/>
          <w:szCs w:val="30"/>
        </w:rPr>
        <w:t xml:space="preserve">2. Data Cleaning (Python)</w:t>
      </w:r>
    </w:p>
    <w:p>
      <w:pPr>
        <w:spacing w:after="160" w:line="300"/>
      </w:pPr>
      <w:r>
        <w:rPr>
          <w:sz w:val="22"/>
          <w:szCs w:val="22"/>
        </w:rPr>
        <w:t xml:space="preserve">Before any business question was answered, the raw CSV was cleaned and prepared in Python (pandas). The key steps, and what they mean for the numbers in this report:</w:t>
      </w:r>
    </w:p>
    <w:p>
      <w:pPr>
        <w:pStyle w:val="Heading2"/>
        <w:spacing w:after="140" w:before="280"/>
      </w:pPr>
      <w:r>
        <w:rPr>
          <w:b/>
          <w:bCs/>
          <w:color w:val="2E75B6"/>
          <w:sz w:val="24"/>
          <w:szCs w:val="24"/>
        </w:rPr>
        <w:t xml:space="preserve">2.1 Missing Review Ratings</w:t>
      </w:r>
    </w:p>
    <w:p>
      <w:pPr>
        <w:spacing w:after="160" w:line="300"/>
      </w:pPr>
      <w:r>
        <w:rPr>
          <w:sz w:val="22"/>
          <w:szCs w:val="22"/>
        </w:rPr>
        <w:t xml:space="preserve">37 of 3,900 rows (0.9%) had a missing Review Rating. Rather than dropping these rows, ratings were imputed using the median rating for that product's Category — a reasonable choice since it preserves category-level rating patterns instead of pulling everything toward one global average.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3864" w:val="clear"/>
            <w:tcMar>
              <w:top w:type="dxa" w:w="100"/>
              <w:left w:type="dxa" w:w="120"/>
              <w:bottom w:type="dxa" w:w="100"/>
              <w:right w:type="dxa" w:w="120"/>
            </w:tcMar>
          </w:tcPr>
          <w:p>
            <w:r>
              <w:rPr>
                <w:b/>
                <w:bCs/>
                <w:color w:val="FFFFFF"/>
                <w:sz w:val="20"/>
                <w:szCs w:val="20"/>
              </w:rPr>
              <w:t xml:space="preserve">Category</w:t>
            </w:r>
          </w:p>
        </w:tc>
        <w:tc>
          <w:tcPr>
            <w:tcW w:type="dxa" w:w="3117"/>
            <w:shd w:fill="1F3864" w:val="clear"/>
            <w:tcMar>
              <w:top w:type="dxa" w:w="100"/>
              <w:left w:type="dxa" w:w="120"/>
              <w:bottom w:type="dxa" w:w="100"/>
              <w:right w:type="dxa" w:w="120"/>
            </w:tcMar>
          </w:tcPr>
          <w:p>
            <w:r>
              <w:rPr>
                <w:b/>
                <w:bCs/>
                <w:color w:val="FFFFFF"/>
                <w:sz w:val="20"/>
                <w:szCs w:val="20"/>
              </w:rPr>
              <w:t xml:space="preserve">Missing Ratings</w:t>
            </w:r>
          </w:p>
        </w:tc>
        <w:tc>
          <w:tcPr>
            <w:tcW w:type="dxa" w:w="3117"/>
            <w:shd w:fill="1F3864" w:val="clear"/>
            <w:tcMar>
              <w:top w:type="dxa" w:w="100"/>
              <w:left w:type="dxa" w:w="120"/>
              <w:bottom w:type="dxa" w:w="100"/>
              <w:right w:type="dxa" w:w="120"/>
            </w:tcMar>
          </w:tcPr>
          <w:p>
            <w:r>
              <w:rPr>
                <w:b/>
                <w:bCs/>
                <w:color w:val="FFFFFF"/>
                <w:sz w:val="20"/>
                <w:szCs w:val="20"/>
              </w:rPr>
              <w:t xml:space="preserve">Median Used to Fill</w:t>
            </w:r>
          </w:p>
        </w:tc>
      </w:tr>
      <w:tr>
        <w:tc>
          <w:tcPr>
            <w:tcW w:type="dxa" w:w="3116"/>
            <w:shd w:fill="FFFFFF" w:val="clear"/>
            <w:tcMar>
              <w:top w:type="dxa" w:w="90"/>
              <w:left w:type="dxa" w:w="120"/>
              <w:bottom w:type="dxa" w:w="90"/>
              <w:right w:type="dxa" w:w="120"/>
            </w:tcMar>
          </w:tcPr>
          <w:p>
            <w:r>
              <w:rPr>
                <w:sz w:val="20"/>
                <w:szCs w:val="20"/>
              </w:rPr>
              <w:t xml:space="preserve">Clothing</w:t>
            </w:r>
          </w:p>
        </w:tc>
        <w:tc>
          <w:tcPr>
            <w:tcW w:type="dxa" w:w="3117"/>
            <w:shd w:fill="FFFFFF" w:val="clear"/>
            <w:tcMar>
              <w:top w:type="dxa" w:w="90"/>
              <w:left w:type="dxa" w:w="120"/>
              <w:bottom w:type="dxa" w:w="90"/>
              <w:right w:type="dxa" w:w="120"/>
            </w:tcMar>
          </w:tcPr>
          <w:p>
            <w:r>
              <w:rPr>
                <w:sz w:val="20"/>
                <w:szCs w:val="20"/>
              </w:rPr>
              <w:t xml:space="preserve">19</w:t>
            </w:r>
          </w:p>
        </w:tc>
        <w:tc>
          <w:tcPr>
            <w:tcW w:type="dxa" w:w="3117"/>
            <w:shd w:fill="FFFFFF" w:val="clear"/>
            <w:tcMar>
              <w:top w:type="dxa" w:w="90"/>
              <w:left w:type="dxa" w:w="120"/>
              <w:bottom w:type="dxa" w:w="90"/>
              <w:right w:type="dxa" w:w="120"/>
            </w:tcMar>
          </w:tcPr>
          <w:p>
            <w:r>
              <w:rPr>
                <w:sz w:val="20"/>
                <w:szCs w:val="20"/>
              </w:rPr>
              <w:t xml:space="preserve">3.7</w:t>
            </w:r>
          </w:p>
        </w:tc>
      </w:tr>
      <w:tr>
        <w:tc>
          <w:tcPr>
            <w:tcW w:type="dxa" w:w="3116"/>
            <w:shd w:fill="F2F2F2" w:val="clear"/>
            <w:tcMar>
              <w:top w:type="dxa" w:w="90"/>
              <w:left w:type="dxa" w:w="120"/>
              <w:bottom w:type="dxa" w:w="90"/>
              <w:right w:type="dxa" w:w="120"/>
            </w:tcMar>
          </w:tcPr>
          <w:p>
            <w:r>
              <w:rPr>
                <w:sz w:val="20"/>
                <w:szCs w:val="20"/>
              </w:rPr>
              <w:t xml:space="preserve">Accessories</w:t>
            </w:r>
          </w:p>
        </w:tc>
        <w:tc>
          <w:tcPr>
            <w:tcW w:type="dxa" w:w="3117"/>
            <w:shd w:fill="F2F2F2" w:val="clear"/>
            <w:tcMar>
              <w:top w:type="dxa" w:w="90"/>
              <w:left w:type="dxa" w:w="120"/>
              <w:bottom w:type="dxa" w:w="90"/>
              <w:right w:type="dxa" w:w="120"/>
            </w:tcMar>
          </w:tcPr>
          <w:p>
            <w:r>
              <w:rPr>
                <w:sz w:val="20"/>
                <w:szCs w:val="20"/>
              </w:rPr>
              <w:t xml:space="preserve">11</w:t>
            </w:r>
          </w:p>
        </w:tc>
        <w:tc>
          <w:tcPr>
            <w:tcW w:type="dxa" w:w="3117"/>
            <w:shd w:fill="F2F2F2" w:val="clear"/>
            <w:tcMar>
              <w:top w:type="dxa" w:w="90"/>
              <w:left w:type="dxa" w:w="120"/>
              <w:bottom w:type="dxa" w:w="90"/>
              <w:right w:type="dxa" w:w="120"/>
            </w:tcMar>
          </w:tcPr>
          <w:p>
            <w:r>
              <w:rPr>
                <w:sz w:val="20"/>
                <w:szCs w:val="20"/>
              </w:rPr>
              <w:t xml:space="preserve">3.8</w:t>
            </w:r>
          </w:p>
        </w:tc>
      </w:tr>
      <w:tr>
        <w:tc>
          <w:tcPr>
            <w:tcW w:type="dxa" w:w="3116"/>
            <w:shd w:fill="FFFFFF" w:val="clear"/>
            <w:tcMar>
              <w:top w:type="dxa" w:w="90"/>
              <w:left w:type="dxa" w:w="120"/>
              <w:bottom w:type="dxa" w:w="90"/>
              <w:right w:type="dxa" w:w="120"/>
            </w:tcMar>
          </w:tcPr>
          <w:p>
            <w:r>
              <w:rPr>
                <w:sz w:val="20"/>
                <w:szCs w:val="20"/>
              </w:rPr>
              <w:t xml:space="preserve">Footwear</w:t>
            </w:r>
          </w:p>
        </w:tc>
        <w:tc>
          <w:tcPr>
            <w:tcW w:type="dxa" w:w="3117"/>
            <w:shd w:fill="FFFFFF" w:val="clear"/>
            <w:tcMar>
              <w:top w:type="dxa" w:w="90"/>
              <w:left w:type="dxa" w:w="120"/>
              <w:bottom w:type="dxa" w:w="90"/>
              <w:right w:type="dxa" w:w="120"/>
            </w:tcMar>
          </w:tcPr>
          <w:p>
            <w:r>
              <w:rPr>
                <w:sz w:val="20"/>
                <w:szCs w:val="20"/>
              </w:rPr>
              <w:t xml:space="preserve">5</w:t>
            </w:r>
          </w:p>
        </w:tc>
        <w:tc>
          <w:tcPr>
            <w:tcW w:type="dxa" w:w="3117"/>
            <w:shd w:fill="FFFFFF" w:val="clear"/>
            <w:tcMar>
              <w:top w:type="dxa" w:w="90"/>
              <w:left w:type="dxa" w:w="120"/>
              <w:bottom w:type="dxa" w:w="90"/>
              <w:right w:type="dxa" w:w="120"/>
            </w:tcMar>
          </w:tcPr>
          <w:p>
            <w:r>
              <w:rPr>
                <w:sz w:val="20"/>
                <w:szCs w:val="20"/>
              </w:rPr>
              <w:t xml:space="preserve">3.8</w:t>
            </w:r>
          </w:p>
        </w:tc>
      </w:tr>
      <w:tr>
        <w:tc>
          <w:tcPr>
            <w:tcW w:type="dxa" w:w="3116"/>
            <w:shd w:fill="F2F2F2" w:val="clear"/>
            <w:tcMar>
              <w:top w:type="dxa" w:w="90"/>
              <w:left w:type="dxa" w:w="120"/>
              <w:bottom w:type="dxa" w:w="90"/>
              <w:right w:type="dxa" w:w="120"/>
            </w:tcMar>
          </w:tcPr>
          <w:p>
            <w:r>
              <w:rPr>
                <w:sz w:val="20"/>
                <w:szCs w:val="20"/>
              </w:rPr>
              <w:t xml:space="preserve">Outerwear</w:t>
            </w:r>
          </w:p>
        </w:tc>
        <w:tc>
          <w:tcPr>
            <w:tcW w:type="dxa" w:w="3117"/>
            <w:shd w:fill="F2F2F2" w:val="clear"/>
            <w:tcMar>
              <w:top w:type="dxa" w:w="90"/>
              <w:left w:type="dxa" w:w="120"/>
              <w:bottom w:type="dxa" w:w="90"/>
              <w:right w:type="dxa" w:w="120"/>
            </w:tcMar>
          </w:tcPr>
          <w:p>
            <w:r>
              <w:rPr>
                <w:sz w:val="20"/>
                <w:szCs w:val="20"/>
              </w:rPr>
              <w:t xml:space="preserve">2</w:t>
            </w:r>
          </w:p>
        </w:tc>
        <w:tc>
          <w:tcPr>
            <w:tcW w:type="dxa" w:w="3117"/>
            <w:shd w:fill="F2F2F2" w:val="clear"/>
            <w:tcMar>
              <w:top w:type="dxa" w:w="90"/>
              <w:left w:type="dxa" w:w="120"/>
              <w:bottom w:type="dxa" w:w="90"/>
              <w:right w:type="dxa" w:w="120"/>
            </w:tcMar>
          </w:tcPr>
          <w:p>
            <w:r>
              <w:rPr>
                <w:sz w:val="20"/>
                <w:szCs w:val="20"/>
              </w:rPr>
              <w:t xml:space="preserve">3.8</w:t>
            </w:r>
          </w:p>
        </w:tc>
      </w:tr>
    </w:tbl>
    <w:p>
      <w:pPr>
        <w:spacing w:after="120"/>
      </w:pPr>
    </w:p>
    <w:p>
      <w:pPr>
        <w:pStyle w:val="Heading2"/>
        <w:spacing w:after="140" w:before="280"/>
      </w:pPr>
      <w:r>
        <w:rPr>
          <w:b/>
          <w:bCs/>
          <w:color w:val="2E75B6"/>
          <w:sz w:val="24"/>
          <w:szCs w:val="24"/>
        </w:rPr>
        <w:t xml:space="preserve">2.2 Column Standardization</w:t>
      </w:r>
    </w:p>
    <w:p>
      <w:pPr>
        <w:spacing w:after="160" w:line="300"/>
      </w:pPr>
      <w:r>
        <w:rPr>
          <w:sz w:val="22"/>
          <w:szCs w:val="22"/>
        </w:rPr>
        <w:t xml:space="preserve">Column names were lowercased and spaces replaced with underscores (e.g., "Purchase Amount (USD)" → purchase_amount) to make the data MySQL-compatible for the SQL analysis stage.</w:t>
      </w:r>
    </w:p>
    <w:p>
      <w:pPr>
        <w:pStyle w:val="Heading2"/>
        <w:spacing w:after="140" w:before="280"/>
      </w:pPr>
      <w:r>
        <w:rPr>
          <w:b/>
          <w:bCs/>
          <w:color w:val="2E75B6"/>
          <w:sz w:val="24"/>
          <w:szCs w:val="24"/>
        </w:rPr>
        <w:t xml:space="preserve">2.3 Age Group Segmentation — Quantile-Based</w:t>
      </w:r>
    </w:p>
    <w:p>
      <w:pPr>
        <w:spacing w:after="160" w:line="300"/>
      </w:pPr>
      <w:r>
        <w:rPr>
          <w:sz w:val="22"/>
          <w:szCs w:val="22"/>
        </w:rPr>
        <w:t xml:space="preserve">An age_group column was engineered using quantile binning (pd.qcut, 4 equal-sized groups by population, not fixed age ranges) with labels young_adult, adult, middle_age, and senior. This is a different method than equal-width age brackets and produces uneven age ranges but equal-sized customer groups: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3864" w:val="clear"/>
            <w:tcMar>
              <w:top w:type="dxa" w:w="100"/>
              <w:left w:type="dxa" w:w="120"/>
              <w:bottom w:type="dxa" w:w="100"/>
              <w:right w:type="dxa" w:w="120"/>
            </w:tcMar>
          </w:tcPr>
          <w:p>
            <w:r>
              <w:rPr>
                <w:b/>
                <w:bCs/>
                <w:color w:val="FFFFFF"/>
                <w:sz w:val="20"/>
                <w:szCs w:val="20"/>
              </w:rPr>
              <w:t xml:space="preserve">Age Group</w:t>
            </w:r>
          </w:p>
        </w:tc>
        <w:tc>
          <w:tcPr>
            <w:tcW w:type="dxa" w:w="3117"/>
            <w:shd w:fill="1F3864" w:val="clear"/>
            <w:tcMar>
              <w:top w:type="dxa" w:w="100"/>
              <w:left w:type="dxa" w:w="120"/>
              <w:bottom w:type="dxa" w:w="100"/>
              <w:right w:type="dxa" w:w="120"/>
            </w:tcMar>
          </w:tcPr>
          <w:p>
            <w:r>
              <w:rPr>
                <w:b/>
                <w:bCs/>
                <w:color w:val="FFFFFF"/>
                <w:sz w:val="20"/>
                <w:szCs w:val="20"/>
              </w:rPr>
              <w:t xml:space="preserve">Age Range</w:t>
            </w:r>
          </w:p>
        </w:tc>
        <w:tc>
          <w:tcPr>
            <w:tcW w:type="dxa" w:w="3117"/>
            <w:shd w:fill="1F3864" w:val="clear"/>
            <w:tcMar>
              <w:top w:type="dxa" w:w="100"/>
              <w:left w:type="dxa" w:w="120"/>
              <w:bottom w:type="dxa" w:w="100"/>
              <w:right w:type="dxa" w:w="120"/>
            </w:tcMar>
          </w:tcPr>
          <w:p>
            <w:r>
              <w:rPr>
                <w:b/>
                <w:bCs/>
                <w:color w:val="FFFFFF"/>
                <w:sz w:val="20"/>
                <w:szCs w:val="20"/>
              </w:rPr>
              <w:t xml:space="preserve">Customers</w:t>
            </w:r>
          </w:p>
        </w:tc>
      </w:tr>
      <w:tr>
        <w:tc>
          <w:tcPr>
            <w:tcW w:type="dxa" w:w="3116"/>
            <w:shd w:fill="FFFFFF" w:val="clear"/>
            <w:tcMar>
              <w:top w:type="dxa" w:w="90"/>
              <w:left w:type="dxa" w:w="120"/>
              <w:bottom w:type="dxa" w:w="90"/>
              <w:right w:type="dxa" w:w="120"/>
            </w:tcMar>
          </w:tcPr>
          <w:p>
            <w:r>
              <w:rPr>
                <w:sz w:val="20"/>
                <w:szCs w:val="20"/>
              </w:rPr>
              <w:t xml:space="preserve">young_adult</w:t>
            </w:r>
          </w:p>
        </w:tc>
        <w:tc>
          <w:tcPr>
            <w:tcW w:type="dxa" w:w="3117"/>
            <w:shd w:fill="FFFFFF" w:val="clear"/>
            <w:tcMar>
              <w:top w:type="dxa" w:w="90"/>
              <w:left w:type="dxa" w:w="120"/>
              <w:bottom w:type="dxa" w:w="90"/>
              <w:right w:type="dxa" w:w="120"/>
            </w:tcMar>
          </w:tcPr>
          <w:p>
            <w:r>
              <w:rPr>
                <w:sz w:val="20"/>
                <w:szCs w:val="20"/>
              </w:rPr>
              <w:t xml:space="preserve">18–31</w:t>
            </w:r>
          </w:p>
        </w:tc>
        <w:tc>
          <w:tcPr>
            <w:tcW w:type="dxa" w:w="3117"/>
            <w:shd w:fill="FFFFFF" w:val="clear"/>
            <w:tcMar>
              <w:top w:type="dxa" w:w="90"/>
              <w:left w:type="dxa" w:w="120"/>
              <w:bottom w:type="dxa" w:w="90"/>
              <w:right w:type="dxa" w:w="120"/>
            </w:tcMar>
          </w:tcPr>
          <w:p>
            <w:r>
              <w:rPr>
                <w:sz w:val="20"/>
                <w:szCs w:val="20"/>
              </w:rPr>
              <w:t xml:space="preserve">1,028</w:t>
            </w:r>
          </w:p>
        </w:tc>
      </w:tr>
      <w:tr>
        <w:tc>
          <w:tcPr>
            <w:tcW w:type="dxa" w:w="3116"/>
            <w:shd w:fill="F2F2F2" w:val="clear"/>
            <w:tcMar>
              <w:top w:type="dxa" w:w="90"/>
              <w:left w:type="dxa" w:w="120"/>
              <w:bottom w:type="dxa" w:w="90"/>
              <w:right w:type="dxa" w:w="120"/>
            </w:tcMar>
          </w:tcPr>
          <w:p>
            <w:r>
              <w:rPr>
                <w:sz w:val="20"/>
                <w:szCs w:val="20"/>
              </w:rPr>
              <w:t xml:space="preserve">adult</w:t>
            </w:r>
          </w:p>
        </w:tc>
        <w:tc>
          <w:tcPr>
            <w:tcW w:type="dxa" w:w="3117"/>
            <w:shd w:fill="F2F2F2" w:val="clear"/>
            <w:tcMar>
              <w:top w:type="dxa" w:w="90"/>
              <w:left w:type="dxa" w:w="120"/>
              <w:bottom w:type="dxa" w:w="90"/>
              <w:right w:type="dxa" w:w="120"/>
            </w:tcMar>
          </w:tcPr>
          <w:p>
            <w:r>
              <w:rPr>
                <w:sz w:val="20"/>
                <w:szCs w:val="20"/>
              </w:rPr>
              <w:t xml:space="preserve">32–44</w:t>
            </w:r>
          </w:p>
        </w:tc>
        <w:tc>
          <w:tcPr>
            <w:tcW w:type="dxa" w:w="3117"/>
            <w:shd w:fill="F2F2F2" w:val="clear"/>
            <w:tcMar>
              <w:top w:type="dxa" w:w="90"/>
              <w:left w:type="dxa" w:w="120"/>
              <w:bottom w:type="dxa" w:w="90"/>
              <w:right w:type="dxa" w:w="120"/>
            </w:tcMar>
          </w:tcPr>
          <w:p>
            <w:r>
              <w:rPr>
                <w:sz w:val="20"/>
                <w:szCs w:val="20"/>
              </w:rPr>
              <w:t xml:space="preserve">942</w:t>
            </w:r>
          </w:p>
        </w:tc>
      </w:tr>
      <w:tr>
        <w:tc>
          <w:tcPr>
            <w:tcW w:type="dxa" w:w="3116"/>
            <w:shd w:fill="FFFFFF" w:val="clear"/>
            <w:tcMar>
              <w:top w:type="dxa" w:w="90"/>
              <w:left w:type="dxa" w:w="120"/>
              <w:bottom w:type="dxa" w:w="90"/>
              <w:right w:type="dxa" w:w="120"/>
            </w:tcMar>
          </w:tcPr>
          <w:p>
            <w:r>
              <w:rPr>
                <w:sz w:val="20"/>
                <w:szCs w:val="20"/>
              </w:rPr>
              <w:t xml:space="preserve">middle_age</w:t>
            </w:r>
          </w:p>
        </w:tc>
        <w:tc>
          <w:tcPr>
            <w:tcW w:type="dxa" w:w="3117"/>
            <w:shd w:fill="FFFFFF" w:val="clear"/>
            <w:tcMar>
              <w:top w:type="dxa" w:w="90"/>
              <w:left w:type="dxa" w:w="120"/>
              <w:bottom w:type="dxa" w:w="90"/>
              <w:right w:type="dxa" w:w="120"/>
            </w:tcMar>
          </w:tcPr>
          <w:p>
            <w:r>
              <w:rPr>
                <w:sz w:val="20"/>
                <w:szCs w:val="20"/>
              </w:rPr>
              <w:t xml:space="preserve">45–57</w:t>
            </w:r>
          </w:p>
        </w:tc>
        <w:tc>
          <w:tcPr>
            <w:tcW w:type="dxa" w:w="3117"/>
            <w:shd w:fill="FFFFFF" w:val="clear"/>
            <w:tcMar>
              <w:top w:type="dxa" w:w="90"/>
              <w:left w:type="dxa" w:w="120"/>
              <w:bottom w:type="dxa" w:w="90"/>
              <w:right w:type="dxa" w:w="120"/>
            </w:tcMar>
          </w:tcPr>
          <w:p>
            <w:r>
              <w:rPr>
                <w:sz w:val="20"/>
                <w:szCs w:val="20"/>
              </w:rPr>
              <w:t xml:space="preserve">986</w:t>
            </w:r>
          </w:p>
        </w:tc>
      </w:tr>
      <w:tr>
        <w:tc>
          <w:tcPr>
            <w:tcW w:type="dxa" w:w="3116"/>
            <w:shd w:fill="F2F2F2" w:val="clear"/>
            <w:tcMar>
              <w:top w:type="dxa" w:w="90"/>
              <w:left w:type="dxa" w:w="120"/>
              <w:bottom w:type="dxa" w:w="90"/>
              <w:right w:type="dxa" w:w="120"/>
            </w:tcMar>
          </w:tcPr>
          <w:p>
            <w:r>
              <w:rPr>
                <w:sz w:val="20"/>
                <w:szCs w:val="20"/>
              </w:rPr>
              <w:t xml:space="preserve">senior</w:t>
            </w:r>
          </w:p>
        </w:tc>
        <w:tc>
          <w:tcPr>
            <w:tcW w:type="dxa" w:w="3117"/>
            <w:shd w:fill="F2F2F2" w:val="clear"/>
            <w:tcMar>
              <w:top w:type="dxa" w:w="90"/>
              <w:left w:type="dxa" w:w="120"/>
              <w:bottom w:type="dxa" w:w="90"/>
              <w:right w:type="dxa" w:w="120"/>
            </w:tcMar>
          </w:tcPr>
          <w:p>
            <w:r>
              <w:rPr>
                <w:sz w:val="20"/>
                <w:szCs w:val="20"/>
              </w:rPr>
              <w:t xml:space="preserve">58–70</w:t>
            </w:r>
          </w:p>
        </w:tc>
        <w:tc>
          <w:tcPr>
            <w:tcW w:type="dxa" w:w="3117"/>
            <w:shd w:fill="F2F2F2" w:val="clear"/>
            <w:tcMar>
              <w:top w:type="dxa" w:w="90"/>
              <w:left w:type="dxa" w:w="120"/>
              <w:bottom w:type="dxa" w:w="90"/>
              <w:right w:type="dxa" w:w="120"/>
            </w:tcMar>
          </w:tcPr>
          <w:p>
            <w:r>
              <w:rPr>
                <w:sz w:val="20"/>
                <w:szCs w:val="20"/>
              </w:rPr>
              <w:t xml:space="preserve">944</w:t>
            </w:r>
          </w:p>
        </w:tc>
      </w:tr>
    </w:tbl>
    <w:p>
      <w:pPr>
        <w:spacing w:after="120"/>
      </w:pPr>
    </w:p>
    <w:p>
      <w:pPr>
        <w:spacing w:after="160" w:line="300"/>
      </w:pPr>
      <w:r>
        <w:rPr>
          <w:sz w:val="22"/>
          <w:szCs w:val="22"/>
        </w:rPr>
        <w:t xml:space="preserve">This is the age_group logic used in Section 12 (Q10).</w:t>
      </w:r>
    </w:p>
    <w:p>
      <w:pPr>
        <w:pStyle w:val="Heading2"/>
        <w:spacing w:after="140" w:before="280"/>
      </w:pPr>
      <w:r>
        <w:rPr>
          <w:b/>
          <w:bCs/>
          <w:color w:val="2E75B6"/>
          <w:sz w:val="24"/>
          <w:szCs w:val="24"/>
        </w:rPr>
        <w:t xml:space="preserve">2.4 Purchase Frequency Mapping — Data Quality Issue Found</w:t>
      </w:r>
    </w:p>
    <w:p>
      <w:pPr>
        <w:spacing w:after="160" w:line="300"/>
      </w:pPr>
      <w:r>
        <w:rPr>
          <w:sz w:val="22"/>
          <w:szCs w:val="22"/>
        </w:rPr>
        <w:t xml:space="preserve">A purchase_frequency_days column was engineered by mapping each customer's purchase frequency label to a number of days (e.g., "Weekly" → 7). However, the mapping dictionary does not match the actual category labels in the data: the dataset contains "Every 3 Months" and "Bi-Weekly" (title case), while the mapping dictionary defines keys as "Every 3 month" and "Bi-weekly" (different case/wording).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24"/>
              <w:bottom w:val="single" w:color="2E75B6" w:sz="4"/>
              <w:right w:val="single" w:color="2E75B6" w:sz="4"/>
            </w:tcBorders>
            <w:shd w:fill="EEF3FA" w:val="clear"/>
            <w:tcMar>
              <w:top w:type="dxa" w:w="150"/>
              <w:left w:type="dxa" w:w="200"/>
              <w:bottom w:type="dxa" w:w="150"/>
              <w:right w:type="dxa" w:w="200"/>
            </w:tcMar>
          </w:tcPr>
          <w:p>
            <w:pPr>
              <w:spacing w:after="100"/>
            </w:pPr>
            <w:r>
              <w:rPr>
                <w:b/>
                <w:bCs/>
                <w:color w:val="1F3864"/>
                <w:sz w:val="22"/>
                <w:szCs w:val="22"/>
              </w:rPr>
              <w:t xml:space="preserve">Data Quality Flag</w:t>
            </w:r>
          </w:p>
          <w:p>
            <w:pPr>
              <w:spacing w:after="60"/>
            </w:pPr>
            <w:r>
              <w:rPr>
                <w:color w:val="333333"/>
                <w:sz w:val="20"/>
                <w:szCs w:val="20"/>
              </w:rPr>
              <w:t xml:space="preserve">▸ 1,131 of 3,900 rows (29.0%) receive a null purchase_frequency_days value due to this mismatch — every customer whose frequency is "Every 3 Months" (584 rows) or "Bi-Weekly" (547 rows) is affected.</w:t>
            </w:r>
          </w:p>
          <w:p>
            <w:pPr>
              <w:spacing w:after="60"/>
            </w:pPr>
            <w:r>
              <w:rPr>
                <w:color w:val="333333"/>
                <w:sz w:val="20"/>
                <w:szCs w:val="20"/>
              </w:rPr>
              <w:t xml:space="preserve">▸ This does not affect any of the 10 business questions answered in this report, since none of them use purchase_frequency_days.</w:t>
            </w:r>
          </w:p>
          <w:p>
            <w:pPr>
              <w:spacing w:after="60"/>
            </w:pPr>
            <w:r>
              <w:rPr>
                <w:color w:val="333333"/>
                <w:sz w:val="20"/>
                <w:szCs w:val="20"/>
              </w:rPr>
              <w:t xml:space="preserve">▸ Recommended fix: align the dictionary keys to the exact source labels ("Every 3 Months", "Bi-Weekly") before this column is used in any future analysis.</w:t>
            </w:r>
          </w:p>
        </w:tc>
      </w:tr>
    </w:tbl>
    <w:p>
      <w:pPr>
        <w:pStyle w:val="Heading2"/>
        <w:spacing w:after="140" w:before="280"/>
      </w:pPr>
      <w:r>
        <w:rPr>
          <w:b/>
          <w:bCs/>
          <w:color w:val="2E75B6"/>
          <w:sz w:val="24"/>
          <w:szCs w:val="24"/>
        </w:rPr>
        <w:t xml:space="preserve">2.5 Redundant Column Removed</w:t>
      </w:r>
    </w:p>
    <w:p>
      <w:pPr>
        <w:spacing w:after="160" w:line="300"/>
      </w:pPr>
      <w:r>
        <w:rPr>
          <w:sz w:val="22"/>
          <w:szCs w:val="22"/>
        </w:rPr>
        <w:t xml:space="preserve">The cleaning step verified that discount_applied and promo_code_used are identical in every one of the 3,900 rows (100% match). Since promo_code_used carried no additional information, it was dropped to avoid duplicate signal in the dataset. This was confirmed correct during re-validation.</w:t>
      </w:r>
    </w:p>
    <w:p>
      <w:pPr>
        <w:pStyle w:val="Heading1"/>
        <w:pBdr>
          <w:bottom w:val="single" w:color="1F3864" w:sz="6" w:space="4"/>
        </w:pBdr>
        <w:spacing w:after="200" w:before="400"/>
      </w:pPr>
      <w:r>
        <w:rPr>
          <w:b/>
          <w:bCs/>
          <w:color w:val="1F3864"/>
          <w:sz w:val="30"/>
          <w:szCs w:val="30"/>
        </w:rPr>
        <w:t xml:space="preserve">3. Revenue by Gender (Q1)</w:t>
      </w:r>
    </w:p>
    <w:p>
      <w:pPr>
        <w:spacing w:after="160" w:line="300"/>
      </w:pPr>
      <w:r>
        <w:rPr>
          <w:sz w:val="22"/>
          <w:szCs w:val="22"/>
        </w:rPr>
        <w:t xml:space="preserve">Male customers account for the large majority of revenue and order volume in this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2350"/>
      </w:tblGrid>
      <w:tr>
        <w:trPr>
          <w:tblHeader/>
        </w:trPr>
        <w:tc>
          <w:tcPr>
            <w:tcW w:type="dxa" w:w="2300"/>
            <w:shd w:fill="1F3864" w:val="clear"/>
            <w:tcMar>
              <w:top w:type="dxa" w:w="100"/>
              <w:left w:type="dxa" w:w="120"/>
              <w:bottom w:type="dxa" w:w="100"/>
              <w:right w:type="dxa" w:w="120"/>
            </w:tcMar>
          </w:tcPr>
          <w:p>
            <w:r>
              <w:rPr>
                <w:b/>
                <w:bCs/>
                <w:color w:val="FFFFFF"/>
                <w:sz w:val="20"/>
                <w:szCs w:val="20"/>
              </w:rPr>
              <w:t xml:space="preserve">Gender</w:t>
            </w:r>
          </w:p>
        </w:tc>
        <w:tc>
          <w:tcPr>
            <w:tcW w:type="dxa" w:w="2300"/>
            <w:shd w:fill="1F3864" w:val="clear"/>
            <w:tcMar>
              <w:top w:type="dxa" w:w="100"/>
              <w:left w:type="dxa" w:w="120"/>
              <w:bottom w:type="dxa" w:w="100"/>
              <w:right w:type="dxa" w:w="120"/>
            </w:tcMar>
          </w:tcPr>
          <w:p>
            <w:r>
              <w:rPr>
                <w:b/>
                <w:bCs/>
                <w:color w:val="FFFFFF"/>
                <w:sz w:val="20"/>
                <w:szCs w:val="20"/>
              </w:rPr>
              <w:t xml:space="preserve">Orders</w:t>
            </w:r>
          </w:p>
        </w:tc>
        <w:tc>
          <w:tcPr>
            <w:tcW w:type="dxa" w:w="2400"/>
            <w:shd w:fill="1F3864" w:val="clear"/>
            <w:tcMar>
              <w:top w:type="dxa" w:w="100"/>
              <w:left w:type="dxa" w:w="120"/>
              <w:bottom w:type="dxa" w:w="100"/>
              <w:right w:type="dxa" w:w="120"/>
            </w:tcMar>
          </w:tcPr>
          <w:p>
            <w:r>
              <w:rPr>
                <w:b/>
                <w:bCs/>
                <w:color w:val="FFFFFF"/>
                <w:sz w:val="20"/>
                <w:szCs w:val="20"/>
              </w:rPr>
              <w:t xml:space="preserve">Total Revenue</w:t>
            </w:r>
          </w:p>
        </w:tc>
        <w:tc>
          <w:tcPr>
            <w:tcW w:type="dxa" w:w="2350"/>
            <w:shd w:fill="1F3864" w:val="clear"/>
            <w:tcMar>
              <w:top w:type="dxa" w:w="100"/>
              <w:left w:type="dxa" w:w="120"/>
              <w:bottom w:type="dxa" w:w="100"/>
              <w:right w:type="dxa" w:w="120"/>
            </w:tcMar>
          </w:tcPr>
          <w:p>
            <w:r>
              <w:rPr>
                <w:b/>
                <w:bCs/>
                <w:color w:val="FFFFFF"/>
                <w:sz w:val="20"/>
                <w:szCs w:val="20"/>
              </w:rPr>
              <w:t xml:space="preserve">% of Revenue</w:t>
            </w:r>
          </w:p>
        </w:tc>
      </w:tr>
      <w:tr>
        <w:tc>
          <w:tcPr>
            <w:tcW w:type="dxa" w:w="2300"/>
            <w:shd w:fill="FFFFFF" w:val="clear"/>
            <w:tcMar>
              <w:top w:type="dxa" w:w="90"/>
              <w:left w:type="dxa" w:w="120"/>
              <w:bottom w:type="dxa" w:w="90"/>
              <w:right w:type="dxa" w:w="120"/>
            </w:tcMar>
          </w:tcPr>
          <w:p>
            <w:r>
              <w:rPr>
                <w:sz w:val="20"/>
                <w:szCs w:val="20"/>
              </w:rPr>
              <w:t xml:space="preserve">Male</w:t>
            </w:r>
          </w:p>
        </w:tc>
        <w:tc>
          <w:tcPr>
            <w:tcW w:type="dxa" w:w="2300"/>
            <w:shd w:fill="FFFFFF" w:val="clear"/>
            <w:tcMar>
              <w:top w:type="dxa" w:w="90"/>
              <w:left w:type="dxa" w:w="120"/>
              <w:bottom w:type="dxa" w:w="90"/>
              <w:right w:type="dxa" w:w="120"/>
            </w:tcMar>
          </w:tcPr>
          <w:p>
            <w:r>
              <w:rPr>
                <w:sz w:val="20"/>
                <w:szCs w:val="20"/>
              </w:rPr>
              <w:t xml:space="preserve">2,652</w:t>
            </w:r>
          </w:p>
        </w:tc>
        <w:tc>
          <w:tcPr>
            <w:tcW w:type="dxa" w:w="2400"/>
            <w:shd w:fill="FFFFFF" w:val="clear"/>
            <w:tcMar>
              <w:top w:type="dxa" w:w="90"/>
              <w:left w:type="dxa" w:w="120"/>
              <w:bottom w:type="dxa" w:w="90"/>
              <w:right w:type="dxa" w:w="120"/>
            </w:tcMar>
          </w:tcPr>
          <w:p>
            <w:r>
              <w:rPr>
                <w:sz w:val="20"/>
                <w:szCs w:val="20"/>
              </w:rPr>
              <w:t xml:space="preserve">$157,890</w:t>
            </w:r>
          </w:p>
        </w:tc>
        <w:tc>
          <w:tcPr>
            <w:tcW w:type="dxa" w:w="2350"/>
            <w:shd w:fill="FFFFFF" w:val="clear"/>
            <w:tcMar>
              <w:top w:type="dxa" w:w="90"/>
              <w:left w:type="dxa" w:w="120"/>
              <w:bottom w:type="dxa" w:w="90"/>
              <w:right w:type="dxa" w:w="120"/>
            </w:tcMar>
          </w:tcPr>
          <w:p>
            <w:r>
              <w:rPr>
                <w:sz w:val="20"/>
                <w:szCs w:val="20"/>
              </w:rPr>
              <w:t xml:space="preserve">67.7%</w:t>
            </w:r>
          </w:p>
        </w:tc>
      </w:tr>
      <w:tr>
        <w:tc>
          <w:tcPr>
            <w:tcW w:type="dxa" w:w="2300"/>
            <w:shd w:fill="F2F2F2" w:val="clear"/>
            <w:tcMar>
              <w:top w:type="dxa" w:w="90"/>
              <w:left w:type="dxa" w:w="120"/>
              <w:bottom w:type="dxa" w:w="90"/>
              <w:right w:type="dxa" w:w="120"/>
            </w:tcMar>
          </w:tcPr>
          <w:p>
            <w:r>
              <w:rPr>
                <w:sz w:val="20"/>
                <w:szCs w:val="20"/>
              </w:rPr>
              <w:t xml:space="preserve">Female</w:t>
            </w:r>
          </w:p>
        </w:tc>
        <w:tc>
          <w:tcPr>
            <w:tcW w:type="dxa" w:w="2300"/>
            <w:shd w:fill="F2F2F2" w:val="clear"/>
            <w:tcMar>
              <w:top w:type="dxa" w:w="90"/>
              <w:left w:type="dxa" w:w="120"/>
              <w:bottom w:type="dxa" w:w="90"/>
              <w:right w:type="dxa" w:w="120"/>
            </w:tcMar>
          </w:tcPr>
          <w:p>
            <w:r>
              <w:rPr>
                <w:sz w:val="20"/>
                <w:szCs w:val="20"/>
              </w:rPr>
              <w:t xml:space="preserve">1,248</w:t>
            </w:r>
          </w:p>
        </w:tc>
        <w:tc>
          <w:tcPr>
            <w:tcW w:type="dxa" w:w="2400"/>
            <w:shd w:fill="F2F2F2" w:val="clear"/>
            <w:tcMar>
              <w:top w:type="dxa" w:w="90"/>
              <w:left w:type="dxa" w:w="120"/>
              <w:bottom w:type="dxa" w:w="90"/>
              <w:right w:type="dxa" w:w="120"/>
            </w:tcMar>
          </w:tcPr>
          <w:p>
            <w:r>
              <w:rPr>
                <w:sz w:val="20"/>
                <w:szCs w:val="20"/>
              </w:rPr>
              <w:t xml:space="preserve">$75,191</w:t>
            </w:r>
          </w:p>
        </w:tc>
        <w:tc>
          <w:tcPr>
            <w:tcW w:type="dxa" w:w="2350"/>
            <w:shd w:fill="F2F2F2" w:val="clear"/>
            <w:tcMar>
              <w:top w:type="dxa" w:w="90"/>
              <w:left w:type="dxa" w:w="120"/>
              <w:bottom w:type="dxa" w:w="90"/>
              <w:right w:type="dxa" w:w="120"/>
            </w:tcMar>
          </w:tcPr>
          <w:p>
            <w:r>
              <w:rPr>
                <w:sz w:val="20"/>
                <w:szCs w:val="20"/>
              </w:rPr>
              <w:t xml:space="preserve">32.3%</w:t>
            </w:r>
          </w:p>
        </w:tc>
      </w:tr>
    </w:tbl>
    <w:p>
      <w:pPr>
        <w:spacing w:after="120"/>
      </w:pPr>
    </w:p>
    <w:p>
      <w:pPr>
        <w:spacing w:after="160" w:line="300"/>
      </w:pPr>
      <w:r>
        <w:rPr>
          <w:sz w:val="22"/>
          <w:szCs w:val="22"/>
        </w:rPr>
        <w:t xml:space="preserve">Male orders outnumber female orders more than 2:1 (2,652 vs 1,248), which explains nearly all of the revenue gap — average order value is comparable across genders (both close to the $59.76 overall mean). This points to a customer-mix/acquisition imbalance rather than a spending-behavior difference between genders.</w:t>
      </w:r>
    </w:p>
    <w:p>
      <w:pPr>
        <w:pStyle w:val="Heading1"/>
        <w:pBdr>
          <w:bottom w:val="single" w:color="1F3864" w:sz="6" w:space="4"/>
        </w:pBdr>
        <w:spacing w:after="200" w:before="400"/>
      </w:pPr>
      <w:r>
        <w:rPr>
          <w:b/>
          <w:bCs/>
          <w:color w:val="1F3864"/>
          <w:sz w:val="30"/>
          <w:szCs w:val="30"/>
        </w:rPr>
        <w:t xml:space="preserve">4. High-Value Discount Shoppers (Q2)</w:t>
      </w:r>
    </w:p>
    <w:p>
      <w:pPr>
        <w:spacing w:after="160" w:line="300"/>
      </w:pPr>
      <w:r>
        <w:rPr>
          <w:sz w:val="22"/>
          <w:szCs w:val="22"/>
        </w:rPr>
        <w:t xml:space="preserve">839 transactions used a discount and still spent at or above the overall average purchase amount of $59.76. This is 22% of the discount-using base, and it's a meaningful segment: discounting does not automatically imply value-seeking, low-spend customers. This group is a strong candidate for targeted upsell or loyalty-tier campaigns, since they respond to promotions without trading down.</w:t>
      </w:r>
    </w:p>
    <w:p>
      <w:pPr>
        <w:pStyle w:val="Heading1"/>
        <w:pBdr>
          <w:bottom w:val="single" w:color="1F3864" w:sz="6" w:space="4"/>
        </w:pBdr>
        <w:spacing w:after="200" w:before="400"/>
      </w:pPr>
      <w:r>
        <w:rPr>
          <w:b/>
          <w:bCs/>
          <w:color w:val="1F3864"/>
          <w:sz w:val="30"/>
          <w:szCs w:val="30"/>
        </w:rPr>
        <w:t xml:space="preserve">5. Top-Rated Products (Q3)</w:t>
      </w:r>
    </w:p>
    <w:p>
      <w:pPr>
        <w:spacing w:after="160" w:line="300"/>
      </w:pPr>
      <w:r>
        <w:rPr>
          <w:sz w:val="22"/>
          <w:szCs w:val="22"/>
        </w:rPr>
        <w:t xml:space="preserve">The five highest-rated products by average customer review, using the cleaned rating data (missing ratings filled by category median — see Section 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50"/>
      </w:tblGrid>
      <w:tr>
        <w:trPr>
          <w:tblHeader/>
        </w:trPr>
        <w:tc>
          <w:tcPr>
            <w:tcW w:type="dxa" w:w="1500"/>
            <w:shd w:fill="1F3864" w:val="clear"/>
            <w:tcMar>
              <w:top w:type="dxa" w:w="100"/>
              <w:left w:type="dxa" w:w="120"/>
              <w:bottom w:type="dxa" w:w="100"/>
              <w:right w:type="dxa" w:w="120"/>
            </w:tcMar>
          </w:tcPr>
          <w:p>
            <w:r>
              <w:rPr>
                <w:b/>
                <w:bCs/>
                <w:color w:val="FFFFFF"/>
                <w:sz w:val="20"/>
                <w:szCs w:val="20"/>
              </w:rPr>
              <w:t xml:space="preserve">Rank</w:t>
            </w:r>
          </w:p>
        </w:tc>
        <w:tc>
          <w:tcPr>
            <w:tcW w:type="dxa" w:w="4500"/>
            <w:shd w:fill="1F3864" w:val="clear"/>
            <w:tcMar>
              <w:top w:type="dxa" w:w="100"/>
              <w:left w:type="dxa" w:w="120"/>
              <w:bottom w:type="dxa" w:w="100"/>
              <w:right w:type="dxa" w:w="120"/>
            </w:tcMar>
          </w:tcPr>
          <w:p>
            <w:r>
              <w:rPr>
                <w:b/>
                <w:bCs/>
                <w:color w:val="FFFFFF"/>
                <w:sz w:val="20"/>
                <w:szCs w:val="20"/>
              </w:rPr>
              <w:t xml:space="preserve">Product</w:t>
            </w:r>
          </w:p>
        </w:tc>
        <w:tc>
          <w:tcPr>
            <w:tcW w:type="dxa" w:w="3350"/>
            <w:shd w:fill="1F3864" w:val="clear"/>
            <w:tcMar>
              <w:top w:type="dxa" w:w="100"/>
              <w:left w:type="dxa" w:w="120"/>
              <w:bottom w:type="dxa" w:w="100"/>
              <w:right w:type="dxa" w:w="120"/>
            </w:tcMar>
          </w:tcPr>
          <w:p>
            <w:r>
              <w:rPr>
                <w:b/>
                <w:bCs/>
                <w:color w:val="FFFFFF"/>
                <w:sz w:val="20"/>
                <w:szCs w:val="20"/>
              </w:rPr>
              <w:t xml:space="preserve">Avg Rating</w:t>
            </w:r>
          </w:p>
        </w:tc>
      </w:tr>
      <w:tr>
        <w:tc>
          <w:tcPr>
            <w:tcW w:type="dxa" w:w="1500"/>
            <w:shd w:fill="FFFFFF" w:val="clear"/>
            <w:tcMar>
              <w:top w:type="dxa" w:w="90"/>
              <w:left w:type="dxa" w:w="120"/>
              <w:bottom w:type="dxa" w:w="90"/>
              <w:right w:type="dxa" w:w="120"/>
            </w:tcMar>
          </w:tcPr>
          <w:p>
            <w:r>
              <w:rPr>
                <w:sz w:val="20"/>
                <w:szCs w:val="20"/>
              </w:rPr>
              <w:t xml:space="preserve">1</w:t>
            </w:r>
          </w:p>
        </w:tc>
        <w:tc>
          <w:tcPr>
            <w:tcW w:type="dxa" w:w="4500"/>
            <w:shd w:fill="FFFFFF" w:val="clear"/>
            <w:tcMar>
              <w:top w:type="dxa" w:w="90"/>
              <w:left w:type="dxa" w:w="120"/>
              <w:bottom w:type="dxa" w:w="90"/>
              <w:right w:type="dxa" w:w="120"/>
            </w:tcMar>
          </w:tcPr>
          <w:p>
            <w:r>
              <w:rPr>
                <w:sz w:val="20"/>
                <w:szCs w:val="20"/>
              </w:rPr>
              <w:t xml:space="preserve">Gloves</w:t>
            </w:r>
          </w:p>
        </w:tc>
        <w:tc>
          <w:tcPr>
            <w:tcW w:type="dxa" w:w="3350"/>
            <w:shd w:fill="FFFFFF" w:val="clear"/>
            <w:tcMar>
              <w:top w:type="dxa" w:w="90"/>
              <w:left w:type="dxa" w:w="120"/>
              <w:bottom w:type="dxa" w:w="90"/>
              <w:right w:type="dxa" w:w="120"/>
            </w:tcMar>
          </w:tcPr>
          <w:p>
            <w:r>
              <w:rPr>
                <w:sz w:val="20"/>
                <w:szCs w:val="20"/>
              </w:rPr>
              <w:t xml:space="preserve">3.86</w:t>
            </w:r>
          </w:p>
        </w:tc>
      </w:tr>
      <w:tr>
        <w:tc>
          <w:tcPr>
            <w:tcW w:type="dxa" w:w="1500"/>
            <w:shd w:fill="F2F2F2" w:val="clear"/>
            <w:tcMar>
              <w:top w:type="dxa" w:w="90"/>
              <w:left w:type="dxa" w:w="120"/>
              <w:bottom w:type="dxa" w:w="90"/>
              <w:right w:type="dxa" w:w="120"/>
            </w:tcMar>
          </w:tcPr>
          <w:p>
            <w:r>
              <w:rPr>
                <w:sz w:val="20"/>
                <w:szCs w:val="20"/>
              </w:rPr>
              <w:t xml:space="preserve">2</w:t>
            </w:r>
          </w:p>
        </w:tc>
        <w:tc>
          <w:tcPr>
            <w:tcW w:type="dxa" w:w="4500"/>
            <w:shd w:fill="F2F2F2" w:val="clear"/>
            <w:tcMar>
              <w:top w:type="dxa" w:w="90"/>
              <w:left w:type="dxa" w:w="120"/>
              <w:bottom w:type="dxa" w:w="90"/>
              <w:right w:type="dxa" w:w="120"/>
            </w:tcMar>
          </w:tcPr>
          <w:p>
            <w:r>
              <w:rPr>
                <w:sz w:val="20"/>
                <w:szCs w:val="20"/>
              </w:rPr>
              <w:t xml:space="preserve">Sandals</w:t>
            </w:r>
          </w:p>
        </w:tc>
        <w:tc>
          <w:tcPr>
            <w:tcW w:type="dxa" w:w="3350"/>
            <w:shd w:fill="F2F2F2" w:val="clear"/>
            <w:tcMar>
              <w:top w:type="dxa" w:w="90"/>
              <w:left w:type="dxa" w:w="120"/>
              <w:bottom w:type="dxa" w:w="90"/>
              <w:right w:type="dxa" w:w="120"/>
            </w:tcMar>
          </w:tcPr>
          <w:p>
            <w:r>
              <w:rPr>
                <w:sz w:val="20"/>
                <w:szCs w:val="20"/>
              </w:rPr>
              <w:t xml:space="preserve">3.84</w:t>
            </w:r>
          </w:p>
        </w:tc>
      </w:tr>
      <w:tr>
        <w:tc>
          <w:tcPr>
            <w:tcW w:type="dxa" w:w="1500"/>
            <w:shd w:fill="FFFFFF" w:val="clear"/>
            <w:tcMar>
              <w:top w:type="dxa" w:w="90"/>
              <w:left w:type="dxa" w:w="120"/>
              <w:bottom w:type="dxa" w:w="90"/>
              <w:right w:type="dxa" w:w="120"/>
            </w:tcMar>
          </w:tcPr>
          <w:p>
            <w:r>
              <w:rPr>
                <w:sz w:val="20"/>
                <w:szCs w:val="20"/>
              </w:rPr>
              <w:t xml:space="preserve">3</w:t>
            </w:r>
          </w:p>
        </w:tc>
        <w:tc>
          <w:tcPr>
            <w:tcW w:type="dxa" w:w="4500"/>
            <w:shd w:fill="FFFFFF" w:val="clear"/>
            <w:tcMar>
              <w:top w:type="dxa" w:w="90"/>
              <w:left w:type="dxa" w:w="120"/>
              <w:bottom w:type="dxa" w:w="90"/>
              <w:right w:type="dxa" w:w="120"/>
            </w:tcMar>
          </w:tcPr>
          <w:p>
            <w:r>
              <w:rPr>
                <w:sz w:val="20"/>
                <w:szCs w:val="20"/>
              </w:rPr>
              <w:t xml:space="preserve">Boots</w:t>
            </w:r>
          </w:p>
        </w:tc>
        <w:tc>
          <w:tcPr>
            <w:tcW w:type="dxa" w:w="3350"/>
            <w:shd w:fill="FFFFFF" w:val="clear"/>
            <w:tcMar>
              <w:top w:type="dxa" w:w="90"/>
              <w:left w:type="dxa" w:w="120"/>
              <w:bottom w:type="dxa" w:w="90"/>
              <w:right w:type="dxa" w:w="120"/>
            </w:tcMar>
          </w:tcPr>
          <w:p>
            <w:r>
              <w:rPr>
                <w:sz w:val="20"/>
                <w:szCs w:val="20"/>
              </w:rPr>
              <w:t xml:space="preserve">3.82</w:t>
            </w:r>
          </w:p>
        </w:tc>
      </w:tr>
      <w:tr>
        <w:tc>
          <w:tcPr>
            <w:tcW w:type="dxa" w:w="1500"/>
            <w:shd w:fill="F2F2F2" w:val="clear"/>
            <w:tcMar>
              <w:top w:type="dxa" w:w="90"/>
              <w:left w:type="dxa" w:w="120"/>
              <w:bottom w:type="dxa" w:w="90"/>
              <w:right w:type="dxa" w:w="120"/>
            </w:tcMar>
          </w:tcPr>
          <w:p>
            <w:r>
              <w:rPr>
                <w:sz w:val="20"/>
                <w:szCs w:val="20"/>
              </w:rPr>
              <w:t xml:space="preserve">4</w:t>
            </w:r>
          </w:p>
        </w:tc>
        <w:tc>
          <w:tcPr>
            <w:tcW w:type="dxa" w:w="4500"/>
            <w:shd w:fill="F2F2F2" w:val="clear"/>
            <w:tcMar>
              <w:top w:type="dxa" w:w="90"/>
              <w:left w:type="dxa" w:w="120"/>
              <w:bottom w:type="dxa" w:w="90"/>
              <w:right w:type="dxa" w:w="120"/>
            </w:tcMar>
          </w:tcPr>
          <w:p>
            <w:r>
              <w:rPr>
                <w:sz w:val="20"/>
                <w:szCs w:val="20"/>
              </w:rPr>
              <w:t xml:space="preserve">Hat</w:t>
            </w:r>
          </w:p>
        </w:tc>
        <w:tc>
          <w:tcPr>
            <w:tcW w:type="dxa" w:w="3350"/>
            <w:shd w:fill="F2F2F2" w:val="clear"/>
            <w:tcMar>
              <w:top w:type="dxa" w:w="90"/>
              <w:left w:type="dxa" w:w="120"/>
              <w:bottom w:type="dxa" w:w="90"/>
              <w:right w:type="dxa" w:w="120"/>
            </w:tcMar>
          </w:tcPr>
          <w:p>
            <w:r>
              <w:rPr>
                <w:sz w:val="20"/>
                <w:szCs w:val="20"/>
              </w:rPr>
              <w:t xml:space="preserve">3.80</w:t>
            </w:r>
          </w:p>
        </w:tc>
      </w:tr>
      <w:tr>
        <w:tc>
          <w:tcPr>
            <w:tcW w:type="dxa" w:w="1500"/>
            <w:shd w:fill="FFFFFF" w:val="clear"/>
            <w:tcMar>
              <w:top w:type="dxa" w:w="90"/>
              <w:left w:type="dxa" w:w="120"/>
              <w:bottom w:type="dxa" w:w="90"/>
              <w:right w:type="dxa" w:w="120"/>
            </w:tcMar>
          </w:tcPr>
          <w:p>
            <w:r>
              <w:rPr>
                <w:sz w:val="20"/>
                <w:szCs w:val="20"/>
              </w:rPr>
              <w:t xml:space="preserve">5</w:t>
            </w:r>
          </w:p>
        </w:tc>
        <w:tc>
          <w:tcPr>
            <w:tcW w:type="dxa" w:w="4500"/>
            <w:shd w:fill="FFFFFF" w:val="clear"/>
            <w:tcMar>
              <w:top w:type="dxa" w:w="90"/>
              <w:left w:type="dxa" w:w="120"/>
              <w:bottom w:type="dxa" w:w="90"/>
              <w:right w:type="dxa" w:w="120"/>
            </w:tcMar>
          </w:tcPr>
          <w:p>
            <w:r>
              <w:rPr>
                <w:sz w:val="20"/>
                <w:szCs w:val="20"/>
              </w:rPr>
              <w:t xml:space="preserve">Handbag</w:t>
            </w:r>
          </w:p>
        </w:tc>
        <w:tc>
          <w:tcPr>
            <w:tcW w:type="dxa" w:w="3350"/>
            <w:shd w:fill="FFFFFF" w:val="clear"/>
            <w:tcMar>
              <w:top w:type="dxa" w:w="90"/>
              <w:left w:type="dxa" w:w="120"/>
              <w:bottom w:type="dxa" w:w="90"/>
              <w:right w:type="dxa" w:w="120"/>
            </w:tcMar>
          </w:tcPr>
          <w:p>
            <w:r>
              <w:rPr>
                <w:sz w:val="20"/>
                <w:szCs w:val="20"/>
              </w:rPr>
              <w:t xml:space="preserve">3.78</w:t>
            </w:r>
          </w:p>
        </w:tc>
      </w:tr>
    </w:tbl>
    <w:p>
      <w:pPr>
        <w:spacing w:after="120"/>
      </w:pPr>
    </w:p>
    <w:p>
      <w:pPr>
        <w:spacing w:after="160" w:line="300"/>
      </w:pPr>
      <w:r>
        <w:rPr>
          <w:sz w:val="22"/>
          <w:szCs w:val="22"/>
        </w:rPr>
        <w:t xml:space="preserve">Ratings across the catalog are tightly clustered (3.78–3.86 for the top 5, against a dataset-wide average of 3.75), indicating no standout quality leader or laggard — satisfaction is fairly uniform across products rather than concentrated in a few hero items.</w:t>
      </w:r>
    </w:p>
    <w:p>
      <w:pPr>
        <w:pStyle w:val="Heading1"/>
        <w:pBdr>
          <w:bottom w:val="single" w:color="1F3864" w:sz="6" w:space="4"/>
        </w:pBdr>
        <w:spacing w:after="200" w:before="400"/>
      </w:pPr>
      <w:r>
        <w:rPr>
          <w:b/>
          <w:bCs/>
          <w:color w:val="1F3864"/>
          <w:sz w:val="30"/>
          <w:szCs w:val="30"/>
        </w:rPr>
        <w:t xml:space="preserve">6. Shipping Type vs. Spend (Q4)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3864" w:val="clear"/>
            <w:tcMar>
              <w:top w:type="dxa" w:w="100"/>
              <w:left w:type="dxa" w:w="120"/>
              <w:bottom w:type="dxa" w:w="100"/>
              <w:right w:type="dxa" w:w="120"/>
            </w:tcMar>
          </w:tcPr>
          <w:p>
            <w:r>
              <w:rPr>
                <w:b/>
                <w:bCs/>
                <w:color w:val="FFFFFF"/>
                <w:sz w:val="20"/>
                <w:szCs w:val="20"/>
              </w:rPr>
              <w:t xml:space="preserve">Shipping Type</w:t>
            </w:r>
          </w:p>
        </w:tc>
        <w:tc>
          <w:tcPr>
            <w:tcW w:type="dxa" w:w="3117"/>
            <w:shd w:fill="1F3864" w:val="clear"/>
            <w:tcMar>
              <w:top w:type="dxa" w:w="100"/>
              <w:left w:type="dxa" w:w="120"/>
              <w:bottom w:type="dxa" w:w="100"/>
              <w:right w:type="dxa" w:w="120"/>
            </w:tcMar>
          </w:tcPr>
          <w:p>
            <w:r>
              <w:rPr>
                <w:b/>
                <w:bCs/>
                <w:color w:val="FFFFFF"/>
                <w:sz w:val="20"/>
                <w:szCs w:val="20"/>
              </w:rPr>
              <w:t xml:space="preserve">Orders</w:t>
            </w:r>
          </w:p>
        </w:tc>
        <w:tc>
          <w:tcPr>
            <w:tcW w:type="dxa" w:w="3117"/>
            <w:shd w:fill="1F3864" w:val="clear"/>
            <w:tcMar>
              <w:top w:type="dxa" w:w="100"/>
              <w:left w:type="dxa" w:w="120"/>
              <w:bottom w:type="dxa" w:w="100"/>
              <w:right w:type="dxa" w:w="120"/>
            </w:tcMar>
          </w:tcPr>
          <w:p>
            <w:r>
              <w:rPr>
                <w:b/>
                <w:bCs/>
                <w:color w:val="FFFFFF"/>
                <w:sz w:val="20"/>
                <w:szCs w:val="20"/>
              </w:rPr>
              <w:t xml:space="preserve">Avg Purchase Amount</w:t>
            </w:r>
          </w:p>
        </w:tc>
      </w:tr>
      <w:tr>
        <w:tc>
          <w:tcPr>
            <w:tcW w:type="dxa" w:w="3116"/>
            <w:shd w:fill="FFFFFF" w:val="clear"/>
            <w:tcMar>
              <w:top w:type="dxa" w:w="90"/>
              <w:left w:type="dxa" w:w="120"/>
              <w:bottom w:type="dxa" w:w="90"/>
              <w:right w:type="dxa" w:w="120"/>
            </w:tcMar>
          </w:tcPr>
          <w:p>
            <w:r>
              <w:rPr>
                <w:sz w:val="20"/>
                <w:szCs w:val="20"/>
              </w:rPr>
              <w:t xml:space="preserve">Express</w:t>
            </w:r>
          </w:p>
        </w:tc>
        <w:tc>
          <w:tcPr>
            <w:tcW w:type="dxa" w:w="3117"/>
            <w:shd w:fill="FFFFFF" w:val="clear"/>
            <w:tcMar>
              <w:top w:type="dxa" w:w="90"/>
              <w:left w:type="dxa" w:w="120"/>
              <w:bottom w:type="dxa" w:w="90"/>
              <w:right w:type="dxa" w:w="120"/>
            </w:tcMar>
          </w:tcPr>
          <w:p>
            <w:r>
              <w:rPr>
                <w:sz w:val="20"/>
                <w:szCs w:val="20"/>
              </w:rPr>
              <w:t xml:space="preserve">646</w:t>
            </w:r>
          </w:p>
        </w:tc>
        <w:tc>
          <w:tcPr>
            <w:tcW w:type="dxa" w:w="3117"/>
            <w:shd w:fill="FFFFFF" w:val="clear"/>
            <w:tcMar>
              <w:top w:type="dxa" w:w="90"/>
              <w:left w:type="dxa" w:w="120"/>
              <w:bottom w:type="dxa" w:w="90"/>
              <w:right w:type="dxa" w:w="120"/>
            </w:tcMar>
          </w:tcPr>
          <w:p>
            <w:r>
              <w:rPr>
                <w:sz w:val="20"/>
                <w:szCs w:val="20"/>
              </w:rPr>
              <w:t xml:space="preserve">$60.48</w:t>
            </w:r>
          </w:p>
        </w:tc>
      </w:tr>
      <w:tr>
        <w:tc>
          <w:tcPr>
            <w:tcW w:type="dxa" w:w="3116"/>
            <w:shd w:fill="F2F2F2" w:val="clear"/>
            <w:tcMar>
              <w:top w:type="dxa" w:w="90"/>
              <w:left w:type="dxa" w:w="120"/>
              <w:bottom w:type="dxa" w:w="90"/>
              <w:right w:type="dxa" w:w="120"/>
            </w:tcMar>
          </w:tcPr>
          <w:p>
            <w:r>
              <w:rPr>
                <w:sz w:val="20"/>
                <w:szCs w:val="20"/>
              </w:rPr>
              <w:t xml:space="preserve">Standard</w:t>
            </w:r>
          </w:p>
        </w:tc>
        <w:tc>
          <w:tcPr>
            <w:tcW w:type="dxa" w:w="3117"/>
            <w:shd w:fill="F2F2F2" w:val="clear"/>
            <w:tcMar>
              <w:top w:type="dxa" w:w="90"/>
              <w:left w:type="dxa" w:w="120"/>
              <w:bottom w:type="dxa" w:w="90"/>
              <w:right w:type="dxa" w:w="120"/>
            </w:tcMar>
          </w:tcPr>
          <w:p>
            <w:r>
              <w:rPr>
                <w:sz w:val="20"/>
                <w:szCs w:val="20"/>
              </w:rPr>
              <w:t xml:space="preserve">654</w:t>
            </w:r>
          </w:p>
        </w:tc>
        <w:tc>
          <w:tcPr>
            <w:tcW w:type="dxa" w:w="3117"/>
            <w:shd w:fill="F2F2F2" w:val="clear"/>
            <w:tcMar>
              <w:top w:type="dxa" w:w="90"/>
              <w:left w:type="dxa" w:w="120"/>
              <w:bottom w:type="dxa" w:w="90"/>
              <w:right w:type="dxa" w:w="120"/>
            </w:tcMar>
          </w:tcPr>
          <w:p>
            <w:r>
              <w:rPr>
                <w:sz w:val="20"/>
                <w:szCs w:val="20"/>
              </w:rPr>
              <w:t xml:space="preserve">$58.46</w:t>
            </w:r>
          </w:p>
        </w:tc>
      </w:tr>
    </w:tbl>
    <w:p>
      <w:pPr>
        <w:spacing w:after="120"/>
      </w:pPr>
    </w:p>
    <w:p>
      <w:pPr>
        <w:spacing w:after="160" w:line="300"/>
      </w:pPr>
      <w:r>
        <w:rPr>
          <w:sz w:val="22"/>
          <w:szCs w:val="22"/>
        </w:rPr>
        <w:t xml:space="preserve">Express shipping customers spend marginally more per order (+$2.02, +3.5%) than Standard shipping customers. The difference is small, and order volumes are near-identical across all six shipping types offered (Free Shipping, Standard, Store Pickup, Next Day Air, Express, 2-Day — each 627 to 675 orders), meaning customers show no strong preference among shipping options. Shipping speed is not a major lever for basket size in this dataset.</w:t>
      </w:r>
    </w:p>
    <w:p>
      <w:r>
        <w:br w:type="page"/>
      </w:r>
    </w:p>
    <w:p>
      <w:pPr>
        <w:pStyle w:val="Heading1"/>
        <w:pBdr>
          <w:bottom w:val="single" w:color="1F3864" w:sz="6" w:space="4"/>
        </w:pBdr>
        <w:spacing w:after="200" w:before="400"/>
      </w:pPr>
      <w:r>
        <w:rPr>
          <w:b/>
          <w:bCs/>
          <w:color w:val="1F3864"/>
          <w:sz w:val="30"/>
          <w:szCs w:val="30"/>
        </w:rPr>
        <w:t xml:space="preserve">7. Subscription Impact on Spend (Q5)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2078"/>
        <w:gridCol w:w="2078"/>
        <w:gridCol w:w="2078"/>
      </w:tblGrid>
      <w:tr>
        <w:trPr>
          <w:tblHeader/>
        </w:trPr>
        <w:tc>
          <w:tcPr>
            <w:tcW w:type="dxa" w:w="3116"/>
            <w:shd w:fill="1F3864" w:val="clear"/>
            <w:tcMar>
              <w:top w:type="dxa" w:w="100"/>
              <w:left w:type="dxa" w:w="120"/>
              <w:bottom w:type="dxa" w:w="100"/>
              <w:right w:type="dxa" w:w="120"/>
            </w:tcMar>
          </w:tcPr>
          <w:p>
            <w:r>
              <w:rPr>
                <w:b/>
                <w:bCs/>
                <w:color w:val="FFFFFF"/>
                <w:sz w:val="20"/>
                <w:szCs w:val="20"/>
              </w:rPr>
              <w:t xml:space="preserve">Subscription Status</w:t>
            </w:r>
          </w:p>
        </w:tc>
        <w:tc>
          <w:tcPr>
            <w:tcW w:type="dxa" w:w="2078"/>
            <w:shd w:fill="1F3864" w:val="clear"/>
            <w:tcMar>
              <w:top w:type="dxa" w:w="100"/>
              <w:left w:type="dxa" w:w="120"/>
              <w:bottom w:type="dxa" w:w="100"/>
              <w:right w:type="dxa" w:w="120"/>
            </w:tcMar>
          </w:tcPr>
          <w:p>
            <w:r>
              <w:rPr>
                <w:b/>
                <w:bCs/>
                <w:color w:val="FFFFFF"/>
                <w:sz w:val="20"/>
                <w:szCs w:val="20"/>
              </w:rPr>
              <w:t xml:space="preserve">Customers</w:t>
            </w:r>
          </w:p>
        </w:tc>
        <w:tc>
          <w:tcPr>
            <w:tcW w:type="dxa" w:w="2078"/>
            <w:shd w:fill="1F3864" w:val="clear"/>
            <w:tcMar>
              <w:top w:type="dxa" w:w="100"/>
              <w:left w:type="dxa" w:w="120"/>
              <w:bottom w:type="dxa" w:w="100"/>
              <w:right w:type="dxa" w:w="120"/>
            </w:tcMar>
          </w:tcPr>
          <w:p>
            <w:r>
              <w:rPr>
                <w:b/>
                <w:bCs/>
                <w:color w:val="FFFFFF"/>
                <w:sz w:val="20"/>
                <w:szCs w:val="20"/>
              </w:rPr>
              <w:t xml:space="preserve">Avg Spend</w:t>
            </w:r>
          </w:p>
        </w:tc>
        <w:tc>
          <w:tcPr>
            <w:tcW w:type="dxa" w:w="2078"/>
            <w:shd w:fill="1F3864" w:val="clear"/>
            <w:tcMar>
              <w:top w:type="dxa" w:w="100"/>
              <w:left w:type="dxa" w:w="120"/>
              <w:bottom w:type="dxa" w:w="100"/>
              <w:right w:type="dxa" w:w="120"/>
            </w:tcMar>
          </w:tcPr>
          <w:p>
            <w:r>
              <w:rPr>
                <w:b/>
                <w:bCs/>
                <w:color w:val="FFFFFF"/>
                <w:sz w:val="20"/>
                <w:szCs w:val="20"/>
              </w:rPr>
              <w:t xml:space="preserve">Total Revenue</w:t>
            </w:r>
          </w:p>
        </w:tc>
      </w:tr>
      <w:tr>
        <w:tc>
          <w:tcPr>
            <w:tcW w:type="dxa" w:w="3116"/>
            <w:shd w:fill="FFFFFF" w:val="clear"/>
            <w:tcMar>
              <w:top w:type="dxa" w:w="90"/>
              <w:left w:type="dxa" w:w="120"/>
              <w:bottom w:type="dxa" w:w="90"/>
              <w:right w:type="dxa" w:w="120"/>
            </w:tcMar>
          </w:tcPr>
          <w:p>
            <w:r>
              <w:rPr>
                <w:sz w:val="20"/>
                <w:szCs w:val="20"/>
              </w:rPr>
              <w:t xml:space="preserve">No</w:t>
            </w:r>
          </w:p>
        </w:tc>
        <w:tc>
          <w:tcPr>
            <w:tcW w:type="dxa" w:w="2078"/>
            <w:shd w:fill="FFFFFF" w:val="clear"/>
            <w:tcMar>
              <w:top w:type="dxa" w:w="90"/>
              <w:left w:type="dxa" w:w="120"/>
              <w:bottom w:type="dxa" w:w="90"/>
              <w:right w:type="dxa" w:w="120"/>
            </w:tcMar>
          </w:tcPr>
          <w:p>
            <w:r>
              <w:rPr>
                <w:sz w:val="20"/>
                <w:szCs w:val="20"/>
              </w:rPr>
              <w:t xml:space="preserve">2,847</w:t>
            </w:r>
          </w:p>
        </w:tc>
        <w:tc>
          <w:tcPr>
            <w:tcW w:type="dxa" w:w="2078"/>
            <w:shd w:fill="FFFFFF" w:val="clear"/>
            <w:tcMar>
              <w:top w:type="dxa" w:w="90"/>
              <w:left w:type="dxa" w:w="120"/>
              <w:bottom w:type="dxa" w:w="90"/>
              <w:right w:type="dxa" w:w="120"/>
            </w:tcMar>
          </w:tcPr>
          <w:p>
            <w:r>
              <w:rPr>
                <w:sz w:val="20"/>
                <w:szCs w:val="20"/>
              </w:rPr>
              <w:t xml:space="preserve">$59.87</w:t>
            </w:r>
          </w:p>
        </w:tc>
        <w:tc>
          <w:tcPr>
            <w:tcW w:type="dxa" w:w="2078"/>
            <w:shd w:fill="FFFFFF" w:val="clear"/>
            <w:tcMar>
              <w:top w:type="dxa" w:w="90"/>
              <w:left w:type="dxa" w:w="120"/>
              <w:bottom w:type="dxa" w:w="90"/>
              <w:right w:type="dxa" w:w="120"/>
            </w:tcMar>
          </w:tcPr>
          <w:p>
            <w:r>
              <w:rPr>
                <w:sz w:val="20"/>
                <w:szCs w:val="20"/>
              </w:rPr>
              <w:t xml:space="preserve">$170,436</w:t>
            </w:r>
          </w:p>
        </w:tc>
      </w:tr>
      <w:tr>
        <w:tc>
          <w:tcPr>
            <w:tcW w:type="dxa" w:w="3116"/>
            <w:shd w:fill="F2F2F2" w:val="clear"/>
            <w:tcMar>
              <w:top w:type="dxa" w:w="90"/>
              <w:left w:type="dxa" w:w="120"/>
              <w:bottom w:type="dxa" w:w="90"/>
              <w:right w:type="dxa" w:w="120"/>
            </w:tcMar>
          </w:tcPr>
          <w:p>
            <w:r>
              <w:rPr>
                <w:sz w:val="20"/>
                <w:szCs w:val="20"/>
              </w:rPr>
              <w:t xml:space="preserve">Yes</w:t>
            </w:r>
          </w:p>
        </w:tc>
        <w:tc>
          <w:tcPr>
            <w:tcW w:type="dxa" w:w="2078"/>
            <w:shd w:fill="F2F2F2" w:val="clear"/>
            <w:tcMar>
              <w:top w:type="dxa" w:w="90"/>
              <w:left w:type="dxa" w:w="120"/>
              <w:bottom w:type="dxa" w:w="90"/>
              <w:right w:type="dxa" w:w="120"/>
            </w:tcMar>
          </w:tcPr>
          <w:p>
            <w:r>
              <w:rPr>
                <w:sz w:val="20"/>
                <w:szCs w:val="20"/>
              </w:rPr>
              <w:t xml:space="preserve">1,053</w:t>
            </w:r>
          </w:p>
        </w:tc>
        <w:tc>
          <w:tcPr>
            <w:tcW w:type="dxa" w:w="2078"/>
            <w:shd w:fill="F2F2F2" w:val="clear"/>
            <w:tcMar>
              <w:top w:type="dxa" w:w="90"/>
              <w:left w:type="dxa" w:w="120"/>
              <w:bottom w:type="dxa" w:w="90"/>
              <w:right w:type="dxa" w:w="120"/>
            </w:tcMar>
          </w:tcPr>
          <w:p>
            <w:r>
              <w:rPr>
                <w:sz w:val="20"/>
                <w:szCs w:val="20"/>
              </w:rPr>
              <w:t xml:space="preserve">$59.49</w:t>
            </w:r>
          </w:p>
        </w:tc>
        <w:tc>
          <w:tcPr>
            <w:tcW w:type="dxa" w:w="2078"/>
            <w:shd w:fill="F2F2F2" w:val="clear"/>
            <w:tcMar>
              <w:top w:type="dxa" w:w="90"/>
              <w:left w:type="dxa" w:w="120"/>
              <w:bottom w:type="dxa" w:w="90"/>
              <w:right w:type="dxa" w:w="120"/>
            </w:tcMar>
          </w:tcPr>
          <w:p>
            <w:r>
              <w:rPr>
                <w:sz w:val="20"/>
                <w:szCs w:val="20"/>
              </w:rPr>
              <w:t xml:space="preserve">$62,645</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24"/>
              <w:bottom w:val="single" w:color="2E75B6" w:sz="4"/>
              <w:right w:val="single" w:color="2E75B6" w:sz="4"/>
            </w:tcBorders>
            <w:shd w:fill="EEF3FA" w:val="clear"/>
            <w:tcMar>
              <w:top w:type="dxa" w:w="150"/>
              <w:left w:type="dxa" w:w="200"/>
              <w:bottom w:type="dxa" w:w="150"/>
              <w:right w:type="dxa" w:w="200"/>
            </w:tcMar>
          </w:tcPr>
          <w:p>
            <w:pPr>
              <w:spacing w:after="100"/>
            </w:pPr>
            <w:r>
              <w:rPr>
                <w:b/>
                <w:bCs/>
                <w:color w:val="1F3864"/>
                <w:sz w:val="22"/>
                <w:szCs w:val="22"/>
              </w:rPr>
              <w:t xml:space="preserve">Why this matters</w:t>
            </w:r>
          </w:p>
          <w:p>
            <w:pPr>
              <w:spacing w:after="60"/>
            </w:pPr>
            <w:r>
              <w:rPr>
                <w:color w:val="333333"/>
                <w:sz w:val="20"/>
                <w:szCs w:val="20"/>
              </w:rPr>
              <w:t xml:space="preserve">▸ Non-subscribers spend essentially the same per order as subscribers ($59.87 vs $59.49) — a 0.6% difference, not statistically meaningful at this scale.</w:t>
            </w:r>
          </w:p>
          <w:p>
            <w:pPr>
              <w:spacing w:after="60"/>
            </w:pPr>
            <w:r>
              <w:rPr>
                <w:color w:val="333333"/>
                <w:sz w:val="20"/>
                <w:szCs w:val="20"/>
              </w:rPr>
              <w:t xml:space="preserve">▸ Subscribers represent only 27% of customers but generate 27% of revenue — proportional, not premium.</w:t>
            </w:r>
          </w:p>
          <w:p>
            <w:pPr>
              <w:spacing w:after="60"/>
            </w:pPr>
            <w:r>
              <w:rPr>
                <w:color w:val="333333"/>
                <w:sz w:val="20"/>
                <w:szCs w:val="20"/>
              </w:rPr>
              <w:t xml:space="preserve">▸ The subscription program currently functions as a retention/engagement mechanism rather than a monetization lever. If the goal is higher spend per subscriber, current perks are not moving that needle.</w:t>
            </w:r>
          </w:p>
        </w:tc>
      </w:tr>
    </w:tbl>
    <w:p>
      <w:pPr>
        <w:pStyle w:val="Heading1"/>
        <w:pBdr>
          <w:bottom w:val="single" w:color="1F3864" w:sz="6" w:space="4"/>
        </w:pBdr>
        <w:spacing w:after="200" w:before="400"/>
      </w:pPr>
      <w:r>
        <w:rPr>
          <w:b/>
          <w:bCs/>
          <w:color w:val="1F3864"/>
          <w:sz w:val="30"/>
          <w:szCs w:val="30"/>
        </w:rPr>
        <w:t xml:space="preserve">8. Discount Concentration by Product (Q6)</w:t>
      </w:r>
    </w:p>
    <w:p>
      <w:pPr>
        <w:spacing w:after="160" w:line="300"/>
      </w:pPr>
      <w:r>
        <w:rPr>
          <w:sz w:val="22"/>
          <w:szCs w:val="22"/>
        </w:rPr>
        <w:t xml:space="preserve">The five products where discounts are applied most frequently, as a share of that product's own orders: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50"/>
      </w:tblGrid>
      <w:tr>
        <w:trPr>
          <w:tblHeader/>
        </w:trPr>
        <w:tc>
          <w:tcPr>
            <w:tcW w:type="dxa" w:w="1500"/>
            <w:shd w:fill="1F3864" w:val="clear"/>
            <w:tcMar>
              <w:top w:type="dxa" w:w="100"/>
              <w:left w:type="dxa" w:w="120"/>
              <w:bottom w:type="dxa" w:w="100"/>
              <w:right w:type="dxa" w:w="120"/>
            </w:tcMar>
          </w:tcPr>
          <w:p>
            <w:r>
              <w:rPr>
                <w:b/>
                <w:bCs/>
                <w:color w:val="FFFFFF"/>
                <w:sz w:val="20"/>
                <w:szCs w:val="20"/>
              </w:rPr>
              <w:t xml:space="preserve">Rank</w:t>
            </w:r>
          </w:p>
        </w:tc>
        <w:tc>
          <w:tcPr>
            <w:tcW w:type="dxa" w:w="4500"/>
            <w:shd w:fill="1F3864" w:val="clear"/>
            <w:tcMar>
              <w:top w:type="dxa" w:w="100"/>
              <w:left w:type="dxa" w:w="120"/>
              <w:bottom w:type="dxa" w:w="100"/>
              <w:right w:type="dxa" w:w="120"/>
            </w:tcMar>
          </w:tcPr>
          <w:p>
            <w:r>
              <w:rPr>
                <w:b/>
                <w:bCs/>
                <w:color w:val="FFFFFF"/>
                <w:sz w:val="20"/>
                <w:szCs w:val="20"/>
              </w:rPr>
              <w:t xml:space="preserve">Product</w:t>
            </w:r>
          </w:p>
        </w:tc>
        <w:tc>
          <w:tcPr>
            <w:tcW w:type="dxa" w:w="3350"/>
            <w:shd w:fill="1F3864" w:val="clear"/>
            <w:tcMar>
              <w:top w:type="dxa" w:w="100"/>
              <w:left w:type="dxa" w:w="120"/>
              <w:bottom w:type="dxa" w:w="100"/>
              <w:right w:type="dxa" w:w="120"/>
            </w:tcMar>
          </w:tcPr>
          <w:p>
            <w:r>
              <w:rPr>
                <w:b/>
                <w:bCs/>
                <w:color w:val="FFFFFF"/>
                <w:sz w:val="20"/>
                <w:szCs w:val="20"/>
              </w:rPr>
              <w:t xml:space="preserve">% of Orders Discounted</w:t>
            </w:r>
          </w:p>
        </w:tc>
      </w:tr>
      <w:tr>
        <w:tc>
          <w:tcPr>
            <w:tcW w:type="dxa" w:w="1500"/>
            <w:shd w:fill="FFFFFF" w:val="clear"/>
            <w:tcMar>
              <w:top w:type="dxa" w:w="90"/>
              <w:left w:type="dxa" w:w="120"/>
              <w:bottom w:type="dxa" w:w="90"/>
              <w:right w:type="dxa" w:w="120"/>
            </w:tcMar>
          </w:tcPr>
          <w:p>
            <w:r>
              <w:rPr>
                <w:sz w:val="20"/>
                <w:szCs w:val="20"/>
              </w:rPr>
              <w:t xml:space="preserve">1</w:t>
            </w:r>
          </w:p>
        </w:tc>
        <w:tc>
          <w:tcPr>
            <w:tcW w:type="dxa" w:w="4500"/>
            <w:shd w:fill="FFFFFF" w:val="clear"/>
            <w:tcMar>
              <w:top w:type="dxa" w:w="90"/>
              <w:left w:type="dxa" w:w="120"/>
              <w:bottom w:type="dxa" w:w="90"/>
              <w:right w:type="dxa" w:w="120"/>
            </w:tcMar>
          </w:tcPr>
          <w:p>
            <w:r>
              <w:rPr>
                <w:sz w:val="20"/>
                <w:szCs w:val="20"/>
              </w:rPr>
              <w:t xml:space="preserve">Hat</w:t>
            </w:r>
          </w:p>
        </w:tc>
        <w:tc>
          <w:tcPr>
            <w:tcW w:type="dxa" w:w="3350"/>
            <w:shd w:fill="FFFFFF" w:val="clear"/>
            <w:tcMar>
              <w:top w:type="dxa" w:w="90"/>
              <w:left w:type="dxa" w:w="120"/>
              <w:bottom w:type="dxa" w:w="90"/>
              <w:right w:type="dxa" w:w="120"/>
            </w:tcMar>
          </w:tcPr>
          <w:p>
            <w:r>
              <w:rPr>
                <w:sz w:val="20"/>
                <w:szCs w:val="20"/>
              </w:rPr>
              <w:t xml:space="preserve">50.0%</w:t>
            </w:r>
          </w:p>
        </w:tc>
      </w:tr>
      <w:tr>
        <w:tc>
          <w:tcPr>
            <w:tcW w:type="dxa" w:w="1500"/>
            <w:shd w:fill="F2F2F2" w:val="clear"/>
            <w:tcMar>
              <w:top w:type="dxa" w:w="90"/>
              <w:left w:type="dxa" w:w="120"/>
              <w:bottom w:type="dxa" w:w="90"/>
              <w:right w:type="dxa" w:w="120"/>
            </w:tcMar>
          </w:tcPr>
          <w:p>
            <w:r>
              <w:rPr>
                <w:sz w:val="20"/>
                <w:szCs w:val="20"/>
              </w:rPr>
              <w:t xml:space="preserve">2</w:t>
            </w:r>
          </w:p>
        </w:tc>
        <w:tc>
          <w:tcPr>
            <w:tcW w:type="dxa" w:w="4500"/>
            <w:shd w:fill="F2F2F2" w:val="clear"/>
            <w:tcMar>
              <w:top w:type="dxa" w:w="90"/>
              <w:left w:type="dxa" w:w="120"/>
              <w:bottom w:type="dxa" w:w="90"/>
              <w:right w:type="dxa" w:w="120"/>
            </w:tcMar>
          </w:tcPr>
          <w:p>
            <w:r>
              <w:rPr>
                <w:sz w:val="20"/>
                <w:szCs w:val="20"/>
              </w:rPr>
              <w:t xml:space="preserve">Sneakers</w:t>
            </w:r>
          </w:p>
        </w:tc>
        <w:tc>
          <w:tcPr>
            <w:tcW w:type="dxa" w:w="3350"/>
            <w:shd w:fill="F2F2F2" w:val="clear"/>
            <w:tcMar>
              <w:top w:type="dxa" w:w="90"/>
              <w:left w:type="dxa" w:w="120"/>
              <w:bottom w:type="dxa" w:w="90"/>
              <w:right w:type="dxa" w:w="120"/>
            </w:tcMar>
          </w:tcPr>
          <w:p>
            <w:r>
              <w:rPr>
                <w:sz w:val="20"/>
                <w:szCs w:val="20"/>
              </w:rPr>
              <w:t xml:space="preserve">49.7%</w:t>
            </w:r>
          </w:p>
        </w:tc>
      </w:tr>
      <w:tr>
        <w:tc>
          <w:tcPr>
            <w:tcW w:type="dxa" w:w="1500"/>
            <w:shd w:fill="FFFFFF" w:val="clear"/>
            <w:tcMar>
              <w:top w:type="dxa" w:w="90"/>
              <w:left w:type="dxa" w:w="120"/>
              <w:bottom w:type="dxa" w:w="90"/>
              <w:right w:type="dxa" w:w="120"/>
            </w:tcMar>
          </w:tcPr>
          <w:p>
            <w:r>
              <w:rPr>
                <w:sz w:val="20"/>
                <w:szCs w:val="20"/>
              </w:rPr>
              <w:t xml:space="preserve">3</w:t>
            </w:r>
          </w:p>
        </w:tc>
        <w:tc>
          <w:tcPr>
            <w:tcW w:type="dxa" w:w="4500"/>
            <w:shd w:fill="FFFFFF" w:val="clear"/>
            <w:tcMar>
              <w:top w:type="dxa" w:w="90"/>
              <w:left w:type="dxa" w:w="120"/>
              <w:bottom w:type="dxa" w:w="90"/>
              <w:right w:type="dxa" w:w="120"/>
            </w:tcMar>
          </w:tcPr>
          <w:p>
            <w:r>
              <w:rPr>
                <w:sz w:val="20"/>
                <w:szCs w:val="20"/>
              </w:rPr>
              <w:t xml:space="preserve">Coat</w:t>
            </w:r>
          </w:p>
        </w:tc>
        <w:tc>
          <w:tcPr>
            <w:tcW w:type="dxa" w:w="3350"/>
            <w:shd w:fill="FFFFFF" w:val="clear"/>
            <w:tcMar>
              <w:top w:type="dxa" w:w="90"/>
              <w:left w:type="dxa" w:w="120"/>
              <w:bottom w:type="dxa" w:w="90"/>
              <w:right w:type="dxa" w:w="120"/>
            </w:tcMar>
          </w:tcPr>
          <w:p>
            <w:r>
              <w:rPr>
                <w:sz w:val="20"/>
                <w:szCs w:val="20"/>
              </w:rPr>
              <w:t xml:space="preserve">49.1%</w:t>
            </w:r>
          </w:p>
        </w:tc>
      </w:tr>
      <w:tr>
        <w:tc>
          <w:tcPr>
            <w:tcW w:type="dxa" w:w="1500"/>
            <w:shd w:fill="F2F2F2" w:val="clear"/>
            <w:tcMar>
              <w:top w:type="dxa" w:w="90"/>
              <w:left w:type="dxa" w:w="120"/>
              <w:bottom w:type="dxa" w:w="90"/>
              <w:right w:type="dxa" w:w="120"/>
            </w:tcMar>
          </w:tcPr>
          <w:p>
            <w:r>
              <w:rPr>
                <w:sz w:val="20"/>
                <w:szCs w:val="20"/>
              </w:rPr>
              <w:t xml:space="preserve">4</w:t>
            </w:r>
          </w:p>
        </w:tc>
        <w:tc>
          <w:tcPr>
            <w:tcW w:type="dxa" w:w="4500"/>
            <w:shd w:fill="F2F2F2" w:val="clear"/>
            <w:tcMar>
              <w:top w:type="dxa" w:w="90"/>
              <w:left w:type="dxa" w:w="120"/>
              <w:bottom w:type="dxa" w:w="90"/>
              <w:right w:type="dxa" w:w="120"/>
            </w:tcMar>
          </w:tcPr>
          <w:p>
            <w:r>
              <w:rPr>
                <w:sz w:val="20"/>
                <w:szCs w:val="20"/>
              </w:rPr>
              <w:t xml:space="preserve">Sweater</w:t>
            </w:r>
          </w:p>
        </w:tc>
        <w:tc>
          <w:tcPr>
            <w:tcW w:type="dxa" w:w="3350"/>
            <w:shd w:fill="F2F2F2" w:val="clear"/>
            <w:tcMar>
              <w:top w:type="dxa" w:w="90"/>
              <w:left w:type="dxa" w:w="120"/>
              <w:bottom w:type="dxa" w:w="90"/>
              <w:right w:type="dxa" w:w="120"/>
            </w:tcMar>
          </w:tcPr>
          <w:p>
            <w:r>
              <w:rPr>
                <w:sz w:val="20"/>
                <w:szCs w:val="20"/>
              </w:rPr>
              <w:t xml:space="preserve">48.2%</w:t>
            </w:r>
          </w:p>
        </w:tc>
      </w:tr>
      <w:tr>
        <w:tc>
          <w:tcPr>
            <w:tcW w:type="dxa" w:w="1500"/>
            <w:shd w:fill="FFFFFF" w:val="clear"/>
            <w:tcMar>
              <w:top w:type="dxa" w:w="90"/>
              <w:left w:type="dxa" w:w="120"/>
              <w:bottom w:type="dxa" w:w="90"/>
              <w:right w:type="dxa" w:w="120"/>
            </w:tcMar>
          </w:tcPr>
          <w:p>
            <w:r>
              <w:rPr>
                <w:sz w:val="20"/>
                <w:szCs w:val="20"/>
              </w:rPr>
              <w:t xml:space="preserve">5</w:t>
            </w:r>
          </w:p>
        </w:tc>
        <w:tc>
          <w:tcPr>
            <w:tcW w:type="dxa" w:w="4500"/>
            <w:shd w:fill="FFFFFF" w:val="clear"/>
            <w:tcMar>
              <w:top w:type="dxa" w:w="90"/>
              <w:left w:type="dxa" w:w="120"/>
              <w:bottom w:type="dxa" w:w="90"/>
              <w:right w:type="dxa" w:w="120"/>
            </w:tcMar>
          </w:tcPr>
          <w:p>
            <w:r>
              <w:rPr>
                <w:sz w:val="20"/>
                <w:szCs w:val="20"/>
              </w:rPr>
              <w:t xml:space="preserve">Pants</w:t>
            </w:r>
          </w:p>
        </w:tc>
        <w:tc>
          <w:tcPr>
            <w:tcW w:type="dxa" w:w="3350"/>
            <w:shd w:fill="FFFFFF" w:val="clear"/>
            <w:tcMar>
              <w:top w:type="dxa" w:w="90"/>
              <w:left w:type="dxa" w:w="120"/>
              <w:bottom w:type="dxa" w:w="90"/>
              <w:right w:type="dxa" w:w="120"/>
            </w:tcMar>
          </w:tcPr>
          <w:p>
            <w:r>
              <w:rPr>
                <w:sz w:val="20"/>
                <w:szCs w:val="20"/>
              </w:rPr>
              <w:t xml:space="preserve">47.4%</w:t>
            </w:r>
          </w:p>
        </w:tc>
      </w:tr>
    </w:tbl>
    <w:p>
      <w:pPr>
        <w:spacing w:after="120"/>
      </w:pPr>
    </w:p>
    <w:p>
      <w:pPr>
        <w:spacing w:after="160" w:line="300"/>
      </w:pPr>
      <w:r>
        <w:rPr>
          <w:sz w:val="22"/>
          <w:szCs w:val="22"/>
        </w:rPr>
        <w:t xml:space="preserve">These rates sit close to the dataset-wide discount usage rate of 43%, so no single product category is being discounted dramatically more than others — discounting appears to be applied fairly evenly rather than as a targeted clearance strategy for specific SKUs.</w:t>
      </w:r>
    </w:p>
    <w:p>
      <w:pPr>
        <w:pStyle w:val="Heading1"/>
        <w:pBdr>
          <w:bottom w:val="single" w:color="1F3864" w:sz="6" w:space="4"/>
        </w:pBdr>
        <w:spacing w:after="200" w:before="400"/>
      </w:pPr>
      <w:r>
        <w:rPr>
          <w:b/>
          <w:bCs/>
          <w:color w:val="1F3864"/>
          <w:sz w:val="30"/>
          <w:szCs w:val="30"/>
        </w:rPr>
        <w:t xml:space="preserve">9. Customer Loyalty Segmentation (Q7)</w:t>
      </w:r>
    </w:p>
    <w:p>
      <w:pPr>
        <w:spacing w:after="160" w:line="300"/>
      </w:pPr>
      <w:r>
        <w:rPr>
          <w:sz w:val="22"/>
          <w:szCs w:val="22"/>
        </w:rPr>
        <w:t xml:space="preserve">Customers were segmented by number of previous purchases: New (1), Returning (2–10), Loyal (11+).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950"/>
        <w:gridCol w:w="2000"/>
      </w:tblGrid>
      <w:tr>
        <w:trPr>
          <w:tblHeader/>
        </w:trPr>
        <w:tc>
          <w:tcPr>
            <w:tcW w:type="dxa" w:w="1900"/>
            <w:shd w:fill="1F3864" w:val="clear"/>
            <w:tcMar>
              <w:top w:type="dxa" w:w="100"/>
              <w:left w:type="dxa" w:w="120"/>
              <w:bottom w:type="dxa" w:w="100"/>
              <w:right w:type="dxa" w:w="120"/>
            </w:tcMar>
          </w:tcPr>
          <w:p>
            <w:r>
              <w:rPr>
                <w:b/>
                <w:bCs/>
                <w:color w:val="FFFFFF"/>
                <w:sz w:val="20"/>
                <w:szCs w:val="20"/>
              </w:rPr>
              <w:t xml:space="preserve">Segment</w:t>
            </w:r>
          </w:p>
        </w:tc>
        <w:tc>
          <w:tcPr>
            <w:tcW w:type="dxa" w:w="3500"/>
            <w:shd w:fill="1F3864" w:val="clear"/>
            <w:tcMar>
              <w:top w:type="dxa" w:w="100"/>
              <w:left w:type="dxa" w:w="120"/>
              <w:bottom w:type="dxa" w:w="100"/>
              <w:right w:type="dxa" w:w="120"/>
            </w:tcMar>
          </w:tcPr>
          <w:p>
            <w:r>
              <w:rPr>
                <w:b/>
                <w:bCs/>
                <w:color w:val="FFFFFF"/>
                <w:sz w:val="20"/>
                <w:szCs w:val="20"/>
              </w:rPr>
              <w:t xml:space="preserve">Definition</w:t>
            </w:r>
          </w:p>
        </w:tc>
        <w:tc>
          <w:tcPr>
            <w:tcW w:type="dxa" w:w="1950"/>
            <w:shd w:fill="1F3864" w:val="clear"/>
            <w:tcMar>
              <w:top w:type="dxa" w:w="100"/>
              <w:left w:type="dxa" w:w="120"/>
              <w:bottom w:type="dxa" w:w="100"/>
              <w:right w:type="dxa" w:w="120"/>
            </w:tcMar>
          </w:tcPr>
          <w:p>
            <w:r>
              <w:rPr>
                <w:b/>
                <w:bCs/>
                <w:color w:val="FFFFFF"/>
                <w:sz w:val="20"/>
                <w:szCs w:val="20"/>
              </w:rPr>
              <w:t xml:space="preserve">Customers</w:t>
            </w:r>
          </w:p>
        </w:tc>
        <w:tc>
          <w:tcPr>
            <w:tcW w:type="dxa" w:w="2000"/>
            <w:shd w:fill="1F3864" w:val="clear"/>
            <w:tcMar>
              <w:top w:type="dxa" w:w="100"/>
              <w:left w:type="dxa" w:w="120"/>
              <w:bottom w:type="dxa" w:w="100"/>
              <w:right w:type="dxa" w:w="120"/>
            </w:tcMar>
          </w:tcPr>
          <w:p>
            <w:r>
              <w:rPr>
                <w:b/>
                <w:bCs/>
                <w:color w:val="FFFFFF"/>
                <w:sz w:val="20"/>
                <w:szCs w:val="20"/>
              </w:rPr>
              <w:t xml:space="preserve">% of Base</w:t>
            </w:r>
          </w:p>
        </w:tc>
      </w:tr>
      <w:tr>
        <w:tc>
          <w:tcPr>
            <w:tcW w:type="dxa" w:w="1900"/>
            <w:shd w:fill="FFFFFF" w:val="clear"/>
            <w:tcMar>
              <w:top w:type="dxa" w:w="90"/>
              <w:left w:type="dxa" w:w="120"/>
              <w:bottom w:type="dxa" w:w="90"/>
              <w:right w:type="dxa" w:w="120"/>
            </w:tcMar>
          </w:tcPr>
          <w:p>
            <w:r>
              <w:rPr>
                <w:sz w:val="20"/>
                <w:szCs w:val="20"/>
              </w:rPr>
              <w:t xml:space="preserve">New</w:t>
            </w:r>
          </w:p>
        </w:tc>
        <w:tc>
          <w:tcPr>
            <w:tcW w:type="dxa" w:w="3500"/>
            <w:shd w:fill="FFFFFF" w:val="clear"/>
            <w:tcMar>
              <w:top w:type="dxa" w:w="90"/>
              <w:left w:type="dxa" w:w="120"/>
              <w:bottom w:type="dxa" w:w="90"/>
              <w:right w:type="dxa" w:w="120"/>
            </w:tcMar>
          </w:tcPr>
          <w:p>
            <w:r>
              <w:rPr>
                <w:sz w:val="20"/>
                <w:szCs w:val="20"/>
              </w:rPr>
              <w:t xml:space="preserve">1 previous purchase</w:t>
            </w:r>
          </w:p>
        </w:tc>
        <w:tc>
          <w:tcPr>
            <w:tcW w:type="dxa" w:w="1950"/>
            <w:shd w:fill="FFFFFF" w:val="clear"/>
            <w:tcMar>
              <w:top w:type="dxa" w:w="90"/>
              <w:left w:type="dxa" w:w="120"/>
              <w:bottom w:type="dxa" w:w="90"/>
              <w:right w:type="dxa" w:w="120"/>
            </w:tcMar>
          </w:tcPr>
          <w:p>
            <w:r>
              <w:rPr>
                <w:sz w:val="20"/>
                <w:szCs w:val="20"/>
              </w:rPr>
              <w:t xml:space="preserve">83</w:t>
            </w:r>
          </w:p>
        </w:tc>
        <w:tc>
          <w:tcPr>
            <w:tcW w:type="dxa" w:w="2000"/>
            <w:shd w:fill="FFFFFF" w:val="clear"/>
            <w:tcMar>
              <w:top w:type="dxa" w:w="90"/>
              <w:left w:type="dxa" w:w="120"/>
              <w:bottom w:type="dxa" w:w="90"/>
              <w:right w:type="dxa" w:w="120"/>
            </w:tcMar>
          </w:tcPr>
          <w:p>
            <w:r>
              <w:rPr>
                <w:sz w:val="20"/>
                <w:szCs w:val="20"/>
              </w:rPr>
              <w:t xml:space="preserve">2.1%</w:t>
            </w:r>
          </w:p>
        </w:tc>
      </w:tr>
      <w:tr>
        <w:tc>
          <w:tcPr>
            <w:tcW w:type="dxa" w:w="1900"/>
            <w:shd w:fill="F2F2F2" w:val="clear"/>
            <w:tcMar>
              <w:top w:type="dxa" w:w="90"/>
              <w:left w:type="dxa" w:w="120"/>
              <w:bottom w:type="dxa" w:w="90"/>
              <w:right w:type="dxa" w:w="120"/>
            </w:tcMar>
          </w:tcPr>
          <w:p>
            <w:r>
              <w:rPr>
                <w:sz w:val="20"/>
                <w:szCs w:val="20"/>
              </w:rPr>
              <w:t xml:space="preserve">Returning</w:t>
            </w:r>
          </w:p>
        </w:tc>
        <w:tc>
          <w:tcPr>
            <w:tcW w:type="dxa" w:w="3500"/>
            <w:shd w:fill="F2F2F2" w:val="clear"/>
            <w:tcMar>
              <w:top w:type="dxa" w:w="90"/>
              <w:left w:type="dxa" w:w="120"/>
              <w:bottom w:type="dxa" w:w="90"/>
              <w:right w:type="dxa" w:w="120"/>
            </w:tcMar>
          </w:tcPr>
          <w:p>
            <w:r>
              <w:rPr>
                <w:sz w:val="20"/>
                <w:szCs w:val="20"/>
              </w:rPr>
              <w:t xml:space="preserve">2–10 previous purchases</w:t>
            </w:r>
          </w:p>
        </w:tc>
        <w:tc>
          <w:tcPr>
            <w:tcW w:type="dxa" w:w="1950"/>
            <w:shd w:fill="F2F2F2" w:val="clear"/>
            <w:tcMar>
              <w:top w:type="dxa" w:w="90"/>
              <w:left w:type="dxa" w:w="120"/>
              <w:bottom w:type="dxa" w:w="90"/>
              <w:right w:type="dxa" w:w="120"/>
            </w:tcMar>
          </w:tcPr>
          <w:p>
            <w:r>
              <w:rPr>
                <w:sz w:val="20"/>
                <w:szCs w:val="20"/>
              </w:rPr>
              <w:t xml:space="preserve">701</w:t>
            </w:r>
          </w:p>
        </w:tc>
        <w:tc>
          <w:tcPr>
            <w:tcW w:type="dxa" w:w="2000"/>
            <w:shd w:fill="F2F2F2" w:val="clear"/>
            <w:tcMar>
              <w:top w:type="dxa" w:w="90"/>
              <w:left w:type="dxa" w:w="120"/>
              <w:bottom w:type="dxa" w:w="90"/>
              <w:right w:type="dxa" w:w="120"/>
            </w:tcMar>
          </w:tcPr>
          <w:p>
            <w:r>
              <w:rPr>
                <w:sz w:val="20"/>
                <w:szCs w:val="20"/>
              </w:rPr>
              <w:t xml:space="preserve">18.0%</w:t>
            </w:r>
          </w:p>
        </w:tc>
      </w:tr>
      <w:tr>
        <w:tc>
          <w:tcPr>
            <w:tcW w:type="dxa" w:w="1900"/>
            <w:shd w:fill="FFFFFF" w:val="clear"/>
            <w:tcMar>
              <w:top w:type="dxa" w:w="90"/>
              <w:left w:type="dxa" w:w="120"/>
              <w:bottom w:type="dxa" w:w="90"/>
              <w:right w:type="dxa" w:w="120"/>
            </w:tcMar>
          </w:tcPr>
          <w:p>
            <w:r>
              <w:rPr>
                <w:sz w:val="20"/>
                <w:szCs w:val="20"/>
              </w:rPr>
              <w:t xml:space="preserve">Loyal</w:t>
            </w:r>
          </w:p>
        </w:tc>
        <w:tc>
          <w:tcPr>
            <w:tcW w:type="dxa" w:w="3500"/>
            <w:shd w:fill="FFFFFF" w:val="clear"/>
            <w:tcMar>
              <w:top w:type="dxa" w:w="90"/>
              <w:left w:type="dxa" w:w="120"/>
              <w:bottom w:type="dxa" w:w="90"/>
              <w:right w:type="dxa" w:w="120"/>
            </w:tcMar>
          </w:tcPr>
          <w:p>
            <w:r>
              <w:rPr>
                <w:sz w:val="20"/>
                <w:szCs w:val="20"/>
              </w:rPr>
              <w:t xml:space="preserve">11+ previous purchases</w:t>
            </w:r>
          </w:p>
        </w:tc>
        <w:tc>
          <w:tcPr>
            <w:tcW w:type="dxa" w:w="1950"/>
            <w:shd w:fill="FFFFFF" w:val="clear"/>
            <w:tcMar>
              <w:top w:type="dxa" w:w="90"/>
              <w:left w:type="dxa" w:w="120"/>
              <w:bottom w:type="dxa" w:w="90"/>
              <w:right w:type="dxa" w:w="120"/>
            </w:tcMar>
          </w:tcPr>
          <w:p>
            <w:r>
              <w:rPr>
                <w:sz w:val="20"/>
                <w:szCs w:val="20"/>
              </w:rPr>
              <w:t xml:space="preserve">3,116</w:t>
            </w:r>
          </w:p>
        </w:tc>
        <w:tc>
          <w:tcPr>
            <w:tcW w:type="dxa" w:w="2000"/>
            <w:shd w:fill="FFFFFF" w:val="clear"/>
            <w:tcMar>
              <w:top w:type="dxa" w:w="90"/>
              <w:left w:type="dxa" w:w="120"/>
              <w:bottom w:type="dxa" w:w="90"/>
              <w:right w:type="dxa" w:w="120"/>
            </w:tcMar>
          </w:tcPr>
          <w:p>
            <w:r>
              <w:rPr>
                <w:sz w:val="20"/>
                <w:szCs w:val="20"/>
              </w:rPr>
              <w:t xml:space="preserve">79.9%</w:t>
            </w:r>
          </w:p>
        </w:tc>
      </w:tr>
    </w:tbl>
    <w:p>
      <w:pPr>
        <w:spacing w:after="120"/>
      </w:pPr>
    </w:p>
    <w:p>
      <w:pPr>
        <w:spacing w:after="160" w:line="300"/>
      </w:pPr>
      <w:r>
        <w:rPr>
          <w:sz w:val="22"/>
          <w:szCs w:val="22"/>
        </w:rPr>
        <w:t xml:space="preserve">The base is heavily skewed toward long-tenured repeat buyers: nearly 80% qualify as "Loyal." Combined with the 27% subscription rate from Section 6, this indicates a large pool of proven, engaged customers who have not yet been converted into the formal subscription program — likely the single highest-leverage growth opportunity surfaced in this analysis.</w:t>
      </w:r>
    </w:p>
    <w:p>
      <w:pPr>
        <w:pStyle w:val="Heading1"/>
        <w:pBdr>
          <w:bottom w:val="single" w:color="1F3864" w:sz="6" w:space="4"/>
        </w:pBdr>
        <w:spacing w:after="200" w:before="400"/>
      </w:pPr>
      <w:r>
        <w:rPr>
          <w:b/>
          <w:bCs/>
          <w:color w:val="1F3864"/>
          <w:sz w:val="30"/>
          <w:szCs w:val="30"/>
        </w:rPr>
        <w:t xml:space="preserve">10. Best-Selling Products by Category (Q8)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900"/>
        <w:gridCol w:w="2950"/>
      </w:tblGrid>
      <w:tr>
        <w:trPr>
          <w:tblHeader/>
        </w:trPr>
        <w:tc>
          <w:tcPr>
            <w:tcW w:type="dxa" w:w="2100"/>
            <w:shd w:fill="1F3864" w:val="clear"/>
            <w:tcMar>
              <w:top w:type="dxa" w:w="100"/>
              <w:left w:type="dxa" w:w="120"/>
              <w:bottom w:type="dxa" w:w="100"/>
              <w:right w:type="dxa" w:w="120"/>
            </w:tcMar>
          </w:tcPr>
          <w:p>
            <w:r>
              <w:rPr>
                <w:b/>
                <w:bCs/>
                <w:color w:val="FFFFFF"/>
                <w:sz w:val="20"/>
                <w:szCs w:val="20"/>
              </w:rPr>
              <w:t xml:space="preserve">Category</w:t>
            </w:r>
          </w:p>
        </w:tc>
        <w:tc>
          <w:tcPr>
            <w:tcW w:type="dxa" w:w="1400"/>
            <w:shd w:fill="1F3864" w:val="clear"/>
            <w:tcMar>
              <w:top w:type="dxa" w:w="100"/>
              <w:left w:type="dxa" w:w="120"/>
              <w:bottom w:type="dxa" w:w="100"/>
              <w:right w:type="dxa" w:w="120"/>
            </w:tcMar>
          </w:tcPr>
          <w:p>
            <w:r>
              <w:rPr>
                <w:b/>
                <w:bCs/>
                <w:color w:val="FFFFFF"/>
                <w:sz w:val="20"/>
                <w:szCs w:val="20"/>
              </w:rPr>
              <w:t xml:space="preserve">Rank</w:t>
            </w:r>
          </w:p>
        </w:tc>
        <w:tc>
          <w:tcPr>
            <w:tcW w:type="dxa" w:w="2900"/>
            <w:shd w:fill="1F3864" w:val="clear"/>
            <w:tcMar>
              <w:top w:type="dxa" w:w="100"/>
              <w:left w:type="dxa" w:w="120"/>
              <w:bottom w:type="dxa" w:w="100"/>
              <w:right w:type="dxa" w:w="120"/>
            </w:tcMar>
          </w:tcPr>
          <w:p>
            <w:r>
              <w:rPr>
                <w:b/>
                <w:bCs/>
                <w:color w:val="FFFFFF"/>
                <w:sz w:val="20"/>
                <w:szCs w:val="20"/>
              </w:rPr>
              <w:t xml:space="preserve">Product</w:t>
            </w:r>
          </w:p>
        </w:tc>
        <w:tc>
          <w:tcPr>
            <w:tcW w:type="dxa" w:w="2950"/>
            <w:shd w:fill="1F3864" w:val="clear"/>
            <w:tcMar>
              <w:top w:type="dxa" w:w="100"/>
              <w:left w:type="dxa" w:w="120"/>
              <w:bottom w:type="dxa" w:w="100"/>
              <w:right w:type="dxa" w:w="120"/>
            </w:tcMar>
          </w:tcPr>
          <w:p>
            <w:r>
              <w:rPr>
                <w:b/>
                <w:bCs/>
                <w:color w:val="FFFFFF"/>
                <w:sz w:val="20"/>
                <w:szCs w:val="20"/>
              </w:rPr>
              <w:t xml:space="preserve">Orders</w:t>
            </w:r>
          </w:p>
        </w:tc>
      </w:tr>
      <w:tr>
        <w:tc>
          <w:tcPr>
            <w:tcW w:type="dxa" w:w="2100"/>
            <w:shd w:fill="FFFFFF" w:val="clear"/>
            <w:tcMar>
              <w:top w:type="dxa" w:w="90"/>
              <w:left w:type="dxa" w:w="120"/>
              <w:bottom w:type="dxa" w:w="90"/>
              <w:right w:type="dxa" w:w="120"/>
            </w:tcMar>
          </w:tcPr>
          <w:p>
            <w:r>
              <w:rPr>
                <w:sz w:val="20"/>
                <w:szCs w:val="20"/>
              </w:rPr>
              <w:t xml:space="preserve">Accessories</w:t>
            </w:r>
          </w:p>
        </w:tc>
        <w:tc>
          <w:tcPr>
            <w:tcW w:type="dxa" w:w="1400"/>
            <w:shd w:fill="FFFFFF" w:val="clear"/>
            <w:tcMar>
              <w:top w:type="dxa" w:w="90"/>
              <w:left w:type="dxa" w:w="120"/>
              <w:bottom w:type="dxa" w:w="90"/>
              <w:right w:type="dxa" w:w="120"/>
            </w:tcMar>
          </w:tcPr>
          <w:p>
            <w:r>
              <w:rPr>
                <w:sz w:val="20"/>
                <w:szCs w:val="20"/>
              </w:rPr>
              <w:t xml:space="preserve">1</w:t>
            </w:r>
          </w:p>
        </w:tc>
        <w:tc>
          <w:tcPr>
            <w:tcW w:type="dxa" w:w="2900"/>
            <w:shd w:fill="FFFFFF" w:val="clear"/>
            <w:tcMar>
              <w:top w:type="dxa" w:w="90"/>
              <w:left w:type="dxa" w:w="120"/>
              <w:bottom w:type="dxa" w:w="90"/>
              <w:right w:type="dxa" w:w="120"/>
            </w:tcMar>
          </w:tcPr>
          <w:p>
            <w:r>
              <w:rPr>
                <w:sz w:val="20"/>
                <w:szCs w:val="20"/>
              </w:rPr>
              <w:t xml:space="preserve">Jewelry</w:t>
            </w:r>
          </w:p>
        </w:tc>
        <w:tc>
          <w:tcPr>
            <w:tcW w:type="dxa" w:w="2950"/>
            <w:shd w:fill="FFFFFF" w:val="clear"/>
            <w:tcMar>
              <w:top w:type="dxa" w:w="90"/>
              <w:left w:type="dxa" w:w="120"/>
              <w:bottom w:type="dxa" w:w="90"/>
              <w:right w:type="dxa" w:w="120"/>
            </w:tcMar>
          </w:tcPr>
          <w:p>
            <w:r>
              <w:rPr>
                <w:sz w:val="20"/>
                <w:szCs w:val="20"/>
              </w:rPr>
              <w:t xml:space="preserve">171</w:t>
            </w:r>
          </w:p>
        </w:tc>
      </w:tr>
      <w:tr>
        <w:tc>
          <w:tcPr>
            <w:tcW w:type="dxa" w:w="2100"/>
            <w:shd w:fill="F2F2F2" w:val="clear"/>
            <w:tcMar>
              <w:top w:type="dxa" w:w="90"/>
              <w:left w:type="dxa" w:w="120"/>
              <w:bottom w:type="dxa" w:w="90"/>
              <w:right w:type="dxa" w:w="120"/>
            </w:tcMar>
          </w:tcPr>
          <w:p>
            <w:r>
              <w:rPr>
                <w:sz w:val="20"/>
                <w:szCs w:val="20"/>
              </w:rPr>
              <w:t xml:space="preserve">Accessories</w:t>
            </w:r>
          </w:p>
        </w:tc>
        <w:tc>
          <w:tcPr>
            <w:tcW w:type="dxa" w:w="1400"/>
            <w:shd w:fill="F2F2F2" w:val="clear"/>
            <w:tcMar>
              <w:top w:type="dxa" w:w="90"/>
              <w:left w:type="dxa" w:w="120"/>
              <w:bottom w:type="dxa" w:w="90"/>
              <w:right w:type="dxa" w:w="120"/>
            </w:tcMar>
          </w:tcPr>
          <w:p>
            <w:r>
              <w:rPr>
                <w:sz w:val="20"/>
                <w:szCs w:val="20"/>
              </w:rPr>
              <w:t xml:space="preserve">2</w:t>
            </w:r>
          </w:p>
        </w:tc>
        <w:tc>
          <w:tcPr>
            <w:tcW w:type="dxa" w:w="2900"/>
            <w:shd w:fill="F2F2F2" w:val="clear"/>
            <w:tcMar>
              <w:top w:type="dxa" w:w="90"/>
              <w:left w:type="dxa" w:w="120"/>
              <w:bottom w:type="dxa" w:w="90"/>
              <w:right w:type="dxa" w:w="120"/>
            </w:tcMar>
          </w:tcPr>
          <w:p>
            <w:r>
              <w:rPr>
                <w:sz w:val="20"/>
                <w:szCs w:val="20"/>
              </w:rPr>
              <w:t xml:space="preserve">Belt</w:t>
            </w:r>
          </w:p>
        </w:tc>
        <w:tc>
          <w:tcPr>
            <w:tcW w:type="dxa" w:w="2950"/>
            <w:shd w:fill="F2F2F2" w:val="clear"/>
            <w:tcMar>
              <w:top w:type="dxa" w:w="90"/>
              <w:left w:type="dxa" w:w="120"/>
              <w:bottom w:type="dxa" w:w="90"/>
              <w:right w:type="dxa" w:w="120"/>
            </w:tcMar>
          </w:tcPr>
          <w:p>
            <w:r>
              <w:rPr>
                <w:sz w:val="20"/>
                <w:szCs w:val="20"/>
              </w:rPr>
              <w:t xml:space="preserve">161</w:t>
            </w:r>
          </w:p>
        </w:tc>
      </w:tr>
      <w:tr>
        <w:tc>
          <w:tcPr>
            <w:tcW w:type="dxa" w:w="2100"/>
            <w:shd w:fill="FFFFFF" w:val="clear"/>
            <w:tcMar>
              <w:top w:type="dxa" w:w="90"/>
              <w:left w:type="dxa" w:w="120"/>
              <w:bottom w:type="dxa" w:w="90"/>
              <w:right w:type="dxa" w:w="120"/>
            </w:tcMar>
          </w:tcPr>
          <w:p>
            <w:r>
              <w:rPr>
                <w:sz w:val="20"/>
                <w:szCs w:val="20"/>
              </w:rPr>
              <w:t xml:space="preserve">Accessories</w:t>
            </w:r>
          </w:p>
        </w:tc>
        <w:tc>
          <w:tcPr>
            <w:tcW w:type="dxa" w:w="1400"/>
            <w:shd w:fill="FFFFFF" w:val="clear"/>
            <w:tcMar>
              <w:top w:type="dxa" w:w="90"/>
              <w:left w:type="dxa" w:w="120"/>
              <w:bottom w:type="dxa" w:w="90"/>
              <w:right w:type="dxa" w:w="120"/>
            </w:tcMar>
          </w:tcPr>
          <w:p>
            <w:r>
              <w:rPr>
                <w:sz w:val="20"/>
                <w:szCs w:val="20"/>
              </w:rPr>
              <w:t xml:space="preserve">3</w:t>
            </w:r>
          </w:p>
        </w:tc>
        <w:tc>
          <w:tcPr>
            <w:tcW w:type="dxa" w:w="2900"/>
            <w:shd w:fill="FFFFFF" w:val="clear"/>
            <w:tcMar>
              <w:top w:type="dxa" w:w="90"/>
              <w:left w:type="dxa" w:w="120"/>
              <w:bottom w:type="dxa" w:w="90"/>
              <w:right w:type="dxa" w:w="120"/>
            </w:tcMar>
          </w:tcPr>
          <w:p>
            <w:r>
              <w:rPr>
                <w:sz w:val="20"/>
                <w:szCs w:val="20"/>
              </w:rPr>
              <w:t xml:space="preserve">Sunglasses</w:t>
            </w:r>
          </w:p>
        </w:tc>
        <w:tc>
          <w:tcPr>
            <w:tcW w:type="dxa" w:w="2950"/>
            <w:shd w:fill="FFFFFF" w:val="clear"/>
            <w:tcMar>
              <w:top w:type="dxa" w:w="90"/>
              <w:left w:type="dxa" w:w="120"/>
              <w:bottom w:type="dxa" w:w="90"/>
              <w:right w:type="dxa" w:w="120"/>
            </w:tcMar>
          </w:tcPr>
          <w:p>
            <w:r>
              <w:rPr>
                <w:sz w:val="20"/>
                <w:szCs w:val="20"/>
              </w:rPr>
              <w:t xml:space="preserve">161</w:t>
            </w:r>
          </w:p>
        </w:tc>
      </w:tr>
      <w:tr>
        <w:tc>
          <w:tcPr>
            <w:tcW w:type="dxa" w:w="2100"/>
            <w:shd w:fill="F2F2F2" w:val="clear"/>
            <w:tcMar>
              <w:top w:type="dxa" w:w="90"/>
              <w:left w:type="dxa" w:w="120"/>
              <w:bottom w:type="dxa" w:w="90"/>
              <w:right w:type="dxa" w:w="120"/>
            </w:tcMar>
          </w:tcPr>
          <w:p>
            <w:r>
              <w:rPr>
                <w:sz w:val="20"/>
                <w:szCs w:val="20"/>
              </w:rPr>
              <w:t xml:space="preserve">Clothing</w:t>
            </w:r>
          </w:p>
        </w:tc>
        <w:tc>
          <w:tcPr>
            <w:tcW w:type="dxa" w:w="1400"/>
            <w:shd w:fill="F2F2F2" w:val="clear"/>
            <w:tcMar>
              <w:top w:type="dxa" w:w="90"/>
              <w:left w:type="dxa" w:w="120"/>
              <w:bottom w:type="dxa" w:w="90"/>
              <w:right w:type="dxa" w:w="120"/>
            </w:tcMar>
          </w:tcPr>
          <w:p>
            <w:r>
              <w:rPr>
                <w:sz w:val="20"/>
                <w:szCs w:val="20"/>
              </w:rPr>
              <w:t xml:space="preserve">1</w:t>
            </w:r>
          </w:p>
        </w:tc>
        <w:tc>
          <w:tcPr>
            <w:tcW w:type="dxa" w:w="2900"/>
            <w:shd w:fill="F2F2F2" w:val="clear"/>
            <w:tcMar>
              <w:top w:type="dxa" w:w="90"/>
              <w:left w:type="dxa" w:w="120"/>
              <w:bottom w:type="dxa" w:w="90"/>
              <w:right w:type="dxa" w:w="120"/>
            </w:tcMar>
          </w:tcPr>
          <w:p>
            <w:r>
              <w:rPr>
                <w:sz w:val="20"/>
                <w:szCs w:val="20"/>
              </w:rPr>
              <w:t xml:space="preserve">Blouse</w:t>
            </w:r>
          </w:p>
        </w:tc>
        <w:tc>
          <w:tcPr>
            <w:tcW w:type="dxa" w:w="2950"/>
            <w:shd w:fill="F2F2F2" w:val="clear"/>
            <w:tcMar>
              <w:top w:type="dxa" w:w="90"/>
              <w:left w:type="dxa" w:w="120"/>
              <w:bottom w:type="dxa" w:w="90"/>
              <w:right w:type="dxa" w:w="120"/>
            </w:tcMar>
          </w:tcPr>
          <w:p>
            <w:r>
              <w:rPr>
                <w:sz w:val="20"/>
                <w:szCs w:val="20"/>
              </w:rPr>
              <w:t xml:space="preserve">171</w:t>
            </w:r>
          </w:p>
        </w:tc>
      </w:tr>
      <w:tr>
        <w:tc>
          <w:tcPr>
            <w:tcW w:type="dxa" w:w="2100"/>
            <w:shd w:fill="FFFFFF" w:val="clear"/>
            <w:tcMar>
              <w:top w:type="dxa" w:w="90"/>
              <w:left w:type="dxa" w:w="120"/>
              <w:bottom w:type="dxa" w:w="90"/>
              <w:right w:type="dxa" w:w="120"/>
            </w:tcMar>
          </w:tcPr>
          <w:p>
            <w:r>
              <w:rPr>
                <w:sz w:val="20"/>
                <w:szCs w:val="20"/>
              </w:rPr>
              <w:t xml:space="preserve">Clothing</w:t>
            </w:r>
          </w:p>
        </w:tc>
        <w:tc>
          <w:tcPr>
            <w:tcW w:type="dxa" w:w="1400"/>
            <w:shd w:fill="FFFFFF" w:val="clear"/>
            <w:tcMar>
              <w:top w:type="dxa" w:w="90"/>
              <w:left w:type="dxa" w:w="120"/>
              <w:bottom w:type="dxa" w:w="90"/>
              <w:right w:type="dxa" w:w="120"/>
            </w:tcMar>
          </w:tcPr>
          <w:p>
            <w:r>
              <w:rPr>
                <w:sz w:val="20"/>
                <w:szCs w:val="20"/>
              </w:rPr>
              <w:t xml:space="preserve">2</w:t>
            </w:r>
          </w:p>
        </w:tc>
        <w:tc>
          <w:tcPr>
            <w:tcW w:type="dxa" w:w="2900"/>
            <w:shd w:fill="FFFFFF" w:val="clear"/>
            <w:tcMar>
              <w:top w:type="dxa" w:w="90"/>
              <w:left w:type="dxa" w:w="120"/>
              <w:bottom w:type="dxa" w:w="90"/>
              <w:right w:type="dxa" w:w="120"/>
            </w:tcMar>
          </w:tcPr>
          <w:p>
            <w:r>
              <w:rPr>
                <w:sz w:val="20"/>
                <w:szCs w:val="20"/>
              </w:rPr>
              <w:t xml:space="preserve">Pants</w:t>
            </w:r>
          </w:p>
        </w:tc>
        <w:tc>
          <w:tcPr>
            <w:tcW w:type="dxa" w:w="2950"/>
            <w:shd w:fill="FFFFFF" w:val="clear"/>
            <w:tcMar>
              <w:top w:type="dxa" w:w="90"/>
              <w:left w:type="dxa" w:w="120"/>
              <w:bottom w:type="dxa" w:w="90"/>
              <w:right w:type="dxa" w:w="120"/>
            </w:tcMar>
          </w:tcPr>
          <w:p>
            <w:r>
              <w:rPr>
                <w:sz w:val="20"/>
                <w:szCs w:val="20"/>
              </w:rPr>
              <w:t xml:space="preserve">171</w:t>
            </w:r>
          </w:p>
        </w:tc>
      </w:tr>
      <w:tr>
        <w:tc>
          <w:tcPr>
            <w:tcW w:type="dxa" w:w="2100"/>
            <w:shd w:fill="F2F2F2" w:val="clear"/>
            <w:tcMar>
              <w:top w:type="dxa" w:w="90"/>
              <w:left w:type="dxa" w:w="120"/>
              <w:bottom w:type="dxa" w:w="90"/>
              <w:right w:type="dxa" w:w="120"/>
            </w:tcMar>
          </w:tcPr>
          <w:p>
            <w:r>
              <w:rPr>
                <w:sz w:val="20"/>
                <w:szCs w:val="20"/>
              </w:rPr>
              <w:t xml:space="preserve">Clothing</w:t>
            </w:r>
          </w:p>
        </w:tc>
        <w:tc>
          <w:tcPr>
            <w:tcW w:type="dxa" w:w="1400"/>
            <w:shd w:fill="F2F2F2" w:val="clear"/>
            <w:tcMar>
              <w:top w:type="dxa" w:w="90"/>
              <w:left w:type="dxa" w:w="120"/>
              <w:bottom w:type="dxa" w:w="90"/>
              <w:right w:type="dxa" w:w="120"/>
            </w:tcMar>
          </w:tcPr>
          <w:p>
            <w:r>
              <w:rPr>
                <w:sz w:val="20"/>
                <w:szCs w:val="20"/>
              </w:rPr>
              <w:t xml:space="preserve">3</w:t>
            </w:r>
          </w:p>
        </w:tc>
        <w:tc>
          <w:tcPr>
            <w:tcW w:type="dxa" w:w="2900"/>
            <w:shd w:fill="F2F2F2" w:val="clear"/>
            <w:tcMar>
              <w:top w:type="dxa" w:w="90"/>
              <w:left w:type="dxa" w:w="120"/>
              <w:bottom w:type="dxa" w:w="90"/>
              <w:right w:type="dxa" w:w="120"/>
            </w:tcMar>
          </w:tcPr>
          <w:p>
            <w:r>
              <w:rPr>
                <w:sz w:val="20"/>
                <w:szCs w:val="20"/>
              </w:rPr>
              <w:t xml:space="preserve">Shirt</w:t>
            </w:r>
          </w:p>
        </w:tc>
        <w:tc>
          <w:tcPr>
            <w:tcW w:type="dxa" w:w="2950"/>
            <w:shd w:fill="F2F2F2" w:val="clear"/>
            <w:tcMar>
              <w:top w:type="dxa" w:w="90"/>
              <w:left w:type="dxa" w:w="120"/>
              <w:bottom w:type="dxa" w:w="90"/>
              <w:right w:type="dxa" w:w="120"/>
            </w:tcMar>
          </w:tcPr>
          <w:p>
            <w:r>
              <w:rPr>
                <w:sz w:val="20"/>
                <w:szCs w:val="20"/>
              </w:rPr>
              <w:t xml:space="preserve">169</w:t>
            </w:r>
          </w:p>
        </w:tc>
      </w:tr>
      <w:tr>
        <w:tc>
          <w:tcPr>
            <w:tcW w:type="dxa" w:w="2100"/>
            <w:shd w:fill="FFFFFF" w:val="clear"/>
            <w:tcMar>
              <w:top w:type="dxa" w:w="90"/>
              <w:left w:type="dxa" w:w="120"/>
              <w:bottom w:type="dxa" w:w="90"/>
              <w:right w:type="dxa" w:w="120"/>
            </w:tcMar>
          </w:tcPr>
          <w:p>
            <w:r>
              <w:rPr>
                <w:sz w:val="20"/>
                <w:szCs w:val="20"/>
              </w:rPr>
              <w:t xml:space="preserve">Footwear</w:t>
            </w:r>
          </w:p>
        </w:tc>
        <w:tc>
          <w:tcPr>
            <w:tcW w:type="dxa" w:w="1400"/>
            <w:shd w:fill="FFFFFF" w:val="clear"/>
            <w:tcMar>
              <w:top w:type="dxa" w:w="90"/>
              <w:left w:type="dxa" w:w="120"/>
              <w:bottom w:type="dxa" w:w="90"/>
              <w:right w:type="dxa" w:w="120"/>
            </w:tcMar>
          </w:tcPr>
          <w:p>
            <w:r>
              <w:rPr>
                <w:sz w:val="20"/>
                <w:szCs w:val="20"/>
              </w:rPr>
              <w:t xml:space="preserve">1</w:t>
            </w:r>
          </w:p>
        </w:tc>
        <w:tc>
          <w:tcPr>
            <w:tcW w:type="dxa" w:w="2900"/>
            <w:shd w:fill="FFFFFF" w:val="clear"/>
            <w:tcMar>
              <w:top w:type="dxa" w:w="90"/>
              <w:left w:type="dxa" w:w="120"/>
              <w:bottom w:type="dxa" w:w="90"/>
              <w:right w:type="dxa" w:w="120"/>
            </w:tcMar>
          </w:tcPr>
          <w:p>
            <w:r>
              <w:rPr>
                <w:sz w:val="20"/>
                <w:szCs w:val="20"/>
              </w:rPr>
              <w:t xml:space="preserve">Sandals</w:t>
            </w:r>
          </w:p>
        </w:tc>
        <w:tc>
          <w:tcPr>
            <w:tcW w:type="dxa" w:w="2950"/>
            <w:shd w:fill="FFFFFF" w:val="clear"/>
            <w:tcMar>
              <w:top w:type="dxa" w:w="90"/>
              <w:left w:type="dxa" w:w="120"/>
              <w:bottom w:type="dxa" w:w="90"/>
              <w:right w:type="dxa" w:w="120"/>
            </w:tcMar>
          </w:tcPr>
          <w:p>
            <w:r>
              <w:rPr>
                <w:sz w:val="20"/>
                <w:szCs w:val="20"/>
              </w:rPr>
              <w:t xml:space="preserve">160</w:t>
            </w:r>
          </w:p>
        </w:tc>
      </w:tr>
      <w:tr>
        <w:tc>
          <w:tcPr>
            <w:tcW w:type="dxa" w:w="2100"/>
            <w:shd w:fill="F2F2F2" w:val="clear"/>
            <w:tcMar>
              <w:top w:type="dxa" w:w="90"/>
              <w:left w:type="dxa" w:w="120"/>
              <w:bottom w:type="dxa" w:w="90"/>
              <w:right w:type="dxa" w:w="120"/>
            </w:tcMar>
          </w:tcPr>
          <w:p>
            <w:r>
              <w:rPr>
                <w:sz w:val="20"/>
                <w:szCs w:val="20"/>
              </w:rPr>
              <w:t xml:space="preserve">Footwear</w:t>
            </w:r>
          </w:p>
        </w:tc>
        <w:tc>
          <w:tcPr>
            <w:tcW w:type="dxa" w:w="1400"/>
            <w:shd w:fill="F2F2F2" w:val="clear"/>
            <w:tcMar>
              <w:top w:type="dxa" w:w="90"/>
              <w:left w:type="dxa" w:w="120"/>
              <w:bottom w:type="dxa" w:w="90"/>
              <w:right w:type="dxa" w:w="120"/>
            </w:tcMar>
          </w:tcPr>
          <w:p>
            <w:r>
              <w:rPr>
                <w:sz w:val="20"/>
                <w:szCs w:val="20"/>
              </w:rPr>
              <w:t xml:space="preserve">2</w:t>
            </w:r>
          </w:p>
        </w:tc>
        <w:tc>
          <w:tcPr>
            <w:tcW w:type="dxa" w:w="2900"/>
            <w:shd w:fill="F2F2F2" w:val="clear"/>
            <w:tcMar>
              <w:top w:type="dxa" w:w="90"/>
              <w:left w:type="dxa" w:w="120"/>
              <w:bottom w:type="dxa" w:w="90"/>
              <w:right w:type="dxa" w:w="120"/>
            </w:tcMar>
          </w:tcPr>
          <w:p>
            <w:r>
              <w:rPr>
                <w:sz w:val="20"/>
                <w:szCs w:val="20"/>
              </w:rPr>
              <w:t xml:space="preserve">Shoes</w:t>
            </w:r>
          </w:p>
        </w:tc>
        <w:tc>
          <w:tcPr>
            <w:tcW w:type="dxa" w:w="2950"/>
            <w:shd w:fill="F2F2F2" w:val="clear"/>
            <w:tcMar>
              <w:top w:type="dxa" w:w="90"/>
              <w:left w:type="dxa" w:w="120"/>
              <w:bottom w:type="dxa" w:w="90"/>
              <w:right w:type="dxa" w:w="120"/>
            </w:tcMar>
          </w:tcPr>
          <w:p>
            <w:r>
              <w:rPr>
                <w:sz w:val="20"/>
                <w:szCs w:val="20"/>
              </w:rPr>
              <w:t xml:space="preserve">150</w:t>
            </w:r>
          </w:p>
        </w:tc>
      </w:tr>
      <w:tr>
        <w:tc>
          <w:tcPr>
            <w:tcW w:type="dxa" w:w="2100"/>
            <w:shd w:fill="FFFFFF" w:val="clear"/>
            <w:tcMar>
              <w:top w:type="dxa" w:w="90"/>
              <w:left w:type="dxa" w:w="120"/>
              <w:bottom w:type="dxa" w:w="90"/>
              <w:right w:type="dxa" w:w="120"/>
            </w:tcMar>
          </w:tcPr>
          <w:p>
            <w:r>
              <w:rPr>
                <w:sz w:val="20"/>
                <w:szCs w:val="20"/>
              </w:rPr>
              <w:t xml:space="preserve">Footwear</w:t>
            </w:r>
          </w:p>
        </w:tc>
        <w:tc>
          <w:tcPr>
            <w:tcW w:type="dxa" w:w="1400"/>
            <w:shd w:fill="FFFFFF" w:val="clear"/>
            <w:tcMar>
              <w:top w:type="dxa" w:w="90"/>
              <w:left w:type="dxa" w:w="120"/>
              <w:bottom w:type="dxa" w:w="90"/>
              <w:right w:type="dxa" w:w="120"/>
            </w:tcMar>
          </w:tcPr>
          <w:p>
            <w:r>
              <w:rPr>
                <w:sz w:val="20"/>
                <w:szCs w:val="20"/>
              </w:rPr>
              <w:t xml:space="preserve">3</w:t>
            </w:r>
          </w:p>
        </w:tc>
        <w:tc>
          <w:tcPr>
            <w:tcW w:type="dxa" w:w="2900"/>
            <w:shd w:fill="FFFFFF" w:val="clear"/>
            <w:tcMar>
              <w:top w:type="dxa" w:w="90"/>
              <w:left w:type="dxa" w:w="120"/>
              <w:bottom w:type="dxa" w:w="90"/>
              <w:right w:type="dxa" w:w="120"/>
            </w:tcMar>
          </w:tcPr>
          <w:p>
            <w:r>
              <w:rPr>
                <w:sz w:val="20"/>
                <w:szCs w:val="20"/>
              </w:rPr>
              <w:t xml:space="preserve">Sneakers</w:t>
            </w:r>
          </w:p>
        </w:tc>
        <w:tc>
          <w:tcPr>
            <w:tcW w:type="dxa" w:w="2950"/>
            <w:shd w:fill="FFFFFF" w:val="clear"/>
            <w:tcMar>
              <w:top w:type="dxa" w:w="90"/>
              <w:left w:type="dxa" w:w="120"/>
              <w:bottom w:type="dxa" w:w="90"/>
              <w:right w:type="dxa" w:w="120"/>
            </w:tcMar>
          </w:tcPr>
          <w:p>
            <w:r>
              <w:rPr>
                <w:sz w:val="20"/>
                <w:szCs w:val="20"/>
              </w:rPr>
              <w:t xml:space="preserve">145</w:t>
            </w:r>
          </w:p>
        </w:tc>
      </w:tr>
      <w:tr>
        <w:tc>
          <w:tcPr>
            <w:tcW w:type="dxa" w:w="2100"/>
            <w:shd w:fill="F2F2F2" w:val="clear"/>
            <w:tcMar>
              <w:top w:type="dxa" w:w="90"/>
              <w:left w:type="dxa" w:w="120"/>
              <w:bottom w:type="dxa" w:w="90"/>
              <w:right w:type="dxa" w:w="120"/>
            </w:tcMar>
          </w:tcPr>
          <w:p>
            <w:r>
              <w:rPr>
                <w:sz w:val="20"/>
                <w:szCs w:val="20"/>
              </w:rPr>
              <w:t xml:space="preserve">Outerwear</w:t>
            </w:r>
          </w:p>
        </w:tc>
        <w:tc>
          <w:tcPr>
            <w:tcW w:type="dxa" w:w="1400"/>
            <w:shd w:fill="F2F2F2" w:val="clear"/>
            <w:tcMar>
              <w:top w:type="dxa" w:w="90"/>
              <w:left w:type="dxa" w:w="120"/>
              <w:bottom w:type="dxa" w:w="90"/>
              <w:right w:type="dxa" w:w="120"/>
            </w:tcMar>
          </w:tcPr>
          <w:p>
            <w:r>
              <w:rPr>
                <w:sz w:val="20"/>
                <w:szCs w:val="20"/>
              </w:rPr>
              <w:t xml:space="preserve">1</w:t>
            </w:r>
          </w:p>
        </w:tc>
        <w:tc>
          <w:tcPr>
            <w:tcW w:type="dxa" w:w="2900"/>
            <w:shd w:fill="F2F2F2" w:val="clear"/>
            <w:tcMar>
              <w:top w:type="dxa" w:w="90"/>
              <w:left w:type="dxa" w:w="120"/>
              <w:bottom w:type="dxa" w:w="90"/>
              <w:right w:type="dxa" w:w="120"/>
            </w:tcMar>
          </w:tcPr>
          <w:p>
            <w:r>
              <w:rPr>
                <w:sz w:val="20"/>
                <w:szCs w:val="20"/>
              </w:rPr>
              <w:t xml:space="preserve">Jacket</w:t>
            </w:r>
          </w:p>
        </w:tc>
        <w:tc>
          <w:tcPr>
            <w:tcW w:type="dxa" w:w="2950"/>
            <w:shd w:fill="F2F2F2" w:val="clear"/>
            <w:tcMar>
              <w:top w:type="dxa" w:w="90"/>
              <w:left w:type="dxa" w:w="120"/>
              <w:bottom w:type="dxa" w:w="90"/>
              <w:right w:type="dxa" w:w="120"/>
            </w:tcMar>
          </w:tcPr>
          <w:p>
            <w:r>
              <w:rPr>
                <w:sz w:val="20"/>
                <w:szCs w:val="20"/>
              </w:rPr>
              <w:t xml:space="preserve">163</w:t>
            </w:r>
          </w:p>
        </w:tc>
      </w:tr>
      <w:tr>
        <w:tc>
          <w:tcPr>
            <w:tcW w:type="dxa" w:w="2100"/>
            <w:shd w:fill="FFFFFF" w:val="clear"/>
            <w:tcMar>
              <w:top w:type="dxa" w:w="90"/>
              <w:left w:type="dxa" w:w="120"/>
              <w:bottom w:type="dxa" w:w="90"/>
              <w:right w:type="dxa" w:w="120"/>
            </w:tcMar>
          </w:tcPr>
          <w:p>
            <w:r>
              <w:rPr>
                <w:sz w:val="20"/>
                <w:szCs w:val="20"/>
              </w:rPr>
              <w:t xml:space="preserve">Outerwear</w:t>
            </w:r>
          </w:p>
        </w:tc>
        <w:tc>
          <w:tcPr>
            <w:tcW w:type="dxa" w:w="1400"/>
            <w:shd w:fill="FFFFFF" w:val="clear"/>
            <w:tcMar>
              <w:top w:type="dxa" w:w="90"/>
              <w:left w:type="dxa" w:w="120"/>
              <w:bottom w:type="dxa" w:w="90"/>
              <w:right w:type="dxa" w:w="120"/>
            </w:tcMar>
          </w:tcPr>
          <w:p>
            <w:r>
              <w:rPr>
                <w:sz w:val="20"/>
                <w:szCs w:val="20"/>
              </w:rPr>
              <w:t xml:space="preserve">2</w:t>
            </w:r>
          </w:p>
        </w:tc>
        <w:tc>
          <w:tcPr>
            <w:tcW w:type="dxa" w:w="2900"/>
            <w:shd w:fill="FFFFFF" w:val="clear"/>
            <w:tcMar>
              <w:top w:type="dxa" w:w="90"/>
              <w:left w:type="dxa" w:w="120"/>
              <w:bottom w:type="dxa" w:w="90"/>
              <w:right w:type="dxa" w:w="120"/>
            </w:tcMar>
          </w:tcPr>
          <w:p>
            <w:r>
              <w:rPr>
                <w:sz w:val="20"/>
                <w:szCs w:val="20"/>
              </w:rPr>
              <w:t xml:space="preserve">Coat</w:t>
            </w:r>
          </w:p>
        </w:tc>
        <w:tc>
          <w:tcPr>
            <w:tcW w:type="dxa" w:w="2950"/>
            <w:shd w:fill="FFFFFF" w:val="clear"/>
            <w:tcMar>
              <w:top w:type="dxa" w:w="90"/>
              <w:left w:type="dxa" w:w="120"/>
              <w:bottom w:type="dxa" w:w="90"/>
              <w:right w:type="dxa" w:w="120"/>
            </w:tcMar>
          </w:tcPr>
          <w:p>
            <w:r>
              <w:rPr>
                <w:sz w:val="20"/>
                <w:szCs w:val="20"/>
              </w:rPr>
              <w:t xml:space="preserve">161</w:t>
            </w:r>
          </w:p>
        </w:tc>
      </w:tr>
    </w:tbl>
    <w:p>
      <w:pPr>
        <w:spacing w:after="120"/>
      </w:pPr>
    </w:p>
    <w:p>
      <w:pPr>
        <w:spacing w:after="160" w:line="300"/>
      </w:pPr>
      <w:r>
        <w:rPr>
          <w:sz w:val="22"/>
          <w:szCs w:val="22"/>
        </w:rPr>
        <w:t xml:space="preserve">Order counts are remarkably even within each category (typically within 5–10% of each other), indicating a broad, well-balanced product assortment rather than a small number of hero SKUs carrying each category. Note: Outerwear has only two listed sub-products in the raw data, so its top-3 table shows two rows.</w:t>
      </w:r>
    </w:p>
    <w:p>
      <w:r>
        <w:br w:type="page"/>
      </w:r>
    </w:p>
    <w:p>
      <w:pPr>
        <w:pStyle w:val="Heading1"/>
        <w:pBdr>
          <w:bottom w:val="single" w:color="1F3864" w:sz="6" w:space="4"/>
        </w:pBdr>
        <w:spacing w:after="200" w:before="400"/>
      </w:pPr>
      <w:r>
        <w:rPr>
          <w:b/>
          <w:bCs/>
          <w:color w:val="1F3864"/>
          <w:sz w:val="30"/>
          <w:szCs w:val="30"/>
        </w:rPr>
        <w:t xml:space="preserve">11. Repeat Buyers and Subscription Likelihood (Q9)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100"/>
              <w:left w:type="dxa" w:w="120"/>
              <w:bottom w:type="dxa" w:w="100"/>
              <w:right w:type="dxa" w:w="120"/>
            </w:tcMar>
          </w:tcPr>
          <w:p>
            <w:r>
              <w:rPr>
                <w:b/>
                <w:bCs/>
                <w:color w:val="FFFFFF"/>
                <w:sz w:val="20"/>
                <w:szCs w:val="20"/>
              </w:rPr>
              <w:t xml:space="preserve">Subscription Status</w:t>
            </w:r>
          </w:p>
        </w:tc>
        <w:tc>
          <w:tcPr>
            <w:tcW w:type="dxa" w:w="4675"/>
            <w:shd w:fill="1F3864" w:val="clear"/>
            <w:tcMar>
              <w:top w:type="dxa" w:w="100"/>
              <w:left w:type="dxa" w:w="120"/>
              <w:bottom w:type="dxa" w:w="100"/>
              <w:right w:type="dxa" w:w="120"/>
            </w:tcMar>
          </w:tcPr>
          <w:p>
            <w:r>
              <w:rPr>
                <w:b/>
                <w:bCs/>
                <w:color w:val="FFFFFF"/>
                <w:sz w:val="20"/>
                <w:szCs w:val="20"/>
              </w:rPr>
              <w:t xml:space="preserve">Repeat Buyers (6+ prior purchases)</w:t>
            </w:r>
          </w:p>
        </w:tc>
      </w:tr>
      <w:tr>
        <w:tc>
          <w:tcPr>
            <w:tcW w:type="dxa" w:w="4675"/>
            <w:shd w:fill="FFFFFF" w:val="clear"/>
            <w:tcMar>
              <w:top w:type="dxa" w:w="90"/>
              <w:left w:type="dxa" w:w="120"/>
              <w:bottom w:type="dxa" w:w="90"/>
              <w:right w:type="dxa" w:w="120"/>
            </w:tcMar>
          </w:tcPr>
          <w:p>
            <w:r>
              <w:rPr>
                <w:sz w:val="20"/>
                <w:szCs w:val="20"/>
              </w:rPr>
              <w:t xml:space="preserve">No</w:t>
            </w:r>
          </w:p>
        </w:tc>
        <w:tc>
          <w:tcPr>
            <w:tcW w:type="dxa" w:w="4675"/>
            <w:shd w:fill="FFFFFF" w:val="clear"/>
            <w:tcMar>
              <w:top w:type="dxa" w:w="90"/>
              <w:left w:type="dxa" w:w="120"/>
              <w:bottom w:type="dxa" w:w="90"/>
              <w:right w:type="dxa" w:w="120"/>
            </w:tcMar>
          </w:tcPr>
          <w:p>
            <w:r>
              <w:rPr>
                <w:sz w:val="20"/>
                <w:szCs w:val="20"/>
              </w:rPr>
              <w:t xml:space="preserve">2,518</w:t>
            </w:r>
          </w:p>
        </w:tc>
      </w:tr>
      <w:tr>
        <w:tc>
          <w:tcPr>
            <w:tcW w:type="dxa" w:w="4675"/>
            <w:shd w:fill="F2F2F2" w:val="clear"/>
            <w:tcMar>
              <w:top w:type="dxa" w:w="90"/>
              <w:left w:type="dxa" w:w="120"/>
              <w:bottom w:type="dxa" w:w="90"/>
              <w:right w:type="dxa" w:w="120"/>
            </w:tcMar>
          </w:tcPr>
          <w:p>
            <w:r>
              <w:rPr>
                <w:sz w:val="20"/>
                <w:szCs w:val="20"/>
              </w:rPr>
              <w:t xml:space="preserve">Yes</w:t>
            </w:r>
          </w:p>
        </w:tc>
        <w:tc>
          <w:tcPr>
            <w:tcW w:type="dxa" w:w="4675"/>
            <w:shd w:fill="F2F2F2" w:val="clear"/>
            <w:tcMar>
              <w:top w:type="dxa" w:w="90"/>
              <w:left w:type="dxa" w:w="120"/>
              <w:bottom w:type="dxa" w:w="90"/>
              <w:right w:type="dxa" w:w="120"/>
            </w:tcMar>
          </w:tcPr>
          <w:p>
            <w:r>
              <w:rPr>
                <w:sz w:val="20"/>
                <w:szCs w:val="20"/>
              </w:rPr>
              <w:t xml:space="preserve">958</w:t>
            </w:r>
          </w:p>
        </w:tc>
      </w:tr>
    </w:tbl>
    <w:p>
      <w:pPr>
        <w:spacing w:after="120"/>
      </w:pPr>
    </w:p>
    <w:p>
      <w:pPr>
        <w:spacing w:after="160" w:line="300"/>
      </w:pPr>
      <w:r>
        <w:rPr>
          <w:sz w:val="22"/>
          <w:szCs w:val="22"/>
        </w:rPr>
        <w:t xml:space="preserve">Among customers with more than 5 previous purchases, 72.4% are still not subscribed (2,518 of 3,476) — nearly identical to the 73% non-subscription rate across the entire customer base. This confirms the finding in Section 9: purchase frequency alone does not predict subscription enrollment. Loyalty and subscription are behaving as two independent dimensions, not a natural funnel — customers are not "graduating" into subscriptions as they buy more.</w:t>
      </w:r>
    </w:p>
    <w:p>
      <w:pPr>
        <w:pStyle w:val="Heading1"/>
        <w:pBdr>
          <w:bottom w:val="single" w:color="1F3864" w:sz="6" w:space="4"/>
        </w:pBdr>
        <w:spacing w:after="200" w:before="400"/>
      </w:pPr>
      <w:r>
        <w:rPr>
          <w:b/>
          <w:bCs/>
          <w:color w:val="1F3864"/>
          <w:sz w:val="30"/>
          <w:szCs w:val="30"/>
        </w:rPr>
        <w:t xml:space="preserve">12. Revenue by Age Group (Q10)</w:t>
      </w:r>
    </w:p>
    <w:p>
      <w:pPr>
        <w:spacing w:after="160" w:line="300"/>
      </w:pPr>
      <w:r>
        <w:rPr>
          <w:sz w:val="22"/>
          <w:szCs w:val="22"/>
        </w:rPr>
        <w:t xml:space="preserve">Using the age_group column as engineered in Python cleaning (Section 2.3) — quantile-based bins of roughly equal customer count, not equal age width: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17"/>
        <w:gridCol w:w="2317"/>
        <w:gridCol w:w="2316"/>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Age Group</w:t>
            </w:r>
          </w:p>
        </w:tc>
        <w:tc>
          <w:tcPr>
            <w:tcW w:type="dxa" w:w="2317"/>
            <w:shd w:fill="1F3864" w:val="clear"/>
            <w:tcMar>
              <w:top w:type="dxa" w:w="100"/>
              <w:left w:type="dxa" w:w="120"/>
              <w:bottom w:type="dxa" w:w="100"/>
              <w:right w:type="dxa" w:w="120"/>
            </w:tcMar>
          </w:tcPr>
          <w:p>
            <w:r>
              <w:rPr>
                <w:b/>
                <w:bCs/>
                <w:color w:val="FFFFFF"/>
                <w:sz w:val="20"/>
                <w:szCs w:val="20"/>
              </w:rPr>
              <w:t xml:space="preserve">Age Range</w:t>
            </w:r>
          </w:p>
        </w:tc>
        <w:tc>
          <w:tcPr>
            <w:tcW w:type="dxa" w:w="2317"/>
            <w:shd w:fill="1F3864" w:val="clear"/>
            <w:tcMar>
              <w:top w:type="dxa" w:w="100"/>
              <w:left w:type="dxa" w:w="120"/>
              <w:bottom w:type="dxa" w:w="100"/>
              <w:right w:type="dxa" w:w="120"/>
            </w:tcMar>
          </w:tcPr>
          <w:p>
            <w:r>
              <w:rPr>
                <w:b/>
                <w:bCs/>
                <w:color w:val="FFFFFF"/>
                <w:sz w:val="20"/>
                <w:szCs w:val="20"/>
              </w:rPr>
              <w:t xml:space="preserve">Total Revenue</w:t>
            </w:r>
          </w:p>
        </w:tc>
        <w:tc>
          <w:tcPr>
            <w:tcW w:type="dxa" w:w="2316"/>
            <w:shd w:fill="1F3864" w:val="clear"/>
            <w:tcMar>
              <w:top w:type="dxa" w:w="100"/>
              <w:left w:type="dxa" w:w="120"/>
              <w:bottom w:type="dxa" w:w="100"/>
              <w:right w:type="dxa" w:w="120"/>
            </w:tcMar>
          </w:tcPr>
          <w:p>
            <w:r>
              <w:rPr>
                <w:b/>
                <w:bCs/>
                <w:color w:val="FFFFFF"/>
                <w:sz w:val="20"/>
                <w:szCs w:val="20"/>
              </w:rPr>
              <w:t xml:space="preserve">% of Total</w:t>
            </w:r>
          </w:p>
        </w:tc>
      </w:tr>
      <w:tr>
        <w:tc>
          <w:tcPr>
            <w:tcW w:type="dxa" w:w="2400"/>
            <w:shd w:fill="FFFFFF" w:val="clear"/>
            <w:tcMar>
              <w:top w:type="dxa" w:w="90"/>
              <w:left w:type="dxa" w:w="120"/>
              <w:bottom w:type="dxa" w:w="90"/>
              <w:right w:type="dxa" w:w="120"/>
            </w:tcMar>
          </w:tcPr>
          <w:p>
            <w:r>
              <w:rPr>
                <w:sz w:val="20"/>
                <w:szCs w:val="20"/>
              </w:rPr>
              <w:t xml:space="preserve">young_adult</w:t>
            </w:r>
          </w:p>
        </w:tc>
        <w:tc>
          <w:tcPr>
            <w:tcW w:type="dxa" w:w="2317"/>
            <w:shd w:fill="FFFFFF" w:val="clear"/>
            <w:tcMar>
              <w:top w:type="dxa" w:w="90"/>
              <w:left w:type="dxa" w:w="120"/>
              <w:bottom w:type="dxa" w:w="90"/>
              <w:right w:type="dxa" w:w="120"/>
            </w:tcMar>
          </w:tcPr>
          <w:p>
            <w:r>
              <w:rPr>
                <w:sz w:val="20"/>
                <w:szCs w:val="20"/>
              </w:rPr>
              <w:t xml:space="preserve">18–31</w:t>
            </w:r>
          </w:p>
        </w:tc>
        <w:tc>
          <w:tcPr>
            <w:tcW w:type="dxa" w:w="2317"/>
            <w:shd w:fill="FFFFFF" w:val="clear"/>
            <w:tcMar>
              <w:top w:type="dxa" w:w="90"/>
              <w:left w:type="dxa" w:w="120"/>
              <w:bottom w:type="dxa" w:w="90"/>
              <w:right w:type="dxa" w:w="120"/>
            </w:tcMar>
          </w:tcPr>
          <w:p>
            <w:r>
              <w:rPr>
                <w:sz w:val="20"/>
                <w:szCs w:val="20"/>
              </w:rPr>
              <w:t xml:space="preserve">$62,143</w:t>
            </w:r>
          </w:p>
        </w:tc>
        <w:tc>
          <w:tcPr>
            <w:tcW w:type="dxa" w:w="2316"/>
            <w:shd w:fill="FFFFFF" w:val="clear"/>
            <w:tcMar>
              <w:top w:type="dxa" w:w="90"/>
              <w:left w:type="dxa" w:w="120"/>
              <w:bottom w:type="dxa" w:w="90"/>
              <w:right w:type="dxa" w:w="120"/>
            </w:tcMar>
          </w:tcPr>
          <w:p>
            <w:r>
              <w:rPr>
                <w:sz w:val="20"/>
                <w:szCs w:val="20"/>
              </w:rPr>
              <w:t xml:space="preserve">26.7%</w:t>
            </w:r>
          </w:p>
        </w:tc>
      </w:tr>
      <w:tr>
        <w:tc>
          <w:tcPr>
            <w:tcW w:type="dxa" w:w="2400"/>
            <w:shd w:fill="F2F2F2" w:val="clear"/>
            <w:tcMar>
              <w:top w:type="dxa" w:w="90"/>
              <w:left w:type="dxa" w:w="120"/>
              <w:bottom w:type="dxa" w:w="90"/>
              <w:right w:type="dxa" w:w="120"/>
            </w:tcMar>
          </w:tcPr>
          <w:p>
            <w:r>
              <w:rPr>
                <w:sz w:val="20"/>
                <w:szCs w:val="20"/>
              </w:rPr>
              <w:t xml:space="preserve">middle_age</w:t>
            </w:r>
          </w:p>
        </w:tc>
        <w:tc>
          <w:tcPr>
            <w:tcW w:type="dxa" w:w="2317"/>
            <w:shd w:fill="F2F2F2" w:val="clear"/>
            <w:tcMar>
              <w:top w:type="dxa" w:w="90"/>
              <w:left w:type="dxa" w:w="120"/>
              <w:bottom w:type="dxa" w:w="90"/>
              <w:right w:type="dxa" w:w="120"/>
            </w:tcMar>
          </w:tcPr>
          <w:p>
            <w:r>
              <w:rPr>
                <w:sz w:val="20"/>
                <w:szCs w:val="20"/>
              </w:rPr>
              <w:t xml:space="preserve">45–57</w:t>
            </w:r>
          </w:p>
        </w:tc>
        <w:tc>
          <w:tcPr>
            <w:tcW w:type="dxa" w:w="2317"/>
            <w:shd w:fill="F2F2F2" w:val="clear"/>
            <w:tcMar>
              <w:top w:type="dxa" w:w="90"/>
              <w:left w:type="dxa" w:w="120"/>
              <w:bottom w:type="dxa" w:w="90"/>
              <w:right w:type="dxa" w:w="120"/>
            </w:tcMar>
          </w:tcPr>
          <w:p>
            <w:r>
              <w:rPr>
                <w:sz w:val="20"/>
                <w:szCs w:val="20"/>
              </w:rPr>
              <w:t xml:space="preserve">$59,197</w:t>
            </w:r>
          </w:p>
        </w:tc>
        <w:tc>
          <w:tcPr>
            <w:tcW w:type="dxa" w:w="2316"/>
            <w:shd w:fill="F2F2F2" w:val="clear"/>
            <w:tcMar>
              <w:top w:type="dxa" w:w="90"/>
              <w:left w:type="dxa" w:w="120"/>
              <w:bottom w:type="dxa" w:w="90"/>
              <w:right w:type="dxa" w:w="120"/>
            </w:tcMar>
          </w:tcPr>
          <w:p>
            <w:r>
              <w:rPr>
                <w:sz w:val="20"/>
                <w:szCs w:val="20"/>
              </w:rPr>
              <w:t xml:space="preserve">25.4%</w:t>
            </w:r>
          </w:p>
        </w:tc>
      </w:tr>
      <w:tr>
        <w:tc>
          <w:tcPr>
            <w:tcW w:type="dxa" w:w="2400"/>
            <w:shd w:fill="FFFFFF" w:val="clear"/>
            <w:tcMar>
              <w:top w:type="dxa" w:w="90"/>
              <w:left w:type="dxa" w:w="120"/>
              <w:bottom w:type="dxa" w:w="90"/>
              <w:right w:type="dxa" w:w="120"/>
            </w:tcMar>
          </w:tcPr>
          <w:p>
            <w:r>
              <w:rPr>
                <w:sz w:val="20"/>
                <w:szCs w:val="20"/>
              </w:rPr>
              <w:t xml:space="preserve">adult</w:t>
            </w:r>
          </w:p>
        </w:tc>
        <w:tc>
          <w:tcPr>
            <w:tcW w:type="dxa" w:w="2317"/>
            <w:shd w:fill="FFFFFF" w:val="clear"/>
            <w:tcMar>
              <w:top w:type="dxa" w:w="90"/>
              <w:left w:type="dxa" w:w="120"/>
              <w:bottom w:type="dxa" w:w="90"/>
              <w:right w:type="dxa" w:w="120"/>
            </w:tcMar>
          </w:tcPr>
          <w:p>
            <w:r>
              <w:rPr>
                <w:sz w:val="20"/>
                <w:szCs w:val="20"/>
              </w:rPr>
              <w:t xml:space="preserve">32–44</w:t>
            </w:r>
          </w:p>
        </w:tc>
        <w:tc>
          <w:tcPr>
            <w:tcW w:type="dxa" w:w="2317"/>
            <w:shd w:fill="FFFFFF" w:val="clear"/>
            <w:tcMar>
              <w:top w:type="dxa" w:w="90"/>
              <w:left w:type="dxa" w:w="120"/>
              <w:bottom w:type="dxa" w:w="90"/>
              <w:right w:type="dxa" w:w="120"/>
            </w:tcMar>
          </w:tcPr>
          <w:p>
            <w:r>
              <w:rPr>
                <w:sz w:val="20"/>
                <w:szCs w:val="20"/>
              </w:rPr>
              <w:t xml:space="preserve">$55,978</w:t>
            </w:r>
          </w:p>
        </w:tc>
        <w:tc>
          <w:tcPr>
            <w:tcW w:type="dxa" w:w="2316"/>
            <w:shd w:fill="FFFFFF" w:val="clear"/>
            <w:tcMar>
              <w:top w:type="dxa" w:w="90"/>
              <w:left w:type="dxa" w:w="120"/>
              <w:bottom w:type="dxa" w:w="90"/>
              <w:right w:type="dxa" w:w="120"/>
            </w:tcMar>
          </w:tcPr>
          <w:p>
            <w:r>
              <w:rPr>
                <w:sz w:val="20"/>
                <w:szCs w:val="20"/>
              </w:rPr>
              <w:t xml:space="preserve">24.0%</w:t>
            </w:r>
          </w:p>
        </w:tc>
      </w:tr>
      <w:tr>
        <w:tc>
          <w:tcPr>
            <w:tcW w:type="dxa" w:w="2400"/>
            <w:shd w:fill="F2F2F2" w:val="clear"/>
            <w:tcMar>
              <w:top w:type="dxa" w:w="90"/>
              <w:left w:type="dxa" w:w="120"/>
              <w:bottom w:type="dxa" w:w="90"/>
              <w:right w:type="dxa" w:w="120"/>
            </w:tcMar>
          </w:tcPr>
          <w:p>
            <w:r>
              <w:rPr>
                <w:sz w:val="20"/>
                <w:szCs w:val="20"/>
              </w:rPr>
              <w:t xml:space="preserve">senior</w:t>
            </w:r>
          </w:p>
        </w:tc>
        <w:tc>
          <w:tcPr>
            <w:tcW w:type="dxa" w:w="2317"/>
            <w:shd w:fill="F2F2F2" w:val="clear"/>
            <w:tcMar>
              <w:top w:type="dxa" w:w="90"/>
              <w:left w:type="dxa" w:w="120"/>
              <w:bottom w:type="dxa" w:w="90"/>
              <w:right w:type="dxa" w:w="120"/>
            </w:tcMar>
          </w:tcPr>
          <w:p>
            <w:r>
              <w:rPr>
                <w:sz w:val="20"/>
                <w:szCs w:val="20"/>
              </w:rPr>
              <w:t xml:space="preserve">58–70</w:t>
            </w:r>
          </w:p>
        </w:tc>
        <w:tc>
          <w:tcPr>
            <w:tcW w:type="dxa" w:w="2317"/>
            <w:shd w:fill="F2F2F2" w:val="clear"/>
            <w:tcMar>
              <w:top w:type="dxa" w:w="90"/>
              <w:left w:type="dxa" w:w="120"/>
              <w:bottom w:type="dxa" w:w="90"/>
              <w:right w:type="dxa" w:w="120"/>
            </w:tcMar>
          </w:tcPr>
          <w:p>
            <w:r>
              <w:rPr>
                <w:sz w:val="20"/>
                <w:szCs w:val="20"/>
              </w:rPr>
              <w:t xml:space="preserve">$55,763</w:t>
            </w:r>
          </w:p>
        </w:tc>
        <w:tc>
          <w:tcPr>
            <w:tcW w:type="dxa" w:w="2316"/>
            <w:shd w:fill="F2F2F2" w:val="clear"/>
            <w:tcMar>
              <w:top w:type="dxa" w:w="90"/>
              <w:left w:type="dxa" w:w="120"/>
              <w:bottom w:type="dxa" w:w="90"/>
              <w:right w:type="dxa" w:w="120"/>
            </w:tcMar>
          </w:tcPr>
          <w:p>
            <w:r>
              <w:rPr>
                <w:sz w:val="20"/>
                <w:szCs w:val="20"/>
              </w:rPr>
              <w:t xml:space="preserve">23.9%</w:t>
            </w:r>
          </w:p>
        </w:tc>
      </w:tr>
    </w:tbl>
    <w:p>
      <w:pPr>
        <w:spacing w:after="120"/>
      </w:pPr>
    </w:p>
    <w:p>
      <w:pPr>
        <w:spacing w:after="160" w:line="300"/>
      </w:pPr>
      <w:r>
        <w:rPr>
          <w:sz w:val="22"/>
          <w:szCs w:val="22"/>
        </w:rPr>
        <w:t xml:space="preserve">Because the age_group bins are built on equal-sized customer quartiles rather than fixed age ranges, revenue is naturally close across all four groups (23.9%–26.7%) — this reflects group sizing as much as spending behavior. The young_adult group (ages 18–31) does generate the single largest revenue share, modestly ahead of the other three groups, which are essentially tied. This is a materially different picture from an equal-width age-band view, and it's driven by the quantile method chosen in the cleaning step, not a business insight about older customers under-spending.</w:t>
      </w:r>
    </w:p>
    <w:p>
      <w:pPr>
        <w:pStyle w:val="Heading1"/>
        <w:pBdr>
          <w:bottom w:val="single" w:color="1F3864" w:sz="6" w:space="4"/>
        </w:pBdr>
        <w:spacing w:after="200" w:before="400"/>
      </w:pPr>
      <w:r>
        <w:rPr>
          <w:b/>
          <w:bCs/>
          <w:color w:val="1F3864"/>
          <w:sz w:val="30"/>
          <w:szCs w:val="30"/>
        </w:rPr>
        <w:t xml:space="preserve">13. Supporting Context</w:t>
      </w:r>
    </w:p>
    <w:p>
      <w:pPr>
        <w:pStyle w:val="Heading2"/>
        <w:spacing w:after="140" w:before="280"/>
      </w:pPr>
      <w:r>
        <w:rPr>
          <w:b/>
          <w:bCs/>
          <w:color w:val="2E75B6"/>
          <w:sz w:val="24"/>
          <w:szCs w:val="24"/>
        </w:rPr>
        <w:t xml:space="preserve">Category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3864" w:val="clear"/>
            <w:tcMar>
              <w:top w:type="dxa" w:w="100"/>
              <w:left w:type="dxa" w:w="120"/>
              <w:bottom w:type="dxa" w:w="100"/>
              <w:right w:type="dxa" w:w="120"/>
            </w:tcMar>
          </w:tcPr>
          <w:p>
            <w:r>
              <w:rPr>
                <w:b/>
                <w:bCs/>
                <w:color w:val="FFFFFF"/>
                <w:sz w:val="20"/>
                <w:szCs w:val="20"/>
              </w:rPr>
              <w:t xml:space="preserve">Category</w:t>
            </w:r>
          </w:p>
        </w:tc>
        <w:tc>
          <w:tcPr>
            <w:tcW w:type="dxa" w:w="3117"/>
            <w:shd w:fill="1F3864" w:val="clear"/>
            <w:tcMar>
              <w:top w:type="dxa" w:w="100"/>
              <w:left w:type="dxa" w:w="120"/>
              <w:bottom w:type="dxa" w:w="100"/>
              <w:right w:type="dxa" w:w="120"/>
            </w:tcMar>
          </w:tcPr>
          <w:p>
            <w:r>
              <w:rPr>
                <w:b/>
                <w:bCs/>
                <w:color w:val="FFFFFF"/>
                <w:sz w:val="20"/>
                <w:szCs w:val="20"/>
              </w:rPr>
              <w:t xml:space="preserve">Revenue</w:t>
            </w:r>
          </w:p>
        </w:tc>
        <w:tc>
          <w:tcPr>
            <w:tcW w:type="dxa" w:w="3117"/>
            <w:shd w:fill="1F3864" w:val="clear"/>
            <w:tcMar>
              <w:top w:type="dxa" w:w="100"/>
              <w:left w:type="dxa" w:w="120"/>
              <w:bottom w:type="dxa" w:w="100"/>
              <w:right w:type="dxa" w:w="120"/>
            </w:tcMar>
          </w:tcPr>
          <w:p>
            <w:r>
              <w:rPr>
                <w:b/>
                <w:bCs/>
                <w:color w:val="FFFFFF"/>
                <w:sz w:val="20"/>
                <w:szCs w:val="20"/>
              </w:rPr>
              <w:t xml:space="preserve">% of Total</w:t>
            </w:r>
          </w:p>
        </w:tc>
      </w:tr>
      <w:tr>
        <w:tc>
          <w:tcPr>
            <w:tcW w:type="dxa" w:w="3116"/>
            <w:shd w:fill="FFFFFF" w:val="clear"/>
            <w:tcMar>
              <w:top w:type="dxa" w:w="90"/>
              <w:left w:type="dxa" w:w="120"/>
              <w:bottom w:type="dxa" w:w="90"/>
              <w:right w:type="dxa" w:w="120"/>
            </w:tcMar>
          </w:tcPr>
          <w:p>
            <w:r>
              <w:rPr>
                <w:sz w:val="20"/>
                <w:szCs w:val="20"/>
              </w:rPr>
              <w:t xml:space="preserve">Clothing</w:t>
            </w:r>
          </w:p>
        </w:tc>
        <w:tc>
          <w:tcPr>
            <w:tcW w:type="dxa" w:w="3117"/>
            <w:shd w:fill="FFFFFF" w:val="clear"/>
            <w:tcMar>
              <w:top w:type="dxa" w:w="90"/>
              <w:left w:type="dxa" w:w="120"/>
              <w:bottom w:type="dxa" w:w="90"/>
              <w:right w:type="dxa" w:w="120"/>
            </w:tcMar>
          </w:tcPr>
          <w:p>
            <w:r>
              <w:rPr>
                <w:sz w:val="20"/>
                <w:szCs w:val="20"/>
              </w:rPr>
              <w:t xml:space="preserve">$104,264</w:t>
            </w:r>
          </w:p>
        </w:tc>
        <w:tc>
          <w:tcPr>
            <w:tcW w:type="dxa" w:w="3117"/>
            <w:shd w:fill="FFFFFF" w:val="clear"/>
            <w:tcMar>
              <w:top w:type="dxa" w:w="90"/>
              <w:left w:type="dxa" w:w="120"/>
              <w:bottom w:type="dxa" w:w="90"/>
              <w:right w:type="dxa" w:w="120"/>
            </w:tcMar>
          </w:tcPr>
          <w:p>
            <w:r>
              <w:rPr>
                <w:sz w:val="20"/>
                <w:szCs w:val="20"/>
              </w:rPr>
              <w:t xml:space="preserve">44.7%</w:t>
            </w:r>
          </w:p>
        </w:tc>
      </w:tr>
      <w:tr>
        <w:tc>
          <w:tcPr>
            <w:tcW w:type="dxa" w:w="3116"/>
            <w:shd w:fill="F2F2F2" w:val="clear"/>
            <w:tcMar>
              <w:top w:type="dxa" w:w="90"/>
              <w:left w:type="dxa" w:w="120"/>
              <w:bottom w:type="dxa" w:w="90"/>
              <w:right w:type="dxa" w:w="120"/>
            </w:tcMar>
          </w:tcPr>
          <w:p>
            <w:r>
              <w:rPr>
                <w:sz w:val="20"/>
                <w:szCs w:val="20"/>
              </w:rPr>
              <w:t xml:space="preserve">Accessories</w:t>
            </w:r>
          </w:p>
        </w:tc>
        <w:tc>
          <w:tcPr>
            <w:tcW w:type="dxa" w:w="3117"/>
            <w:shd w:fill="F2F2F2" w:val="clear"/>
            <w:tcMar>
              <w:top w:type="dxa" w:w="90"/>
              <w:left w:type="dxa" w:w="120"/>
              <w:bottom w:type="dxa" w:w="90"/>
              <w:right w:type="dxa" w:w="120"/>
            </w:tcMar>
          </w:tcPr>
          <w:p>
            <w:r>
              <w:rPr>
                <w:sz w:val="20"/>
                <w:szCs w:val="20"/>
              </w:rPr>
              <w:t xml:space="preserve">$74,200</w:t>
            </w:r>
          </w:p>
        </w:tc>
        <w:tc>
          <w:tcPr>
            <w:tcW w:type="dxa" w:w="3117"/>
            <w:shd w:fill="F2F2F2" w:val="clear"/>
            <w:tcMar>
              <w:top w:type="dxa" w:w="90"/>
              <w:left w:type="dxa" w:w="120"/>
              <w:bottom w:type="dxa" w:w="90"/>
              <w:right w:type="dxa" w:w="120"/>
            </w:tcMar>
          </w:tcPr>
          <w:p>
            <w:r>
              <w:rPr>
                <w:sz w:val="20"/>
                <w:szCs w:val="20"/>
              </w:rPr>
              <w:t xml:space="preserve">31.8%</w:t>
            </w:r>
          </w:p>
        </w:tc>
      </w:tr>
      <w:tr>
        <w:tc>
          <w:tcPr>
            <w:tcW w:type="dxa" w:w="3116"/>
            <w:shd w:fill="FFFFFF" w:val="clear"/>
            <w:tcMar>
              <w:top w:type="dxa" w:w="90"/>
              <w:left w:type="dxa" w:w="120"/>
              <w:bottom w:type="dxa" w:w="90"/>
              <w:right w:type="dxa" w:w="120"/>
            </w:tcMar>
          </w:tcPr>
          <w:p>
            <w:r>
              <w:rPr>
                <w:sz w:val="20"/>
                <w:szCs w:val="20"/>
              </w:rPr>
              <w:t xml:space="preserve">Footwear</w:t>
            </w:r>
          </w:p>
        </w:tc>
        <w:tc>
          <w:tcPr>
            <w:tcW w:type="dxa" w:w="3117"/>
            <w:shd w:fill="FFFFFF" w:val="clear"/>
            <w:tcMar>
              <w:top w:type="dxa" w:w="90"/>
              <w:left w:type="dxa" w:w="120"/>
              <w:bottom w:type="dxa" w:w="90"/>
              <w:right w:type="dxa" w:w="120"/>
            </w:tcMar>
          </w:tcPr>
          <w:p>
            <w:r>
              <w:rPr>
                <w:sz w:val="20"/>
                <w:szCs w:val="20"/>
              </w:rPr>
              <w:t xml:space="preserve">$36,093</w:t>
            </w:r>
          </w:p>
        </w:tc>
        <w:tc>
          <w:tcPr>
            <w:tcW w:type="dxa" w:w="3117"/>
            <w:shd w:fill="FFFFFF" w:val="clear"/>
            <w:tcMar>
              <w:top w:type="dxa" w:w="90"/>
              <w:left w:type="dxa" w:w="120"/>
              <w:bottom w:type="dxa" w:w="90"/>
              <w:right w:type="dxa" w:w="120"/>
            </w:tcMar>
          </w:tcPr>
          <w:p>
            <w:r>
              <w:rPr>
                <w:sz w:val="20"/>
                <w:szCs w:val="20"/>
              </w:rPr>
              <w:t xml:space="preserve">15.5%</w:t>
            </w:r>
          </w:p>
        </w:tc>
      </w:tr>
      <w:tr>
        <w:tc>
          <w:tcPr>
            <w:tcW w:type="dxa" w:w="3116"/>
            <w:shd w:fill="F2F2F2" w:val="clear"/>
            <w:tcMar>
              <w:top w:type="dxa" w:w="90"/>
              <w:left w:type="dxa" w:w="120"/>
              <w:bottom w:type="dxa" w:w="90"/>
              <w:right w:type="dxa" w:w="120"/>
            </w:tcMar>
          </w:tcPr>
          <w:p>
            <w:r>
              <w:rPr>
                <w:sz w:val="20"/>
                <w:szCs w:val="20"/>
              </w:rPr>
              <w:t xml:space="preserve">Outerwear</w:t>
            </w:r>
          </w:p>
        </w:tc>
        <w:tc>
          <w:tcPr>
            <w:tcW w:type="dxa" w:w="3117"/>
            <w:shd w:fill="F2F2F2" w:val="clear"/>
            <w:tcMar>
              <w:top w:type="dxa" w:w="90"/>
              <w:left w:type="dxa" w:w="120"/>
              <w:bottom w:type="dxa" w:w="90"/>
              <w:right w:type="dxa" w:w="120"/>
            </w:tcMar>
          </w:tcPr>
          <w:p>
            <w:r>
              <w:rPr>
                <w:sz w:val="20"/>
                <w:szCs w:val="20"/>
              </w:rPr>
              <w:t xml:space="preserve">$18,524</w:t>
            </w:r>
          </w:p>
        </w:tc>
        <w:tc>
          <w:tcPr>
            <w:tcW w:type="dxa" w:w="3117"/>
            <w:shd w:fill="F2F2F2" w:val="clear"/>
            <w:tcMar>
              <w:top w:type="dxa" w:w="90"/>
              <w:left w:type="dxa" w:w="120"/>
              <w:bottom w:type="dxa" w:w="90"/>
              <w:right w:type="dxa" w:w="120"/>
            </w:tcMar>
          </w:tcPr>
          <w:p>
            <w:r>
              <w:rPr>
                <w:sz w:val="20"/>
                <w:szCs w:val="20"/>
              </w:rPr>
              <w:t xml:space="preserve">7.9%</w:t>
            </w:r>
          </w:p>
        </w:tc>
      </w:tr>
    </w:tbl>
    <w:p>
      <w:pPr>
        <w:spacing w:after="160"/>
      </w:pPr>
    </w:p>
    <w:p>
      <w:pPr>
        <w:pStyle w:val="Heading2"/>
        <w:spacing w:after="140" w:before="280"/>
      </w:pPr>
      <w:r>
        <w:rPr>
          <w:b/>
          <w:bCs/>
          <w:color w:val="2E75B6"/>
          <w:sz w:val="24"/>
          <w:szCs w:val="24"/>
        </w:rPr>
        <w:t xml:space="preserve">Seasonality</w:t>
      </w:r>
    </w:p>
    <w:p>
      <w:pPr>
        <w:spacing w:after="160" w:line="300"/>
      </w:pPr>
      <w:r>
        <w:rPr>
          <w:sz w:val="22"/>
          <w:szCs w:val="22"/>
        </w:rPr>
        <w:t xml:space="preserve">Revenue is nearly flat across seasons — Fall ($60,018), Spring ($58,679), Winter ($58,607), and Summer ($55,777) — a spread of under 8% between the highest and lowest quarter. This dataset shows no strong seasonal demand cycle.</w:t>
      </w:r>
    </w:p>
    <w:p>
      <w:pPr>
        <w:pStyle w:val="Heading2"/>
        <w:spacing w:after="140" w:before="280"/>
      </w:pPr>
      <w:r>
        <w:rPr>
          <w:b/>
          <w:bCs/>
          <w:color w:val="2E75B6"/>
          <w:sz w:val="24"/>
          <w:szCs w:val="24"/>
        </w:rPr>
        <w:t xml:space="preserve">Payment &amp; Promo Behavior</w:t>
      </w:r>
    </w:p>
    <w:p>
      <w:pPr>
        <w:pStyle w:val="ListParagraph"/>
        <w:numPr>
          <w:ilvl w:val="0"/>
          <w:numId w:val="1"/>
        </w:numPr>
        <w:spacing w:after="90"/>
      </w:pPr>
      <w:r>
        <w:rPr>
          <w:sz w:val="22"/>
          <w:szCs w:val="22"/>
        </w:rPr>
        <w:t xml:space="preserve">Payment methods are evenly distributed across all six options (PayPal, Credit Card, Cash, Debit Card, Venmo, Bank Transfer), each capturing 15.7–17.4% of transactions — no dominant payment channel.</w:t>
      </w:r>
    </w:p>
    <w:p>
      <w:pPr>
        <w:pStyle w:val="ListParagraph"/>
        <w:numPr>
          <w:ilvl w:val="0"/>
          <w:numId w:val="1"/>
        </w:numPr>
        <w:spacing w:after="90"/>
      </w:pPr>
      <w:r>
        <w:rPr>
          <w:sz w:val="22"/>
          <w:szCs w:val="22"/>
        </w:rPr>
        <w:t xml:space="preserve">43% of customers used a promo code — closely tracking the 43% discount-applied rate, suggesting these are largely the same behavior captured two ways.</w:t>
      </w:r>
    </w:p>
    <w:p>
      <w:pPr>
        <w:pStyle w:val="Heading1"/>
        <w:pBdr>
          <w:bottom w:val="single" w:color="1F3864" w:sz="6" w:space="4"/>
        </w:pBdr>
        <w:spacing w:after="200" w:before="400"/>
      </w:pPr>
      <w:r>
        <w:rPr>
          <w:b/>
          <w:bCs/>
          <w:color w:val="1F3864"/>
          <w:sz w:val="30"/>
          <w:szCs w:val="30"/>
        </w:rPr>
        <w:t xml:space="preserve">14. Recommendations</w:t>
      </w:r>
    </w:p>
    <w:p>
      <w:pPr>
        <w:pStyle w:val="ListParagraph"/>
        <w:numPr>
          <w:ilvl w:val="0"/>
          <w:numId w:val="1"/>
        </w:numPr>
        <w:spacing w:after="90"/>
      </w:pPr>
      <w:r>
        <w:rPr>
          <w:sz w:val="22"/>
          <w:szCs w:val="22"/>
        </w:rPr>
        <w:t xml:space="preserve">Convert proven loyalty into subscriptions: target the ~2,500 customers with 6+ purchases who remain unsubscribed — the single largest, lowest-risk growth segment identified in this analysis.</w:t>
      </w:r>
    </w:p>
    <w:p>
      <w:pPr>
        <w:pStyle w:val="ListParagraph"/>
        <w:numPr>
          <w:ilvl w:val="0"/>
          <w:numId w:val="1"/>
        </w:numPr>
        <w:spacing w:after="90"/>
      </w:pPr>
      <w:r>
        <w:rPr>
          <w:sz w:val="22"/>
          <w:szCs w:val="22"/>
        </w:rPr>
        <w:t xml:space="preserve">Re-evaluate subscription perks: since subscribers spend no more than non-subscribers, current benefits are not incentivizing higher basket size — consider spend-tiered rewards instead of flat perks.</w:t>
      </w:r>
    </w:p>
    <w:p>
      <w:pPr>
        <w:pStyle w:val="ListParagraph"/>
        <w:numPr>
          <w:ilvl w:val="0"/>
          <w:numId w:val="1"/>
        </w:numPr>
        <w:spacing w:after="90"/>
      </w:pPr>
      <w:r>
        <w:rPr>
          <w:sz w:val="22"/>
          <w:szCs w:val="22"/>
        </w:rPr>
        <w:t xml:space="preserve">Investigate the gender revenue gap: the 2:1 male/female order-volume imbalance is likely an acquisition or channel issue rather than a spend-behavior issue, given similar average order values — worth a marketing-mix review.</w:t>
      </w:r>
    </w:p>
    <w:p>
      <w:pPr>
        <w:pStyle w:val="ListParagraph"/>
        <w:numPr>
          <w:ilvl w:val="0"/>
          <w:numId w:val="1"/>
        </w:numPr>
        <w:spacing w:after="90"/>
      </w:pPr>
      <w:r>
        <w:rPr>
          <w:sz w:val="22"/>
          <w:szCs w:val="22"/>
        </w:rPr>
        <w:t xml:space="preserve">Protect margin on high-discount SKUs: Hats, Sneakers, Coats, Sweaters, and Pants are discounted on roughly half of all orders — confirm these promotions are still profitable or intentional (e.g., seasonal clearance) rather than default behavior.</w:t>
      </w:r>
    </w:p>
    <w:p>
      <w:pPr>
        <w:pStyle w:val="ListParagraph"/>
        <w:numPr>
          <w:ilvl w:val="0"/>
          <w:numId w:val="1"/>
        </w:numPr>
        <w:spacing w:after="90"/>
      </w:pPr>
      <w:r>
        <w:rPr>
          <w:sz w:val="22"/>
          <w:szCs w:val="22"/>
        </w:rPr>
        <w:t xml:space="preserve">Fix the purchase_frequency_days mapping bug: 29% of rows (1,131) silently receive a null value because the mapping dictionary's labels don't match the source data's exact casing/wording ("Every 3 month" vs "Every 3 Months", "Bi-weekly" vs "Bi-Weekly"). This should be corrected before that column is used in any downstream analysis or dashboard.</w:t>
      </w:r>
    </w:p>
    <w:p>
      <w:pPr>
        <w:pStyle w:val="ListParagraph"/>
        <w:numPr>
          <w:ilvl w:val="0"/>
          <w:numId w:val="1"/>
        </w:numPr>
        <w:spacing w:after="90"/>
      </w:pPr>
      <w:r>
        <w:rPr>
          <w:sz w:val="22"/>
          <w:szCs w:val="22"/>
        </w:rPr>
        <w:t xml:space="preserve">Decide on an age-segmentation standard: the current quantile-based age_group (equal-sized customer groups, uneven age ranges) produces a very different revenue story than a fixed-width age-band view would. Pick one method and document it so age-based figures are comparable across reports.</w:t>
      </w:r>
    </w:p>
    <w:p>
      <w:pPr>
        <w:pStyle w:val="ListParagraph"/>
        <w:numPr>
          <w:ilvl w:val="0"/>
          <w:numId w:val="1"/>
        </w:numPr>
        <w:spacing w:after="90"/>
      </w:pPr>
      <w:r>
        <w:rPr>
          <w:sz w:val="22"/>
          <w:szCs w:val="22"/>
        </w:rPr>
        <w:t xml:space="preserve">Persist cleaned fields at the source: age_group and purchase_frequency_days are currently generated fresh in each notebook run — moving this into a scheduled ETL step would prevent the kind of mapping drift found in Section 2.4.</w:t>
      </w:r>
    </w:p>
    <w:p>
      <w:pPr>
        <w:pStyle w:val="Heading1"/>
        <w:pBdr>
          <w:bottom w:val="single" w:color="1F3864" w:sz="6" w:space="4"/>
        </w:pBdr>
        <w:spacing w:after="200" w:before="400"/>
      </w:pPr>
      <w:r>
        <w:rPr>
          <w:b/>
          <w:bCs/>
          <w:color w:val="1F3864"/>
          <w:sz w:val="30"/>
          <w:szCs w:val="30"/>
        </w:rPr>
        <w:t xml:space="preserve">15. Methodology &amp; Data Notes</w:t>
      </w:r>
    </w:p>
    <w:p>
      <w:pPr>
        <w:pStyle w:val="ListParagraph"/>
        <w:numPr>
          <w:ilvl w:val="0"/>
          <w:numId w:val="1"/>
        </w:numPr>
        <w:spacing w:after="90"/>
      </w:pPr>
      <w:r>
        <w:rPr>
          <w:sz w:val="22"/>
          <w:szCs w:val="22"/>
        </w:rPr>
        <w:t xml:space="preserve">Dataset: 3,900 rows, 18 raw columns (customer_shopping_behavior.csv). Cleaning was performed in Python/pandas per the supplied notebook; all cleaning steps were independently replicated for this report (Section 2).</w:t>
      </w:r>
    </w:p>
    <w:p>
      <w:pPr>
        <w:pStyle w:val="ListParagraph"/>
        <w:numPr>
          <w:ilvl w:val="0"/>
          <w:numId w:val="1"/>
        </w:numPr>
        <w:spacing w:after="90"/>
      </w:pPr>
      <w:r>
        <w:rPr>
          <w:sz w:val="22"/>
          <w:szCs w:val="22"/>
        </w:rPr>
        <w:t xml:space="preserve">All 10 SQL queries from the supplied script were re-executed as equivalent pandas operations directly against the cleaned dataset to verify and refresh every figure in this report.</w:t>
      </w:r>
    </w:p>
    <w:p>
      <w:pPr>
        <w:pStyle w:val="ListParagraph"/>
        <w:numPr>
          <w:ilvl w:val="0"/>
          <w:numId w:val="1"/>
        </w:numPr>
        <w:spacing w:after="90"/>
      </w:pPr>
      <w:r>
        <w:rPr>
          <w:sz w:val="22"/>
          <w:szCs w:val="22"/>
        </w:rPr>
        <w:t xml:space="preserve">Q3 (top-rated products) reflects ratings after category-median imputation of the 37 originally-missing values; this shifted the #5 ranked product versus an unclean-data version of the same query.</w:t>
      </w:r>
    </w:p>
    <w:p>
      <w:pPr>
        <w:pStyle w:val="ListParagraph"/>
        <w:numPr>
          <w:ilvl w:val="0"/>
          <w:numId w:val="1"/>
        </w:numPr>
        <w:spacing w:after="90"/>
      </w:pPr>
      <w:r>
        <w:rPr>
          <w:sz w:val="22"/>
          <w:szCs w:val="22"/>
        </w:rPr>
        <w:t xml:space="preserve">Q7 and Q9 thresholds follow the SQL script exactly: New = 1 prior purchase, Returning = 2–10, Loyal = 11+ (script comment says "more than 10"); Q9 uses "more than 5" prior purchases as the repeat-buyer cutoff.</w:t>
      </w:r>
    </w:p>
    <w:p>
      <w:pPr>
        <w:pStyle w:val="ListParagraph"/>
        <w:numPr>
          <w:ilvl w:val="0"/>
          <w:numId w:val="1"/>
        </w:numPr>
        <w:spacing w:after="90"/>
      </w:pPr>
      <w:r>
        <w:rPr>
          <w:sz w:val="22"/>
          <w:szCs w:val="22"/>
        </w:rPr>
        <w:t xml:space="preserve">Q10 uses the exact age_group logic from the Python cleaning notebook: pd.qcut into 4 quantile-based groups (young_adult, adult, middle_age, senior), which produces unequal age ranges but roughly equal customer counts per group.</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2026-09-13T09:47:40.912Z</dcterms:created>
  <dcterms:modified xsi:type="dcterms:W3CDTF">2026-09-13T09:47:40.912Z</dcterms:modified>
</cp:coreProperties>
</file>

<file path=docProps/custom.xml><?xml version="1.0" encoding="utf-8"?>
<Properties xmlns="http://schemas.openxmlformats.org/officeDocument/2006/custom-properties" xmlns:vt="http://schemas.openxmlformats.org/officeDocument/2006/docPropsVTypes"/>
</file>