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color w:val="666666"/>
          <w:sz w:val="26"/>
          <w:szCs w:val="26"/>
        </w:rPr>
        <w:t xml:space="preserve">PROJECT REPORT</w:t>
      </w:r>
    </w:p>
    <w:p>
      <w:pPr>
        <w:spacing w:after="200" w:before="200"/>
        <w:jc w:val="center"/>
      </w:pPr>
      <w:r>
        <w:rPr>
          <w:rFonts w:ascii="Calibri" w:cs="Calibri" w:eastAsia="Calibri" w:hAnsi="Calibri"/>
          <w:b/>
          <w:bCs/>
          <w:color w:val="1E2761"/>
          <w:sz w:val="44"/>
          <w:szCs w:val="44"/>
        </w:rPr>
        <w:t xml:space="preserve">Algorithmic Options Pricing:</w:t>
      </w:r>
    </w:p>
    <w:p>
      <w:pPr>
        <w:spacing w:after="500"/>
        <w:jc w:val="center"/>
      </w:pPr>
      <w:r>
        <w:rPr>
          <w:rFonts w:ascii="Calibri" w:cs="Calibri" w:eastAsia="Calibri" w:hAnsi="Calibri"/>
          <w:b/>
          <w:bCs/>
          <w:color w:val="1E2761"/>
          <w:sz w:val="40"/>
          <w:szCs w:val="40"/>
        </w:rPr>
        <w:t xml:space="preserve">Fourier Transform &amp; Stochastic Simulation</w:t>
      </w:r>
    </w:p>
    <w:p>
      <w:pPr>
        <w:spacing w:after="100"/>
        <w:jc w:val="center"/>
      </w:pPr>
      <w:r>
        <w:rPr>
          <w:rFonts w:ascii="Calibri" w:cs="Calibri" w:eastAsia="Calibri" w:hAnsi="Calibri"/>
          <w:i/>
          <w:iCs/>
          <w:sz w:val="24"/>
          <w:szCs w:val="24"/>
        </w:rPr>
        <w:t xml:space="preserve">A Quantitative Finance Framework for Derivative Valuation and Risk Analysis</w:t>
      </w:r>
    </w:p>
    <w:p>
      <w:pPr>
        <w:spacing w:before="800"/>
        <w:jc w:val="center"/>
      </w:pPr>
      <w:r>
        <w:rPr>
          <w:rFonts w:ascii="Calibri" w:cs="Calibri" w:eastAsia="Calibri" w:hAnsi="Calibri"/>
          <w:b/>
          <w:bCs/>
          <w:sz w:val="24"/>
          <w:szCs w:val="24"/>
        </w:rPr>
        <w:t xml:space="preserve">Statmatics, IIT Kanpur</w:t>
      </w:r>
    </w:p>
    <w:p>
      <w:pPr>
        <w:jc w:val="center"/>
      </w:pPr>
      <w:r>
        <w:rPr>
          <w:rFonts w:ascii="Calibri" w:cs="Calibri" w:eastAsia="Calibri" w:hAnsi="Calibri"/>
          <w:sz w:val="22"/>
          <w:szCs w:val="22"/>
        </w:rPr>
        <w:t xml:space="preserve">May 2026</w:t>
      </w:r>
    </w:p>
    <w:p>
      <w:r>
        <w:br w:type="page"/>
      </w:r>
    </w:p>
    <w:p>
      <w:pPr>
        <w:pStyle w:val="Heading1"/>
        <w:spacing w:after="160" w:before="320"/>
      </w:pPr>
      <w:r>
        <w:rPr>
          <w:rFonts w:ascii="Calibri" w:cs="Calibri" w:eastAsia="Calibri" w:hAnsi="Calibri"/>
          <w:b/>
          <w:bCs/>
          <w:color w:val="1E2761"/>
          <w:sz w:val="30"/>
          <w:szCs w:val="30"/>
        </w:rPr>
        <w:t xml:space="preserve">1. Project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EDEFF7" w:val="clear"/>
          </w:tcPr>
          <w:p>
            <w:r>
              <w:rPr>
                <w:rFonts w:ascii="Calibri" w:cs="Calibri" w:eastAsia="Calibri" w:hAnsi="Calibri"/>
                <w:b/>
                <w:bCs/>
                <w:sz w:val="20"/>
                <w:szCs w:val="20"/>
              </w:rPr>
              <w:t xml:space="preserve">Objective</w:t>
            </w:r>
          </w:p>
        </w:tc>
        <w:tc>
          <w:tcPr>
            <w:tcW w:type="dxa" w:w="6000"/>
          </w:tcPr>
          <w:p>
            <w:r>
              <w:rPr>
                <w:rFonts w:ascii="Calibri" w:cs="Calibri" w:eastAsia="Calibri" w:hAnsi="Calibri"/>
                <w:sz w:val="20"/>
                <w:szCs w:val="20"/>
              </w:rPr>
              <w:t xml:space="preserve">Build expertise in quantitative finance by developing a Python-based numerical framework for efficient, cross-validated derivative valuation and risk analysis.</w:t>
            </w:r>
          </w:p>
        </w:tc>
      </w:tr>
      <w:tr>
        <w:tc>
          <w:tcPr>
            <w:tcW w:type="dxa" w:w="3000"/>
            <w:shd w:fill="EDEFF7" w:val="clear"/>
          </w:tcPr>
          <w:p>
            <w:r>
              <w:rPr>
                <w:rFonts w:ascii="Calibri" w:cs="Calibri" w:eastAsia="Calibri" w:hAnsi="Calibri"/>
                <w:b/>
                <w:bCs/>
                <w:sz w:val="20"/>
                <w:szCs w:val="20"/>
              </w:rPr>
              <w:t xml:space="preserve">Approach</w:t>
            </w:r>
          </w:p>
        </w:tc>
        <w:tc>
          <w:tcPr>
            <w:tcW w:type="dxa" w:w="6000"/>
          </w:tcPr>
          <w:p>
            <w:r>
              <w:rPr>
                <w:rFonts w:ascii="Calibri" w:cs="Calibri" w:eastAsia="Calibri" w:hAnsi="Calibri"/>
                <w:sz w:val="20"/>
                <w:szCs w:val="20"/>
              </w:rPr>
              <w:t xml:space="preserve">Derive and implement the Black-Scholes-Merton (BSM) model under risk-neutral valuation; apply the Carr-Madan Fast Fourier Transform to accelerate pricing across a full strike chain; run Monte-Carlo stochastic simulations (Ito's Lemma / GBM) to estimate price and quantify downside risk.</w:t>
            </w:r>
          </w:p>
        </w:tc>
      </w:tr>
      <w:tr>
        <w:tc>
          <w:tcPr>
            <w:tcW w:type="dxa" w:w="3000"/>
            <w:shd w:fill="EDEFF7" w:val="clear"/>
          </w:tcPr>
          <w:p>
            <w:r>
              <w:rPr>
                <w:rFonts w:ascii="Calibri" w:cs="Calibri" w:eastAsia="Calibri" w:hAnsi="Calibri"/>
                <w:b/>
                <w:bCs/>
                <w:sz w:val="20"/>
                <w:szCs w:val="20"/>
              </w:rPr>
              <w:t xml:space="preserve">Outcome</w:t>
            </w:r>
          </w:p>
        </w:tc>
        <w:tc>
          <w:tcPr>
            <w:tcW w:type="dxa" w:w="6000"/>
          </w:tcPr>
          <w:p>
            <w:r>
              <w:rPr>
                <w:rFonts w:ascii="Calibri" w:cs="Calibri" w:eastAsia="Calibri" w:hAnsi="Calibri"/>
                <w:sz w:val="20"/>
                <w:szCs w:val="20"/>
              </w:rPr>
              <w:t xml:space="preserve">A single Streamlit dashboard that prices European options via three independent methods and cross-validates them, alongside Value-at-Risk (VaR) and Conditional VaR (CVaR) risk metrics for an option position.</w:t>
            </w:r>
          </w:p>
        </w:tc>
      </w:tr>
    </w:tbl>
    <w:p>
      <w:pPr>
        <w:pStyle w:val="Heading1"/>
        <w:spacing w:after="160" w:before="320"/>
      </w:pPr>
      <w:r>
        <w:rPr>
          <w:rFonts w:ascii="Calibri" w:cs="Calibri" w:eastAsia="Calibri" w:hAnsi="Calibri"/>
          <w:b/>
          <w:bCs/>
          <w:color w:val="1E2761"/>
          <w:sz w:val="30"/>
          <w:szCs w:val="30"/>
        </w:rPr>
        <w:t xml:space="preserve">2. Intended Outcomes</w:t>
      </w:r>
    </w:p>
    <w:p>
      <w:pPr>
        <w:pStyle w:val="ListParagraph"/>
        <w:numPr>
          <w:ilvl w:val="0"/>
          <w:numId w:val="2"/>
        </w:numPr>
        <w:spacing w:after="100"/>
      </w:pPr>
      <w:r>
        <w:rPr>
          <w:rFonts w:ascii="Calibri" w:cs="Calibri" w:eastAsia="Calibri" w:hAnsi="Calibri"/>
          <w:b w:val="false"/>
          <w:bCs w:val="false"/>
          <w:sz w:val="22"/>
          <w:szCs w:val="22"/>
        </w:rPr>
        <w:t xml:space="preserve">Understand the derivation of risk-neutral option valuation and the role of Stochastic Calculus — Brownian Motion and Ito's Lemma — in modelling asset price dynamics.</w:t>
      </w:r>
    </w:p>
    <w:p>
      <w:pPr>
        <w:pStyle w:val="ListParagraph"/>
        <w:numPr>
          <w:ilvl w:val="0"/>
          <w:numId w:val="2"/>
        </w:numPr>
        <w:spacing w:after="100"/>
      </w:pPr>
      <w:r>
        <w:rPr>
          <w:rFonts w:ascii="Calibri" w:cs="Calibri" w:eastAsia="Calibri" w:hAnsi="Calibri"/>
          <w:b w:val="false"/>
          <w:bCs w:val="false"/>
          <w:sz w:val="22"/>
          <w:szCs w:val="22"/>
        </w:rPr>
        <w:t xml:space="preserve">Derive and implement the Black-Scholes-Merton model in closed form, including the full set of risk-neutral Greeks (Delta, Gamma, Vega, Theta, Rho).</w:t>
      </w:r>
    </w:p>
    <w:p>
      <w:pPr>
        <w:pStyle w:val="ListParagraph"/>
        <w:numPr>
          <w:ilvl w:val="0"/>
          <w:numId w:val="2"/>
        </w:numPr>
        <w:spacing w:after="100"/>
      </w:pPr>
      <w:r>
        <w:rPr>
          <w:rFonts w:ascii="Calibri" w:cs="Calibri" w:eastAsia="Calibri" w:hAnsi="Calibri"/>
          <w:b w:val="false"/>
          <w:bCs w:val="false"/>
          <w:sz w:val="22"/>
          <w:szCs w:val="22"/>
        </w:rPr>
        <w:t xml:space="preserve">Apply the Fast Fourier Transform (Carr-Madan, 1999) to price an entire option chain simultaneously, and validate it against the BSM closed-form benchmark.</w:t>
      </w:r>
    </w:p>
    <w:p>
      <w:pPr>
        <w:pStyle w:val="ListParagraph"/>
        <w:numPr>
          <w:ilvl w:val="0"/>
          <w:numId w:val="2"/>
        </w:numPr>
        <w:spacing w:after="100"/>
      </w:pPr>
      <w:r>
        <w:rPr>
          <w:rFonts w:ascii="Calibri" w:cs="Calibri" w:eastAsia="Calibri" w:hAnsi="Calibri"/>
          <w:b w:val="false"/>
          <w:bCs w:val="false"/>
          <w:sz w:val="22"/>
          <w:szCs w:val="22"/>
        </w:rPr>
        <w:t xml:space="preserve">Build Monte-Carlo simulations of the risk-neutral SDE to independently estimate option prices and quantify tail risk via VaR and CVaR.</w:t>
      </w:r>
    </w:p>
    <w:p>
      <w:pPr>
        <w:pStyle w:val="Heading1"/>
        <w:spacing w:after="160" w:before="320"/>
      </w:pPr>
      <w:r>
        <w:rPr>
          <w:rFonts w:ascii="Calibri" w:cs="Calibri" w:eastAsia="Calibri" w:hAnsi="Calibri"/>
          <w:b/>
          <w:bCs/>
          <w:color w:val="1E2761"/>
          <w:sz w:val="30"/>
          <w:szCs w:val="30"/>
        </w:rPr>
        <w:t xml:space="preserve">3. Stochastic Calculus Background</w:t>
      </w:r>
    </w:p>
    <w:p>
      <w:pPr>
        <w:spacing w:after="160"/>
        <w:jc w:val="both"/>
      </w:pPr>
      <w:r>
        <w:rPr>
          <w:rFonts w:ascii="Calibri" w:cs="Calibri" w:eastAsia="Calibri" w:hAnsi="Calibri"/>
          <w:b w:val="false"/>
          <w:bCs w:val="false"/>
          <w:i w:val="false"/>
          <w:iCs w:val="false"/>
          <w:sz w:val="22"/>
          <w:szCs w:val="22"/>
        </w:rPr>
        <w:t xml:space="preserve">Under the risk-neutral measure, the underlying asset price is modelled as a Geometric Brownian Motion (GBM), satisfying the stochastic differential equation:</w:t>
      </w:r>
    </w:p>
    <w:p>
      <w:pPr>
        <w:spacing w:after="160" w:before="120"/>
        <w:jc w:val="center"/>
      </w:pPr>
      <w:r>
        <w:rPr>
          <w:rFonts w:ascii="Cambria" w:cs="Cambria" w:eastAsia="Cambria" w:hAnsi="Cambria"/>
          <w:i/>
          <w:iCs/>
          <w:sz w:val="22"/>
          <w:szCs w:val="22"/>
        </w:rPr>
        <w:t xml:space="preserve">dSt = (r − q) St dt + σ St dWt</w:t>
      </w:r>
    </w:p>
    <w:p>
      <w:pPr>
        <w:spacing w:after="160"/>
        <w:jc w:val="both"/>
      </w:pPr>
      <w:r>
        <w:rPr>
          <w:rFonts w:ascii="Calibri" w:cs="Calibri" w:eastAsia="Calibri" w:hAnsi="Calibri"/>
          <w:b w:val="false"/>
          <w:bCs w:val="false"/>
          <w:i w:val="false"/>
          <w:iCs w:val="false"/>
          <w:sz w:val="22"/>
          <w:szCs w:val="22"/>
        </w:rPr>
        <w:t xml:space="preserve">where r is the risk-free rate, q is the continuous dividend yield, σ is volatility, and Wt is a standard Brownian Motion. Applying Ito's Lemma to ln(St) removes the state-dependence of the diffusion term and yields the exact distributional solution:</w:t>
      </w:r>
    </w:p>
    <w:p>
      <w:pPr>
        <w:spacing w:after="160" w:before="120"/>
        <w:jc w:val="center"/>
      </w:pPr>
      <w:r>
        <w:rPr>
          <w:rFonts w:ascii="Cambria" w:cs="Cambria" w:eastAsia="Cambria" w:hAnsi="Cambria"/>
          <w:i/>
          <w:iCs/>
          <w:sz w:val="22"/>
          <w:szCs w:val="22"/>
        </w:rPr>
        <w:t xml:space="preserve">ST = S0 · exp[(r − q − ½σ²)T + σ√T · Z],   Z ~ N(0,1)</w:t>
      </w:r>
    </w:p>
    <w:p>
      <w:pPr>
        <w:spacing w:after="160"/>
        <w:jc w:val="both"/>
      </w:pPr>
      <w:r>
        <w:rPr>
          <w:rFonts w:ascii="Calibri" w:cs="Calibri" w:eastAsia="Calibri" w:hAnsi="Calibri"/>
          <w:b w:val="false"/>
          <w:bCs w:val="false"/>
          <w:i w:val="false"/>
          <w:iCs w:val="false"/>
          <w:sz w:val="22"/>
          <w:szCs w:val="22"/>
        </w:rPr>
        <w:t xml:space="preserve">This closed-form solution is what makes both the analytical BSM formula and the exact-scheme Monte-Carlo simulation possible — no discretisation bias is introduced even for large time steps, since the log-price increment is Normally distributed exactly, not just approximately.</w:t>
      </w:r>
    </w:p>
    <w:p>
      <w:pPr>
        <w:pStyle w:val="Heading1"/>
        <w:spacing w:after="160" w:before="320"/>
      </w:pPr>
      <w:r>
        <w:rPr>
          <w:rFonts w:ascii="Calibri" w:cs="Calibri" w:eastAsia="Calibri" w:hAnsi="Calibri"/>
          <w:b/>
          <w:bCs/>
          <w:color w:val="1E2761"/>
          <w:sz w:val="30"/>
          <w:szCs w:val="30"/>
        </w:rPr>
        <w:t xml:space="preserve">4. The Black-Scholes-Merton Model</w:t>
      </w:r>
    </w:p>
    <w:p>
      <w:pPr>
        <w:pStyle w:val="Heading2"/>
        <w:spacing w:after="120" w:before="240"/>
      </w:pPr>
      <w:r>
        <w:rPr>
          <w:rFonts w:ascii="Calibri" w:cs="Calibri" w:eastAsia="Calibri" w:hAnsi="Calibri"/>
          <w:b/>
          <w:bCs/>
          <w:color w:val="1E2761"/>
          <w:sz w:val="24"/>
          <w:szCs w:val="24"/>
        </w:rPr>
        <w:t xml:space="preserve">4.1 Risk-Neutral Valuation</w:t>
      </w:r>
    </w:p>
    <w:p>
      <w:pPr>
        <w:spacing w:after="160"/>
        <w:jc w:val="both"/>
      </w:pPr>
      <w:r>
        <w:rPr>
          <w:rFonts w:ascii="Calibri" w:cs="Calibri" w:eastAsia="Calibri" w:hAnsi="Calibri"/>
          <w:b w:val="false"/>
          <w:bCs w:val="false"/>
          <w:i w:val="false"/>
          <w:iCs w:val="false"/>
          <w:sz w:val="22"/>
          <w:szCs w:val="22"/>
        </w:rPr>
        <w:t xml:space="preserve">Under the risk-neutral measure Q, the discounted asset price is a martingale, so the value of a European call option is the discounted risk-neutral expectation of its payoff:</w:t>
      </w:r>
    </w:p>
    <w:p>
      <w:pPr>
        <w:spacing w:after="160" w:before="120"/>
        <w:jc w:val="center"/>
      </w:pPr>
      <w:r>
        <w:rPr>
          <w:rFonts w:ascii="Cambria" w:cs="Cambria" w:eastAsia="Cambria" w:hAnsi="Cambria"/>
          <w:i/>
          <w:iCs/>
          <w:sz w:val="22"/>
          <w:szCs w:val="22"/>
        </w:rPr>
        <w:t xml:space="preserve">C(S0,K,T) = e⁻ʳᵀ Eᵠ[max(ST − K, 0)]</w:t>
      </w:r>
    </w:p>
    <w:p>
      <w:pPr>
        <w:spacing w:after="160"/>
        <w:jc w:val="both"/>
      </w:pPr>
      <w:r>
        <w:rPr>
          <w:rFonts w:ascii="Calibri" w:cs="Calibri" w:eastAsia="Calibri" w:hAnsi="Calibri"/>
          <w:b w:val="false"/>
          <w:bCs w:val="false"/>
          <w:i w:val="false"/>
          <w:iCs w:val="false"/>
          <w:sz w:val="22"/>
          <w:szCs w:val="22"/>
        </w:rPr>
        <w:t xml:space="preserve">Evaluating this expectation against the lognormal density of ST derived above yields the classical closed-form solution:</w:t>
      </w:r>
    </w:p>
    <w:p>
      <w:pPr>
        <w:spacing w:after="160" w:before="120"/>
        <w:jc w:val="center"/>
      </w:pPr>
      <w:r>
        <w:rPr>
          <w:rFonts w:ascii="Cambria" w:cs="Cambria" w:eastAsia="Cambria" w:hAnsi="Cambria"/>
          <w:i/>
          <w:iCs/>
          <w:sz w:val="22"/>
          <w:szCs w:val="22"/>
        </w:rPr>
        <w:t xml:space="preserve">C = S0 e⁻ᵔᵀ N(d1) − K e⁻ʳᵀ N(d2)</w:t>
      </w:r>
    </w:p>
    <w:p>
      <w:pPr>
        <w:spacing w:after="160" w:before="120"/>
        <w:jc w:val="center"/>
      </w:pPr>
      <w:r>
        <w:rPr>
          <w:rFonts w:ascii="Cambria" w:cs="Cambria" w:eastAsia="Cambria" w:hAnsi="Cambria"/>
          <w:i/>
          <w:iCs/>
          <w:sz w:val="22"/>
          <w:szCs w:val="22"/>
        </w:rPr>
        <w:t xml:space="preserve">d1 = [ln(S0/K) + (r − q + ½σ²)T] / (σ√T),     d2 = d1 − σ√T</w:t>
      </w:r>
    </w:p>
    <w:p>
      <w:pPr>
        <w:spacing w:after="160"/>
        <w:jc w:val="both"/>
      </w:pPr>
      <w:r>
        <w:rPr>
          <w:rFonts w:ascii="Calibri" w:cs="Calibri" w:eastAsia="Calibri" w:hAnsi="Calibri"/>
          <w:b w:val="false"/>
          <w:bCs w:val="false"/>
          <w:i w:val="false"/>
          <w:iCs w:val="false"/>
          <w:sz w:val="22"/>
          <w:szCs w:val="22"/>
        </w:rPr>
        <w:t xml:space="preserve">The corresponding put price follows directly from put-call parity.</w:t>
      </w:r>
    </w:p>
    <w:p>
      <w:pPr>
        <w:pStyle w:val="Heading2"/>
        <w:spacing w:after="120" w:before="240"/>
      </w:pPr>
      <w:r>
        <w:rPr>
          <w:rFonts w:ascii="Calibri" w:cs="Calibri" w:eastAsia="Calibri" w:hAnsi="Calibri"/>
          <w:b/>
          <w:bCs/>
          <w:color w:val="1E2761"/>
          <w:sz w:val="24"/>
          <w:szCs w:val="24"/>
        </w:rPr>
        <w:t xml:space="preserve">4.2 Risk-Neutral Greeks</w:t>
      </w:r>
    </w:p>
    <w:p>
      <w:pPr>
        <w:spacing w:after="160"/>
        <w:jc w:val="both"/>
      </w:pPr>
      <w:r>
        <w:rPr>
          <w:rFonts w:ascii="Calibri" w:cs="Calibri" w:eastAsia="Calibri" w:hAnsi="Calibri"/>
          <w:b w:val="false"/>
          <w:bCs w:val="false"/>
          <w:i w:val="false"/>
          <w:iCs w:val="false"/>
          <w:sz w:val="22"/>
          <w:szCs w:val="22"/>
        </w:rPr>
        <w:t xml:space="preserve">The sensitivities of the option price to each input are obtained by differentiating the closed-form price. These quantify the option's exposure to the underlying (Delta, Gamma), volatility (Vega), time decay (Theta), and interest rates (Rho), and are essential for hedging a derivatives book in practice.</w:t>
      </w:r>
    </w:p>
    <w:p>
      <w:pPr>
        <w:pStyle w:val="Heading1"/>
        <w:spacing w:after="160" w:before="320"/>
      </w:pPr>
      <w:r>
        <w:rPr>
          <w:rFonts w:ascii="Calibri" w:cs="Calibri" w:eastAsia="Calibri" w:hAnsi="Calibri"/>
          <w:b/>
          <w:bCs/>
          <w:color w:val="1E2761"/>
          <w:sz w:val="30"/>
          <w:szCs w:val="30"/>
        </w:rPr>
        <w:t xml:space="preserve">5. Accelerating Pricing with the Fast Fourier Transform</w:t>
      </w:r>
    </w:p>
    <w:p>
      <w:pPr>
        <w:pStyle w:val="Heading2"/>
        <w:spacing w:after="120" w:before="240"/>
      </w:pPr>
      <w:r>
        <w:rPr>
          <w:rFonts w:ascii="Calibri" w:cs="Calibri" w:eastAsia="Calibri" w:hAnsi="Calibri"/>
          <w:b/>
          <w:bCs/>
          <w:color w:val="1E2761"/>
          <w:sz w:val="24"/>
          <w:szCs w:val="24"/>
        </w:rPr>
        <w:t xml:space="preserve">5.1 Motivation</w:t>
      </w:r>
    </w:p>
    <w:p>
      <w:pPr>
        <w:spacing w:after="160"/>
        <w:jc w:val="both"/>
      </w:pPr>
      <w:r>
        <w:rPr>
          <w:rFonts w:ascii="Calibri" w:cs="Calibri" w:eastAsia="Calibri" w:hAnsi="Calibri"/>
          <w:b w:val="false"/>
          <w:bCs w:val="false"/>
          <w:i w:val="false"/>
          <w:iCs w:val="false"/>
          <w:sz w:val="22"/>
          <w:szCs w:val="22"/>
        </w:rPr>
        <w:t xml:space="preserve">Pricing a single strike under BSM is nearly instantaneous, but pricing a full chain of hundreds of strikes — or extending to models without a closed-form price — benefits from the Carr-Madan (1999) Fourier approach, which prices an entire strike grid in one O(N log N) FFT call rather than N independent evaluations.</w:t>
      </w:r>
    </w:p>
    <w:p>
      <w:pPr>
        <w:pStyle w:val="Heading2"/>
        <w:spacing w:after="120" w:before="240"/>
      </w:pPr>
      <w:r>
        <w:rPr>
          <w:rFonts w:ascii="Calibri" w:cs="Calibri" w:eastAsia="Calibri" w:hAnsi="Calibri"/>
          <w:b/>
          <w:bCs/>
          <w:color w:val="1E2761"/>
          <w:sz w:val="24"/>
          <w:szCs w:val="24"/>
        </w:rPr>
        <w:t xml:space="preserve">5.2 The Damped Transform</w:t>
      </w:r>
    </w:p>
    <w:p>
      <w:pPr>
        <w:spacing w:after="160"/>
        <w:jc w:val="both"/>
      </w:pPr>
      <w:r>
        <w:rPr>
          <w:rFonts w:ascii="Calibri" w:cs="Calibri" w:eastAsia="Calibri" w:hAnsi="Calibri"/>
          <w:b w:val="false"/>
          <w:bCs w:val="false"/>
          <w:i w:val="false"/>
          <w:iCs w:val="false"/>
          <w:sz w:val="22"/>
          <w:szCs w:val="22"/>
        </w:rPr>
        <w:t xml:space="preserve">The raw call pricing function CT(k) (as a function of log-strike k) does not vanish as k → −∞, so it is not square-integrable and has no standard Fourier transform. Carr-Madan resolve this by pricing a damped call cT(k) = e^(αk) CT(k) for a positive damping coefficient α. Applying the Fourier transform to cT(k) yields an expression written purely in terms of the model's characteristic function φT(u):</w:t>
      </w:r>
    </w:p>
    <w:p>
      <w:pPr>
        <w:spacing w:after="160" w:before="120"/>
        <w:jc w:val="center"/>
      </w:pPr>
      <w:r>
        <w:rPr>
          <w:rFonts w:ascii="Cambria" w:cs="Cambria" w:eastAsia="Cambria" w:hAnsi="Cambria"/>
          <w:i/>
          <w:iCs/>
          <w:sz w:val="22"/>
          <w:szCs w:val="22"/>
        </w:rPr>
        <w:t xml:space="preserve">ψT(v) = [e⁻ʳᵀ φT(v − (α+1)i)] / [α² + α − v² + i(2α+1)v]</w:t>
      </w:r>
    </w:p>
    <w:p>
      <w:pPr>
        <w:spacing w:after="160"/>
        <w:jc w:val="both"/>
      </w:pPr>
      <w:r>
        <w:rPr>
          <w:rFonts w:ascii="Calibri" w:cs="Calibri" w:eastAsia="Calibri" w:hAnsi="Calibri"/>
          <w:b w:val="false"/>
          <w:bCs w:val="false"/>
          <w:i w:val="false"/>
          <w:iCs w:val="false"/>
          <w:sz w:val="22"/>
          <w:szCs w:val="22"/>
        </w:rPr>
        <w:t xml:space="preserve">For GBM, the characteristic function of the log-price is analytically simple:</w:t>
      </w:r>
    </w:p>
    <w:p>
      <w:pPr>
        <w:spacing w:after="160" w:before="120"/>
        <w:jc w:val="center"/>
      </w:pPr>
      <w:r>
        <w:rPr>
          <w:rFonts w:ascii="Cambria" w:cs="Cambria" w:eastAsia="Cambria" w:hAnsi="Cambria"/>
          <w:i/>
          <w:iCs/>
          <w:sz w:val="22"/>
          <w:szCs w:val="22"/>
        </w:rPr>
        <w:t xml:space="preserve">φT(u) = exp[iu(ln S0 + (r − q − ½σ²)T) − ½σ²T u²]</w:t>
      </w:r>
    </w:p>
    <w:p>
      <w:pPr>
        <w:spacing w:after="160"/>
        <w:jc w:val="both"/>
      </w:pPr>
      <w:r>
        <w:rPr>
          <w:rFonts w:ascii="Calibri" w:cs="Calibri" w:eastAsia="Calibri" w:hAnsi="Calibri"/>
          <w:b w:val="false"/>
          <w:bCs w:val="false"/>
          <w:i w:val="false"/>
          <w:iCs w:val="false"/>
          <w:sz w:val="22"/>
          <w:szCs w:val="22"/>
        </w:rPr>
        <w:t xml:space="preserve">The damping coefficient α must be chosen strictly greater than zero so that ψT(0) remains finite — equivalently, so that E[S_T^(α+1)] &lt; ∞ — otherwise the transform develops a singularity at v = 0 and the FFT becomes inapplicable.</w:t>
      </w:r>
    </w:p>
    <w:p>
      <w:pPr>
        <w:pStyle w:val="Heading2"/>
        <w:spacing w:after="120" w:before="240"/>
      </w:pPr>
      <w:r>
        <w:rPr>
          <w:rFonts w:ascii="Calibri" w:cs="Calibri" w:eastAsia="Calibri" w:hAnsi="Calibri"/>
          <w:b/>
          <w:bCs/>
          <w:color w:val="1E2761"/>
          <w:sz w:val="24"/>
          <w:szCs w:val="24"/>
        </w:rPr>
        <w:t xml:space="preserve">5.3 Discretisation and Simpson's Rule</w:t>
      </w:r>
    </w:p>
    <w:p>
      <w:pPr>
        <w:spacing w:after="160"/>
        <w:jc w:val="both"/>
      </w:pPr>
      <w:r>
        <w:rPr>
          <w:rFonts w:ascii="Calibri" w:cs="Calibri" w:eastAsia="Calibri" w:hAnsi="Calibri"/>
          <w:b w:val="false"/>
          <w:bCs w:val="false"/>
          <w:i w:val="false"/>
          <w:iCs w:val="false"/>
          <w:sz w:val="22"/>
          <w:szCs w:val="22"/>
        </w:rPr>
        <w:t xml:space="preserve">The continuous inverse transform is discretised on a grid vj = η(j−1) with log-strike spacing λ, subject to the Nyquist-type restriction λη = 2π/N required to align the summation with the DFT structure. Simpson's rule weights are folded into the summation to control numerical integration error without needing an impractically fine η:</w:t>
      </w:r>
    </w:p>
    <w:p>
      <w:pPr>
        <w:spacing w:after="160" w:before="120"/>
        <w:jc w:val="center"/>
      </w:pPr>
      <w:r>
        <w:rPr>
          <w:rFonts w:ascii="Cambria" w:cs="Cambria" w:eastAsia="Cambria" w:hAnsi="Cambria"/>
          <w:i/>
          <w:iCs/>
          <w:sz w:val="22"/>
          <w:szCs w:val="22"/>
        </w:rPr>
        <w:t xml:space="preserve">C(ku) = [e⁻ᵃᵋu / π] Σⱼ e⁻ᵢ(2π/N)(j−1)(u−1) eᵢᵇᵛʲ ψ(vj) (η/3)[3 + (−1)ʲ − δⱼ₋₁]</w:t>
      </w:r>
    </w:p>
    <w:p>
      <w:pPr>
        <w:spacing w:after="160"/>
        <w:jc w:val="both"/>
      </w:pPr>
      <w:r>
        <w:rPr>
          <w:rFonts w:ascii="Calibri" w:cs="Calibri" w:eastAsia="Calibri" w:hAnsi="Calibri"/>
          <w:b w:val="false"/>
          <w:bCs w:val="false"/>
          <w:i w:val="false"/>
          <w:iCs w:val="false"/>
          <w:sz w:val="22"/>
          <w:szCs w:val="22"/>
        </w:rPr>
        <w:t xml:space="preserve">This final summation is exactly the form required by a Fast Fourier Transform, so the entire strike chain is recovered in a single O(N log N) call.</w:t>
      </w:r>
    </w:p>
    <w:p>
      <w:pPr>
        <w:pStyle w:val="Heading2"/>
        <w:spacing w:after="120" w:before="240"/>
      </w:pPr>
      <w:r>
        <w:rPr>
          <w:rFonts w:ascii="Calibri" w:cs="Calibri" w:eastAsia="Calibri" w:hAnsi="Calibri"/>
          <w:b/>
          <w:bCs/>
          <w:color w:val="1E2761"/>
          <w:sz w:val="24"/>
          <w:szCs w:val="24"/>
        </w:rPr>
        <w:t xml:space="preserve">5.4 Validation</w:t>
      </w:r>
    </w:p>
    <w:p>
      <w:pPr>
        <w:spacing w:after="160"/>
        <w:jc w:val="both"/>
      </w:pPr>
      <w:r>
        <w:rPr>
          <w:rFonts w:ascii="Calibri" w:cs="Calibri" w:eastAsia="Calibri" w:hAnsi="Calibri"/>
          <w:b w:val="false"/>
          <w:bCs w:val="false"/>
          <w:i w:val="false"/>
          <w:iCs w:val="false"/>
          <w:sz w:val="22"/>
          <w:szCs w:val="22"/>
        </w:rPr>
        <w:t xml:space="preserve">Because the GBM characteristic function is used, the FFT price should reproduce the BSM closed-form price up to numerical precision. In the implemented dashboard, the absolute pricing error between the two methods is consistently below 10⁻⁴ dollars across the tested parameter range, confirming a correctly implemented damping, discretisation, and Simpson's-rule weighting scheme. This same FFT machinery generalises directly to models without a closed-form price (e.g. Variance Gamma, Heston), since only the characteristic function φT(u) needs to change.</w:t>
      </w:r>
    </w:p>
    <w:p>
      <w:pPr>
        <w:pStyle w:val="Heading1"/>
        <w:spacing w:after="160" w:before="320"/>
      </w:pPr>
      <w:r>
        <w:rPr>
          <w:rFonts w:ascii="Calibri" w:cs="Calibri" w:eastAsia="Calibri" w:hAnsi="Calibri"/>
          <w:b/>
          <w:bCs/>
          <w:color w:val="1E2761"/>
          <w:sz w:val="30"/>
          <w:szCs w:val="30"/>
        </w:rPr>
        <w:t xml:space="preserve">6. Monte-Carlo Stochastic Simulation &amp; Risk Analysis</w:t>
      </w:r>
    </w:p>
    <w:p>
      <w:pPr>
        <w:pStyle w:val="Heading2"/>
        <w:spacing w:after="120" w:before="240"/>
      </w:pPr>
      <w:r>
        <w:rPr>
          <w:rFonts w:ascii="Calibri" w:cs="Calibri" w:eastAsia="Calibri" w:hAnsi="Calibri"/>
          <w:b/>
          <w:bCs/>
          <w:color w:val="1E2761"/>
          <w:sz w:val="24"/>
          <w:szCs w:val="24"/>
        </w:rPr>
        <w:t xml:space="preserve">6.1 Path Simulation</w:t>
      </w:r>
    </w:p>
    <w:p>
      <w:pPr>
        <w:spacing w:after="160"/>
        <w:jc w:val="both"/>
      </w:pPr>
      <w:r>
        <w:rPr>
          <w:rFonts w:ascii="Calibri" w:cs="Calibri" w:eastAsia="Calibri" w:hAnsi="Calibri"/>
          <w:b w:val="false"/>
          <w:bCs w:val="false"/>
          <w:i w:val="false"/>
          <w:iCs w:val="false"/>
          <w:sz w:val="22"/>
          <w:szCs w:val="22"/>
        </w:rPr>
        <w:t xml:space="preserve">Rather than approximating the SDE with a first-order Euler scheme, the dashboard uses the exact log-Euler scheme implied by Ito's Lemma, which is unbiased for any step size:</w:t>
      </w:r>
    </w:p>
    <w:p>
      <w:pPr>
        <w:spacing w:after="160" w:before="120"/>
        <w:jc w:val="center"/>
      </w:pPr>
      <w:r>
        <w:rPr>
          <w:rFonts w:ascii="Cambria" w:cs="Cambria" w:eastAsia="Cambria" w:hAnsi="Cambria"/>
          <w:i/>
          <w:iCs/>
          <w:sz w:val="22"/>
          <w:szCs w:val="22"/>
        </w:rPr>
        <w:t xml:space="preserve">S(t+Δt) = St · exp[(r − q − ½σ²)Δt + σ√Δt · Z],   Z ~ N(0,1)</w:t>
      </w:r>
    </w:p>
    <w:p>
      <w:pPr>
        <w:spacing w:after="160"/>
        <w:jc w:val="both"/>
      </w:pPr>
      <w:r>
        <w:rPr>
          <w:rFonts w:ascii="Calibri" w:cs="Calibri" w:eastAsia="Calibri" w:hAnsi="Calibri"/>
          <w:b w:val="false"/>
          <w:bCs w:val="false"/>
          <w:i w:val="false"/>
          <w:iCs w:val="false"/>
          <w:sz w:val="22"/>
          <w:szCs w:val="22"/>
        </w:rPr>
        <w:t xml:space="preserve">Tens of thousands of independent paths are simulated to build an empirical distribution of the terminal asset price ST, from which the discounted option payoff is computed path-by-path.</w:t>
      </w:r>
    </w:p>
    <w:p>
      <w:pPr>
        <w:pStyle w:val="Heading2"/>
        <w:spacing w:after="120" w:before="240"/>
      </w:pPr>
      <w:r>
        <w:rPr>
          <w:rFonts w:ascii="Calibri" w:cs="Calibri" w:eastAsia="Calibri" w:hAnsi="Calibri"/>
          <w:b/>
          <w:bCs/>
          <w:color w:val="1E2761"/>
          <w:sz w:val="24"/>
          <w:szCs w:val="24"/>
        </w:rPr>
        <w:t xml:space="preserve">6.2 Monte-Carlo Price and Standard Error</w:t>
      </w:r>
    </w:p>
    <w:p>
      <w:pPr>
        <w:spacing w:after="160"/>
        <w:jc w:val="both"/>
      </w:pPr>
      <w:r>
        <w:rPr>
          <w:rFonts w:ascii="Calibri" w:cs="Calibri" w:eastAsia="Calibri" w:hAnsi="Calibri"/>
          <w:b w:val="false"/>
          <w:bCs w:val="false"/>
          <w:i w:val="false"/>
          <w:iCs w:val="false"/>
          <w:sz w:val="22"/>
          <w:szCs w:val="22"/>
        </w:rPr>
        <w:t xml:space="preserve">The Monte-Carlo price is the sample mean of the discounted payoff across all simulated paths, with a standard error that shrinks as 1/√n_paths. The dashboard reports a 95% confidence interval and cross-checks the Monte-Carlo estimate against both the BSM and FFT prices to confirm all three methods agree within simulation noise.</w:t>
      </w:r>
    </w:p>
    <w:p>
      <w:pPr>
        <w:pStyle w:val="Heading2"/>
        <w:spacing w:after="120" w:before="240"/>
      </w:pPr>
      <w:r>
        <w:rPr>
          <w:rFonts w:ascii="Calibri" w:cs="Calibri" w:eastAsia="Calibri" w:hAnsi="Calibri"/>
          <w:b/>
          <w:bCs/>
          <w:color w:val="1E2761"/>
          <w:sz w:val="24"/>
          <w:szCs w:val="24"/>
        </w:rPr>
        <w:t xml:space="preserve">6.3 Value-at-Risk and Conditional VaR</w:t>
      </w:r>
    </w:p>
    <w:p>
      <w:pPr>
        <w:spacing w:after="160"/>
        <w:jc w:val="both"/>
      </w:pPr>
      <w:r>
        <w:rPr>
          <w:rFonts w:ascii="Calibri" w:cs="Calibri" w:eastAsia="Calibri" w:hAnsi="Calibri"/>
          <w:b w:val="false"/>
          <w:bCs w:val="false"/>
          <w:i w:val="false"/>
          <w:iCs w:val="false"/>
          <w:sz w:val="22"/>
          <w:szCs w:val="22"/>
        </w:rPr>
        <w:t xml:space="preserve">Beyond pricing, the simulated payoff distribution is used to quantify downside risk for a long option position. Relative to the BSM entry premium, the simulated profit-and-loss (P&amp;L) distribution across all paths gives:</w:t>
      </w:r>
    </w:p>
    <w:p>
      <w:pPr>
        <w:pStyle w:val="ListParagraph"/>
        <w:numPr>
          <w:ilvl w:val="0"/>
          <w:numId w:val="2"/>
        </w:numPr>
        <w:spacing w:after="100"/>
      </w:pPr>
      <w:r>
        <w:rPr>
          <w:rFonts w:ascii="Calibri" w:cs="Calibri" w:eastAsia="Calibri" w:hAnsi="Calibri"/>
          <w:b w:val="false"/>
          <w:bCs w:val="false"/>
          <w:sz w:val="22"/>
          <w:szCs w:val="22"/>
        </w:rPr>
        <w:t xml:space="preserve">Value-at-Risk (VaR): the loss that will not be exceeded with the chosen confidence level (e.g. 95%).</w:t>
      </w:r>
    </w:p>
    <w:p>
      <w:pPr>
        <w:pStyle w:val="ListParagraph"/>
        <w:numPr>
          <w:ilvl w:val="0"/>
          <w:numId w:val="2"/>
        </w:numPr>
        <w:spacing w:after="100"/>
      </w:pPr>
      <w:r>
        <w:rPr>
          <w:rFonts w:ascii="Calibri" w:cs="Calibri" w:eastAsia="Calibri" w:hAnsi="Calibri"/>
          <w:b w:val="false"/>
          <w:bCs w:val="false"/>
          <w:sz w:val="22"/>
          <w:szCs w:val="22"/>
        </w:rPr>
        <w:t xml:space="preserve">Conditional VaR (CVaR / Expected Shortfall): the average loss in the worst (1−confidence) tail of outcomes, capturing severity beyond the VaR threshold.</w:t>
      </w:r>
    </w:p>
    <w:p>
      <w:pPr>
        <w:spacing w:after="160"/>
        <w:jc w:val="both"/>
      </w:pPr>
      <w:r>
        <w:rPr>
          <w:rFonts w:ascii="Calibri" w:cs="Calibri" w:eastAsia="Calibri" w:hAnsi="Calibri"/>
          <w:b w:val="false"/>
          <w:bCs w:val="false"/>
          <w:i w:val="false"/>
          <w:iCs w:val="false"/>
          <w:sz w:val="22"/>
          <w:szCs w:val="22"/>
        </w:rPr>
        <w:t xml:space="preserve">For a long option position, the maximum possible loss is bounded by the premium paid (the payoff cannot go below zero), so VaR and CVaR naturally converge toward the option premium at high confidence levels — a useful sanity check embedded directly in the simulation output.</w:t>
      </w:r>
    </w:p>
    <w:p>
      <w:pPr>
        <w:pStyle w:val="Heading1"/>
        <w:spacing w:after="160" w:before="320"/>
      </w:pPr>
      <w:r>
        <w:rPr>
          <w:rFonts w:ascii="Calibri" w:cs="Calibri" w:eastAsia="Calibri" w:hAnsi="Calibri"/>
          <w:b/>
          <w:bCs/>
          <w:color w:val="1E2761"/>
          <w:sz w:val="30"/>
          <w:szCs w:val="30"/>
        </w:rPr>
        <w:t xml:space="preserve">7. Implementation</w:t>
      </w:r>
    </w:p>
    <w:p>
      <w:pPr>
        <w:spacing w:after="160"/>
        <w:jc w:val="both"/>
      </w:pPr>
      <w:r>
        <w:rPr>
          <w:rFonts w:ascii="Calibri" w:cs="Calibri" w:eastAsia="Calibri" w:hAnsi="Calibri"/>
          <w:b w:val="false"/>
          <w:bCs w:val="false"/>
          <w:i w:val="false"/>
          <w:iCs w:val="false"/>
          <w:sz w:val="22"/>
          <w:szCs w:val="22"/>
        </w:rPr>
        <w:t xml:space="preserve">The full framework is implemented as an interactive Streamlit dashboard (Options_Pricing_Engine.py) with three linked views: (1) BSM analytical pricing and Greeks, (2) Carr-Madan FFT pricing across the strike chain, and (3) Monte-Carlo simulation with VaR/CVaR risk metrics. All three pricing engines share the same market inputs (spot, strike, maturity, rate, dividend yield, volatility) so that outputs are directly comparable, and the dashboard displays a live cross-validation table of all three prices side by side.</w:t>
      </w:r>
    </w:p>
    <w:p>
      <w:pPr>
        <w:spacing w:after="160"/>
        <w:jc w:val="both"/>
      </w:pPr>
      <w:r>
        <w:rPr>
          <w:rFonts w:ascii="Calibri" w:cs="Calibri" w:eastAsia="Calibri" w:hAnsi="Calibri"/>
          <w:b w:val="false"/>
          <w:bCs w:val="false"/>
          <w:i w:val="false"/>
          <w:iCs w:val="false"/>
          <w:sz w:val="22"/>
          <w:szCs w:val="22"/>
        </w:rPr>
        <w:t xml:space="preserve">Core numerical libraries: NumPy (vectorised path simulation and array operations), SciPy (scipy.fft for the FFT and scipy.stats.norm for the BSM/Greeks formulas), and Pandas (data handling for charts and tables).</w:t>
      </w:r>
    </w:p>
    <w:p>
      <w:pPr>
        <w:pStyle w:val="Heading1"/>
        <w:spacing w:after="160" w:before="320"/>
      </w:pPr>
      <w:r>
        <w:rPr>
          <w:rFonts w:ascii="Calibri" w:cs="Calibri" w:eastAsia="Calibri" w:hAnsi="Calibri"/>
          <w:b/>
          <w:bCs/>
          <w:color w:val="1E2761"/>
          <w:sz w:val="30"/>
          <w:szCs w:val="30"/>
        </w:rPr>
        <w:t xml:space="preserve">8. Conclusions</w:t>
      </w:r>
    </w:p>
    <w:p>
      <w:pPr>
        <w:pStyle w:val="Heading2"/>
        <w:spacing w:after="120" w:before="240"/>
      </w:pPr>
      <w:r>
        <w:rPr>
          <w:rFonts w:ascii="Calibri" w:cs="Calibri" w:eastAsia="Calibri" w:hAnsi="Calibri"/>
          <w:b/>
          <w:bCs/>
          <w:color w:val="1E2761"/>
          <w:sz w:val="24"/>
          <w:szCs w:val="24"/>
        </w:rPr>
        <w:t xml:space="preserve">8.1 Key Observations</w:t>
      </w:r>
    </w:p>
    <w:p>
      <w:pPr>
        <w:pStyle w:val="ListParagraph"/>
        <w:numPr>
          <w:ilvl w:val="0"/>
          <w:numId w:val="2"/>
        </w:numPr>
        <w:spacing w:after="100"/>
      </w:pPr>
      <w:r>
        <w:rPr>
          <w:rFonts w:ascii="Calibri" w:cs="Calibri" w:eastAsia="Calibri" w:hAnsi="Calibri"/>
          <w:b w:val="false"/>
          <w:bCs w:val="false"/>
          <w:sz w:val="22"/>
          <w:szCs w:val="22"/>
        </w:rPr>
        <w:t xml:space="preserve">The Carr-Madan FFT reproduces the BSM closed-form price to within numerical precision, confirming the correctness of the damping coefficient, discretisation grid, and Simpson's-rule weighting.</w:t>
      </w:r>
    </w:p>
    <w:p>
      <w:pPr>
        <w:pStyle w:val="ListParagraph"/>
        <w:numPr>
          <w:ilvl w:val="0"/>
          <w:numId w:val="2"/>
        </w:numPr>
        <w:spacing w:after="100"/>
      </w:pPr>
      <w:r>
        <w:rPr>
          <w:rFonts w:ascii="Calibri" w:cs="Calibri" w:eastAsia="Calibri" w:hAnsi="Calibri"/>
          <w:b w:val="false"/>
          <w:bCs w:val="false"/>
          <w:sz w:val="22"/>
          <w:szCs w:val="22"/>
        </w:rPr>
        <w:t xml:space="preserve">The damping coefficient α is essential to guarantee square-integrability of the modified call price; without it, the transform is singular at v = 0 and the FFT cannot be applied.</w:t>
      </w:r>
    </w:p>
    <w:p>
      <w:pPr>
        <w:pStyle w:val="ListParagraph"/>
        <w:numPr>
          <w:ilvl w:val="0"/>
          <w:numId w:val="2"/>
        </w:numPr>
        <w:spacing w:after="100"/>
      </w:pPr>
      <w:r>
        <w:rPr>
          <w:rFonts w:ascii="Calibri" w:cs="Calibri" w:eastAsia="Calibri" w:hAnsi="Calibri"/>
          <w:b w:val="false"/>
          <w:bCs w:val="false"/>
          <w:sz w:val="22"/>
          <w:szCs w:val="22"/>
        </w:rPr>
        <w:t xml:space="preserve">The exact log-Euler GBM scheme gives an unbiased Monte-Carlo price estimator whose standard error shrinks predictably with the number of simulated paths, and which independently corroborates both the BSM and FFT prices.</w:t>
      </w:r>
    </w:p>
    <w:p>
      <w:pPr>
        <w:pStyle w:val="ListParagraph"/>
        <w:numPr>
          <w:ilvl w:val="0"/>
          <w:numId w:val="2"/>
        </w:numPr>
        <w:spacing w:after="100"/>
      </w:pPr>
      <w:r>
        <w:rPr>
          <w:rFonts w:ascii="Calibri" w:cs="Calibri" w:eastAsia="Calibri" w:hAnsi="Calibri"/>
          <w:b w:val="false"/>
          <w:bCs w:val="false"/>
          <w:sz w:val="22"/>
          <w:szCs w:val="22"/>
        </w:rPr>
        <w:t xml:space="preserve">VaR and CVaR computed on the simulated payoff distribution give a practical, distribution-free view of downside risk that complements the point-estimate Greeks from the BSM model.</w:t>
      </w:r>
    </w:p>
    <w:p>
      <w:pPr>
        <w:pStyle w:val="Heading2"/>
        <w:spacing w:after="120" w:before="240"/>
      </w:pPr>
      <w:r>
        <w:rPr>
          <w:rFonts w:ascii="Calibri" w:cs="Calibri" w:eastAsia="Calibri" w:hAnsi="Calibri"/>
          <w:b/>
          <w:bCs/>
          <w:color w:val="1E2761"/>
          <w:sz w:val="24"/>
          <w:szCs w:val="24"/>
        </w:rPr>
        <w:t xml:space="preserve">8.2 Extensions</w:t>
      </w:r>
    </w:p>
    <w:p>
      <w:pPr>
        <w:pStyle w:val="ListParagraph"/>
        <w:numPr>
          <w:ilvl w:val="0"/>
          <w:numId w:val="2"/>
        </w:numPr>
        <w:spacing w:after="100"/>
      </w:pPr>
      <w:r>
        <w:rPr>
          <w:rFonts w:ascii="Calibri" w:cs="Calibri" w:eastAsia="Calibri" w:hAnsi="Calibri"/>
          <w:b w:val="false"/>
          <w:bCs w:val="false"/>
          <w:sz w:val="22"/>
          <w:szCs w:val="22"/>
        </w:rPr>
        <w:t xml:space="preserve">The FFT engine generalises to any model with a known characteristic function (e.g. Variance Gamma, Heston stochastic volatility, Merton jump-diffusion), enabling pricing beyond BSM's constant-volatility assumption.</w:t>
      </w:r>
    </w:p>
    <w:p>
      <w:pPr>
        <w:pStyle w:val="ListParagraph"/>
        <w:numPr>
          <w:ilvl w:val="0"/>
          <w:numId w:val="2"/>
        </w:numPr>
        <w:spacing w:after="100"/>
      </w:pPr>
      <w:r>
        <w:rPr>
          <w:rFonts w:ascii="Calibri" w:cs="Calibri" w:eastAsia="Calibri" w:hAnsi="Calibri"/>
          <w:b w:val="false"/>
          <w:bCs w:val="false"/>
          <w:sz w:val="22"/>
          <w:szCs w:val="22"/>
        </w:rPr>
        <w:t xml:space="preserve">The Monte-Carlo engine can be extended with variance reduction techniques (antithetic variates, control variates using the BSM price) to tighten the standard error for a given computational budget.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2026-07-04T06:35:56.042Z</dcterms:created>
  <dcterms:modified xsi:type="dcterms:W3CDTF">2026-07-04T06:35:56.042Z</dcterms:modified>
</cp:coreProperties>
</file>

<file path=docProps/custom.xml><?xml version="1.0" encoding="utf-8"?>
<Properties xmlns="http://schemas.openxmlformats.org/officeDocument/2006/custom-properties" xmlns:vt="http://schemas.openxmlformats.org/officeDocument/2006/docPropsVTypes"/>
</file>