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nil"/>
        </w:pBdr>
      </w:pPr>
      <w:r>
        <w:t>Отчёт о результатах исследования композиционного обобщения программ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2"/>
        </w:rPr>
        <w:t>С 22 по 24 сентября 2026 года</w:t>
      </w:r>
    </w:p>
    <w:p>
      <w:pPr>
        <w:widowControl/>
        <w:jc w:val="both"/>
      </w:pPr>
      <w:r>
        <w:t>Новая экспериментальная серия началась 22 сентября в 20:06 МСК. За отчётный период завершены парное сравнение способов отбора обучающих траекторий, 13 наборов эксперимента с исключёнными парами операций и парное сравнение обучения с бонусом энтропии. Эти три опыта дали 96 принятых обучений и 96 полных оценок. Ранее сохранённые ранжирования программ и журналы GRPO анализировались отдельно и не включены в число новых обучений.</w:t>
      </w:r>
    </w:p>
    <w:p>
      <w:pPr>
        <w:pStyle w:val="Heading1"/>
        <w:keepNext/>
      </w:pPr>
      <w:r>
        <w:t>Анализ сохранённых ранжирований и журналов GRPO</w:t>
      </w:r>
    </w:p>
    <w:p>
      <w:pPr>
        <w:widowControl/>
        <w:jc w:val="both"/>
      </w:pPr>
      <w:r>
        <w:t>В шести ранее проведённых повторах проверены оценки всех 125 допустимых программ для каждой из 1000 задач глубины 3. Средний Hit@32 составил 0,4532 для атомарного контроля и 0,7272 после композиционного обучения. Условная энтропия распределения по 125 программам равна 0,765 и 3,892 нат соответственно. Эти значения описывают конечные модели. Они не измеряют энтропию полного словаря модели и не показывают её изменение во время обучения.</w:t>
      </w:r>
    </w:p>
    <w:p>
      <w:pPr>
        <w:widowControl/>
        <w:jc w:val="both"/>
      </w:pPr>
      <w:r>
        <w:t>Отдельно пересчитаны шесть ранее сохранённых журналов GRPO по 400 шагов. В 2400 группах получено 19 200 ответов. При выборке IID 1121 групп содержали только неверные ответы, 38 были смешанными и 41 содержала только верные ответы. При выборке prefix-balanced соответствующие числа равны 896, 304 и 0. Средняя выборочная энтропия восьми ответов равна 0,298 и 1,493 нат. По блокам из 25 шагов устойчивого монотонного снижения разнообразия не обнаружено. Выборочную энтропию ответов нельзя приравнивать к энтропии политики.</w:t>
      </w:r>
    </w:p>
    <w:p>
      <w:pPr>
        <w:pStyle w:val="Heading1"/>
        <w:keepNext/>
      </w:pPr>
      <w:r>
        <w:t>Отбор обучающих траекторий</w:t>
      </w:r>
    </w:p>
    <w:p>
      <w:pPr>
        <w:widowControl/>
        <w:jc w:val="both"/>
      </w:pPr>
      <w:r>
        <w:t>В новом парном опыте шесть пар моделей обучались на одном исходном атомарном checkpoint. Каждая ветвь получала 750 композиционных траекторий. Случайный и структурированный наборы были выровнены по глубине задачи, параметру p и числу обучающих токенов. Структурированный отбор повысил заранее заданный показатель разнообразия обучающего набора во всех шести парах. После обучения обе ветви оценены на одних и тех же 1000 новых задачах с точным ранжированием 125 программ.</w:t>
      </w:r>
    </w:p>
    <w:p>
      <w:pPr>
        <w:widowControl/>
        <w:jc w:val="both"/>
      </w:pPr>
      <w:r>
        <w:t>Средний Hit@32 равен 0,6155 при случайном отборе и 0,6130 при структурированном. Средняя парная разность составляет -0,0025. Её 95-процентный t-интервал лежит от -0,0227 до 0,0177, точное двустороннее значение p равно 0,8125. При данном бюджете структурированный отбор не показал преимущества по основному показателю. Отсутствие подтверждённого преимущества не означает равенства двух способов отбора.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85333"/>
            <wp:docPr id="1" name="Picture 1" descr="Две кривые Hit@K для случайного и структурированного отбора по шести обучениям, K от 1 до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ion_hitk_1_1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8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left"/>
      </w:pPr>
      <w:r>
        <w:t>Рисунок 1. Доля решённых задач среди первых K программ, среднее по шести обучениям</w:t>
      </w:r>
    </w:p>
    <w:p>
      <w:pPr>
        <w:pStyle w:val="Heading1"/>
        <w:keepNext/>
      </w:pPr>
      <w:r>
        <w:t>Исключение пар операций</w:t>
      </w:r>
    </w:p>
    <w:p>
      <w:pPr>
        <w:widowControl/>
        <w:jc w:val="both"/>
      </w:pPr>
      <w:r>
        <w:t>Сравниваются обучение без заданных соседних пар операций и контроль, из которого удалено столько же случайных траекторий. Объём выборки и распределения по глубине и параметру p выровнены. Каждый набор включает три парных обучающих seed, то есть шесть обучений и шесть полных оценок. Основной показатель есть разность Hit@32 на задачах с исключёнными парами.</w:t>
      </w:r>
    </w:p>
    <w:p>
      <w:pPr>
        <w:pStyle w:val="Caption"/>
        <w:keepNext/>
        <w:jc w:val="left"/>
      </w:pPr>
      <w:r>
        <w:t>Таблица 1. Выполнение эксперимента с исключёнными парами операций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268"/>
        <w:gridCol w:w="2324"/>
        <w:gridCol w:w="2438"/>
      </w:tblGrid>
      <w:tr>
        <w:trPr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DF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Число исключённых пар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DF2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Допустимых наборов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DF2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Завершённых наборов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DF2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Принятых обучений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18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Всего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78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t>Из 20 заранее намеченных наборов допустимы 19. Набор с пятью исключёнными парами под номером 5 не удовлетворяет правилу выравнивания и не заменялся. Завершены 13 допустимых наборов с 78 обучениями и 78 оценками. Во всех 39 наблюдаемых парных сравнениях Hit@32 ниже, чем у случайного контроля. Средние разности отдельных наборов находятся между -0,4343 и -0,0537. Это наблюдение относится только к завершённым наборам. При трёх парах минимальное двустороннее значение точного теста равно 0,25. Результаты разных типов GPU не объединялись в общий эффект.</w:t>
      </w:r>
    </w:p>
    <w:p>
      <w:pPr>
        <w:pStyle w:val="Heading1"/>
        <w:keepNext/>
      </w:pPr>
      <w:r>
        <w:t>Обучение с бонусом энтропии</w:t>
      </w:r>
    </w:p>
    <w:p>
      <w:pPr>
        <w:keepLines/>
        <w:widowControl/>
        <w:jc w:val="both"/>
      </w:pPr>
      <w:r>
        <w:t>В отдельном опыте три парных seed обучались по 150 шагов с восемью ответами в группе. Опытная ветвь получала бонус 0,01 × H/ln(5) к энтропии выбора операции, контроль обучался тем же кодом без бонуса. Использован групповой нормированный градиент политики без clipping. Его результат нельзя без оговорки переносить на реализации GRPO с clipping.</w:t>
      </w:r>
    </w:p>
    <w:p>
      <w:pPr>
        <w:widowControl/>
        <w:jc w:val="both"/>
      </w:pPr>
      <w:r>
        <w:t>Средняя выборочная энтропия группы выросла с 0,7857 до 0,8572 нат. Условная энтропия распределения по 125 программам выросла с 1,4353 до 1,5999 нат. Средний Hit@32 составил 0,4943 в контроле и 0,4887 с бонусом. Средняя парная разность равна -0,0057, 95-процентный t-интервал лежит от -0,0406 до 0,0292, точное двустороннее p равно 0,75. Рост измеренного разнообразия не сопровождался подтверждённым улучшением Hit@32 при данном коэффициенте и бюджете.</w:t>
      </w:r>
    </w:p>
    <w:p>
      <w:pPr>
        <w:pStyle w:val="Heading1"/>
        <w:keepNext/>
      </w:pPr>
      <w:r>
        <w:t>Текущий вывод</w:t>
      </w:r>
    </w:p>
    <w:p>
      <w:pPr>
        <w:widowControl/>
        <w:jc w:val="both"/>
      </w:pPr>
      <w:r>
        <w:t>Структурированный отбор траекторий и проверенный бонус энтропии не улучшили заранее заданный Hit@32. Первые 13 наборов с исключением пар дали отрицательные разности относительно контроля, но эксперимент ещё не завершён. Не начаты 36 обучений в шести допустимых наборах. Вывод о зависимости переноса от числа исключённых пар следует делать после их завершения и отдельного анализа различий между GPU. Латентные представления модели в этих опытах не изучались.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60" w:lineRule="auto"/>
      <w:ind w:firstLine="709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ind w:firstLine="0"/>
    </w:pPr>
    <w:rPr>
      <w:rFonts w:ascii="Times New Roman" w:hAnsi="Times New Roman" w:eastAsia="Times New Roman" w:cs="Times New Roman"/>
      <w:b w:val="0"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результатах исследования композиционного обобщения программ</dc:title>
  <dc:subject>Результаты с 22 по 24 сентября 2026 года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