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9AAA8" w14:textId="77777777" w:rsidR="008B6A71" w:rsidRPr="008B6A71" w:rsidRDefault="008B6A71" w:rsidP="008B6A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6A71">
        <w:rPr>
          <w:rFonts w:ascii="Times New Roman" w:hAnsi="Times New Roman" w:cs="Times New Roman"/>
          <w:b/>
          <w:bCs/>
          <w:sz w:val="24"/>
          <w:szCs w:val="24"/>
        </w:rPr>
        <w:t>Ringkasan Rekomendasi</w:t>
      </w:r>
    </w:p>
    <w:p w14:paraId="3724D11D" w14:textId="1A9C4AFA" w:rsidR="008B6A71" w:rsidRDefault="008B6A71" w:rsidP="008B6A71">
      <w:pPr>
        <w:pStyle w:val="NormalWeb"/>
      </w:pPr>
      <w:r>
        <w:rPr>
          <w:rStyle w:val="Strong"/>
        </w:rPr>
        <w:t>Gunakan 8 variabel harian</w:t>
      </w:r>
      <w:r>
        <w:t>. Ini adalah sweet spot untuk TFT:</w:t>
      </w:r>
    </w:p>
    <w:p w14:paraId="1A771676" w14:textId="77777777" w:rsidR="008B6A71" w:rsidRDefault="008B6A71" w:rsidP="008B6A7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Variable Selection Network (VSN) di TFT akan otomatis memilih variabel paling relevan.</w:t>
      </w:r>
    </w:p>
    <w:p w14:paraId="65A566EF" w14:textId="77777777" w:rsidR="008B6A71" w:rsidRDefault="008B6A71" w:rsidP="008B6A7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Hindari overfitting (terlalu banyak variabel) sekaligus cukup kaya untuk menangkap dinamika kekeringan pertanian di Jawa Timur (tropical monsoon, heterogenitas spasial tinggi).</w:t>
      </w:r>
    </w:p>
    <w:p w14:paraId="156AD643" w14:textId="3EEAF38F" w:rsidR="008B6A71" w:rsidRDefault="008B6A71" w:rsidP="008B6A71">
      <w:pPr>
        <w:pStyle w:val="Heading4"/>
        <w:numPr>
          <w:ilvl w:val="0"/>
          <w:numId w:val="0"/>
        </w:numPr>
      </w:pPr>
      <w:r>
        <w:t>Parameter yang Direkomendasikan (Semua dari &amp;daily=)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457"/>
        <w:gridCol w:w="1829"/>
        <w:gridCol w:w="2363"/>
        <w:gridCol w:w="857"/>
      </w:tblGrid>
      <w:tr w:rsidR="008B6A71" w:rsidRPr="008B6A71" w14:paraId="1EFCA027" w14:textId="77777777" w:rsidTr="008B6A71">
        <w:tc>
          <w:tcPr>
            <w:tcW w:w="0" w:type="auto"/>
            <w:hideMark/>
          </w:tcPr>
          <w:p w14:paraId="0A0378EE" w14:textId="77777777" w:rsidR="008B6A71" w:rsidRPr="008B6A71" w:rsidRDefault="008B6A71" w:rsidP="008B6A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3457" w:type="dxa"/>
            <w:hideMark/>
          </w:tcPr>
          <w:p w14:paraId="4243023A" w14:textId="77777777" w:rsidR="008B6A71" w:rsidRPr="008B6A71" w:rsidRDefault="008B6A71" w:rsidP="008B6A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Parameter Open-Meteo</w:t>
            </w:r>
          </w:p>
        </w:tc>
        <w:tc>
          <w:tcPr>
            <w:tcW w:w="848" w:type="dxa"/>
            <w:hideMark/>
          </w:tcPr>
          <w:p w14:paraId="1FB934A7" w14:textId="77777777" w:rsidR="008B6A71" w:rsidRPr="008B6A71" w:rsidRDefault="008B6A71" w:rsidP="008B6A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Kategori</w:t>
            </w:r>
          </w:p>
        </w:tc>
        <w:tc>
          <w:tcPr>
            <w:tcW w:w="3344" w:type="dxa"/>
            <w:hideMark/>
          </w:tcPr>
          <w:p w14:paraId="1F25AC62" w14:textId="77777777" w:rsidR="008B6A71" w:rsidRPr="008B6A71" w:rsidRDefault="008B6A71" w:rsidP="008B6A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Alasan Utama (dengan landasan jurnal SCOPUS)</w:t>
            </w:r>
          </w:p>
        </w:tc>
        <w:tc>
          <w:tcPr>
            <w:tcW w:w="0" w:type="auto"/>
            <w:hideMark/>
          </w:tcPr>
          <w:p w14:paraId="0352EA8C" w14:textId="77777777" w:rsidR="008B6A71" w:rsidRPr="008B6A71" w:rsidRDefault="008B6A71" w:rsidP="008B6A7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Status Saat Ini</w:t>
            </w:r>
          </w:p>
        </w:tc>
      </w:tr>
      <w:tr w:rsidR="008B6A71" w:rsidRPr="008B6A71" w14:paraId="2E1D8F53" w14:textId="77777777" w:rsidTr="008B6A71">
        <w:tc>
          <w:tcPr>
            <w:tcW w:w="0" w:type="auto"/>
            <w:hideMark/>
          </w:tcPr>
          <w:p w14:paraId="5C98C0D9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3457" w:type="dxa"/>
            <w:hideMark/>
          </w:tcPr>
          <w:p w14:paraId="6B2B3D04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precipitation_sum</w:t>
            </w:r>
          </w:p>
        </w:tc>
        <w:tc>
          <w:tcPr>
            <w:tcW w:w="848" w:type="dxa"/>
            <w:hideMark/>
          </w:tcPr>
          <w:p w14:paraId="74D0A9C7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Presipitasi</w:t>
            </w:r>
          </w:p>
        </w:tc>
        <w:tc>
          <w:tcPr>
            <w:tcW w:w="3344" w:type="dxa"/>
            <w:hideMark/>
          </w:tcPr>
          <w:p w14:paraId="040E23B8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Core SPEI</w:t>
            </w: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(input utama neraca air)</w:t>
            </w:r>
          </w:p>
        </w:tc>
        <w:tc>
          <w:tcPr>
            <w:tcW w:w="0" w:type="auto"/>
            <w:hideMark/>
          </w:tcPr>
          <w:p w14:paraId="2D7CF707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Sudah pakai</w:t>
            </w:r>
          </w:p>
        </w:tc>
      </w:tr>
      <w:tr w:rsidR="008B6A71" w:rsidRPr="008B6A71" w14:paraId="3F7EEF7C" w14:textId="77777777" w:rsidTr="008B6A71">
        <w:tc>
          <w:tcPr>
            <w:tcW w:w="0" w:type="auto"/>
            <w:hideMark/>
          </w:tcPr>
          <w:p w14:paraId="3F103D71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3457" w:type="dxa"/>
            <w:hideMark/>
          </w:tcPr>
          <w:p w14:paraId="6D11ED2B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et0_fao_evapotranspiration</w:t>
            </w:r>
          </w:p>
        </w:tc>
        <w:tc>
          <w:tcPr>
            <w:tcW w:w="848" w:type="dxa"/>
            <w:hideMark/>
          </w:tcPr>
          <w:p w14:paraId="63C471A5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Evapotranspirasi</w:t>
            </w:r>
          </w:p>
        </w:tc>
        <w:tc>
          <w:tcPr>
            <w:tcW w:w="3344" w:type="dxa"/>
            <w:hideMark/>
          </w:tcPr>
          <w:p w14:paraId="0248BDDB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Core SPEI</w:t>
            </w: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(FAO-Penman-Monteith, standar global)</w:t>
            </w:r>
          </w:p>
        </w:tc>
        <w:tc>
          <w:tcPr>
            <w:tcW w:w="0" w:type="auto"/>
            <w:hideMark/>
          </w:tcPr>
          <w:p w14:paraId="3BA83826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Sudah pakai</w:t>
            </w:r>
          </w:p>
        </w:tc>
      </w:tr>
      <w:tr w:rsidR="008B6A71" w:rsidRPr="008B6A71" w14:paraId="05C9A057" w14:textId="77777777" w:rsidTr="008B6A71">
        <w:tc>
          <w:tcPr>
            <w:tcW w:w="0" w:type="auto"/>
            <w:hideMark/>
          </w:tcPr>
          <w:p w14:paraId="03B64530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3457" w:type="dxa"/>
            <w:hideMark/>
          </w:tcPr>
          <w:p w14:paraId="0288ED73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temperature_2m_max</w:t>
            </w:r>
          </w:p>
        </w:tc>
        <w:tc>
          <w:tcPr>
            <w:tcW w:w="848" w:type="dxa"/>
            <w:hideMark/>
          </w:tcPr>
          <w:p w14:paraId="5A0A124B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Temperatur</w:t>
            </w:r>
          </w:p>
        </w:tc>
        <w:tc>
          <w:tcPr>
            <w:tcW w:w="3344" w:type="dxa"/>
            <w:hideMark/>
          </w:tcPr>
          <w:p w14:paraId="4F6CA5F5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Penggerak utama ET₀ &amp; stres tanaman</w:t>
            </w:r>
          </w:p>
        </w:tc>
        <w:tc>
          <w:tcPr>
            <w:tcW w:w="0" w:type="auto"/>
            <w:hideMark/>
          </w:tcPr>
          <w:p w14:paraId="16278944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Sudah pakai</w:t>
            </w:r>
          </w:p>
        </w:tc>
      </w:tr>
      <w:tr w:rsidR="008B6A71" w:rsidRPr="008B6A71" w14:paraId="674F5B82" w14:textId="77777777" w:rsidTr="008B6A71">
        <w:tc>
          <w:tcPr>
            <w:tcW w:w="0" w:type="auto"/>
            <w:hideMark/>
          </w:tcPr>
          <w:p w14:paraId="2318EAA5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3457" w:type="dxa"/>
            <w:hideMark/>
          </w:tcPr>
          <w:p w14:paraId="0DEE88E5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temperature_2m_min</w:t>
            </w:r>
          </w:p>
        </w:tc>
        <w:tc>
          <w:tcPr>
            <w:tcW w:w="848" w:type="dxa"/>
            <w:hideMark/>
          </w:tcPr>
          <w:p w14:paraId="13068193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Temperatur</w:t>
            </w:r>
          </w:p>
        </w:tc>
        <w:tc>
          <w:tcPr>
            <w:tcW w:w="3344" w:type="dxa"/>
            <w:hideMark/>
          </w:tcPr>
          <w:p w14:paraId="7BA5A9B5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Melengkapi variabilitas harian &amp; malam</w:t>
            </w:r>
          </w:p>
        </w:tc>
        <w:tc>
          <w:tcPr>
            <w:tcW w:w="0" w:type="auto"/>
            <w:hideMark/>
          </w:tcPr>
          <w:p w14:paraId="1D6C85A2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Sudah pakai</w:t>
            </w:r>
          </w:p>
        </w:tc>
      </w:tr>
      <w:tr w:rsidR="008B6A71" w:rsidRPr="008B6A71" w14:paraId="1BEBC4F7" w14:textId="77777777" w:rsidTr="008B6A71">
        <w:tc>
          <w:tcPr>
            <w:tcW w:w="0" w:type="auto"/>
            <w:hideMark/>
          </w:tcPr>
          <w:p w14:paraId="6A768B40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3457" w:type="dxa"/>
            <w:hideMark/>
          </w:tcPr>
          <w:p w14:paraId="60C90E35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soil_moisture_0_to_7cm_mean</w:t>
            </w:r>
          </w:p>
        </w:tc>
        <w:tc>
          <w:tcPr>
            <w:tcW w:w="848" w:type="dxa"/>
            <w:hideMark/>
          </w:tcPr>
          <w:p w14:paraId="1C33000A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Kelembaban tanah</w:t>
            </w:r>
          </w:p>
        </w:tc>
        <w:tc>
          <w:tcPr>
            <w:tcW w:w="3344" w:type="dxa"/>
            <w:hideMark/>
          </w:tcPr>
          <w:p w14:paraId="6B9551FA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Indikator langsung kekeringan pertanian</w:t>
            </w: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(agricultural drought)</w:t>
            </w:r>
          </w:p>
        </w:tc>
        <w:tc>
          <w:tcPr>
            <w:tcW w:w="0" w:type="auto"/>
            <w:hideMark/>
          </w:tcPr>
          <w:p w14:paraId="5A76D58F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Sudah pakai</w:t>
            </w:r>
          </w:p>
        </w:tc>
      </w:tr>
      <w:tr w:rsidR="008B6A71" w:rsidRPr="008B6A71" w14:paraId="4E69BDEB" w14:textId="77777777" w:rsidTr="008B6A71">
        <w:tc>
          <w:tcPr>
            <w:tcW w:w="0" w:type="auto"/>
            <w:hideMark/>
          </w:tcPr>
          <w:p w14:paraId="3EEFEE6E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3457" w:type="dxa"/>
            <w:hideMark/>
          </w:tcPr>
          <w:p w14:paraId="159ABC5E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relative_humidity_2m_mean</w:t>
            </w:r>
          </w:p>
        </w:tc>
        <w:tc>
          <w:tcPr>
            <w:tcW w:w="848" w:type="dxa"/>
            <w:hideMark/>
          </w:tcPr>
          <w:p w14:paraId="6C3923C9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Kelembaban</w:t>
            </w:r>
          </w:p>
        </w:tc>
        <w:tc>
          <w:tcPr>
            <w:tcW w:w="3344" w:type="dxa"/>
            <w:hideMark/>
          </w:tcPr>
          <w:p w14:paraId="671EB45A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Mempengaruhi VPD &amp; laju evaporasi</w:t>
            </w:r>
          </w:p>
        </w:tc>
        <w:tc>
          <w:tcPr>
            <w:tcW w:w="0" w:type="auto"/>
            <w:hideMark/>
          </w:tcPr>
          <w:p w14:paraId="1FF9D4E9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Baru</w:t>
            </w:r>
          </w:p>
        </w:tc>
      </w:tr>
      <w:tr w:rsidR="008B6A71" w:rsidRPr="008B6A71" w14:paraId="750A86A6" w14:textId="77777777" w:rsidTr="008B6A71">
        <w:tc>
          <w:tcPr>
            <w:tcW w:w="0" w:type="auto"/>
            <w:hideMark/>
          </w:tcPr>
          <w:p w14:paraId="49A7C0F4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3457" w:type="dxa"/>
            <w:hideMark/>
          </w:tcPr>
          <w:p w14:paraId="43A22FA6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shortwave_radiation_sum</w:t>
            </w:r>
          </w:p>
        </w:tc>
        <w:tc>
          <w:tcPr>
            <w:tcW w:w="848" w:type="dxa"/>
            <w:hideMark/>
          </w:tcPr>
          <w:p w14:paraId="400AD96F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Radiasi</w:t>
            </w:r>
          </w:p>
        </w:tc>
        <w:tc>
          <w:tcPr>
            <w:tcW w:w="3344" w:type="dxa"/>
            <w:hideMark/>
          </w:tcPr>
          <w:p w14:paraId="7B4440E7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Penggerak kuat ET₀ di iklim tropis</w:t>
            </w:r>
          </w:p>
        </w:tc>
        <w:tc>
          <w:tcPr>
            <w:tcW w:w="0" w:type="auto"/>
            <w:hideMark/>
          </w:tcPr>
          <w:p w14:paraId="047AC5FF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Baru</w:t>
            </w:r>
          </w:p>
        </w:tc>
      </w:tr>
      <w:tr w:rsidR="008B6A71" w:rsidRPr="008B6A71" w14:paraId="3A6D35DD" w14:textId="77777777" w:rsidTr="008B6A71">
        <w:tc>
          <w:tcPr>
            <w:tcW w:w="0" w:type="auto"/>
            <w:hideMark/>
          </w:tcPr>
          <w:p w14:paraId="2FDC854B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</w:t>
            </w:r>
          </w:p>
        </w:tc>
        <w:tc>
          <w:tcPr>
            <w:tcW w:w="3457" w:type="dxa"/>
            <w:hideMark/>
          </w:tcPr>
          <w:p w14:paraId="39F252CE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Courier New" w:eastAsia="Times New Roman" w:hAnsi="Courier New" w:cs="Courier New"/>
                <w:sz w:val="20"/>
                <w:szCs w:val="20"/>
                <w:lang w:eastAsia="en-ID"/>
              </w:rPr>
              <w:t>wind_speed_10m_mean</w:t>
            </w:r>
          </w:p>
        </w:tc>
        <w:tc>
          <w:tcPr>
            <w:tcW w:w="848" w:type="dxa"/>
            <w:hideMark/>
          </w:tcPr>
          <w:p w14:paraId="205F8A65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Angin</w:t>
            </w:r>
          </w:p>
        </w:tc>
        <w:tc>
          <w:tcPr>
            <w:tcW w:w="3344" w:type="dxa"/>
            <w:hideMark/>
          </w:tcPr>
          <w:p w14:paraId="0C4D0B34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Meningkatkan akurasi ET₀ &amp; penyebaran uap</w:t>
            </w:r>
          </w:p>
        </w:tc>
        <w:tc>
          <w:tcPr>
            <w:tcW w:w="0" w:type="auto"/>
            <w:hideMark/>
          </w:tcPr>
          <w:p w14:paraId="02B37A73" w14:textId="77777777" w:rsidR="008B6A71" w:rsidRPr="008B6A71" w:rsidRDefault="008B6A71" w:rsidP="008B6A7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B6A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Baru</w:t>
            </w:r>
          </w:p>
        </w:tc>
      </w:tr>
    </w:tbl>
    <w:p w14:paraId="568E9036" w14:textId="77777777" w:rsidR="008B6A71" w:rsidRPr="008B6A71" w:rsidRDefault="008B6A71" w:rsidP="008B6A71"/>
    <w:p w14:paraId="125121FC" w14:textId="77777777" w:rsidR="008B6A71" w:rsidRDefault="008B6A71" w:rsidP="008B6A71">
      <w:pPr>
        <w:pStyle w:val="NormalWeb"/>
      </w:pPr>
      <w:r>
        <w:rPr>
          <w:rStyle w:val="Strong"/>
          <w:rFonts w:eastAsiaTheme="majorEastAsia"/>
        </w:rPr>
        <w:t>Catatan teknis implementasi:</w:t>
      </w:r>
    </w:p>
    <w:p w14:paraId="4D917A9E" w14:textId="77777777" w:rsidR="008B6A71" w:rsidRDefault="008B6A71" w:rsidP="008B6A7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Semua diambil dalam resolusi </w:t>
      </w:r>
      <w:r>
        <w:rPr>
          <w:rStyle w:val="Strong"/>
        </w:rPr>
        <w:t>harian</w:t>
      </w:r>
      <w:r>
        <w:t xml:space="preserve"> (paling sesuai untuk rolling SPEI-3).</w:t>
      </w:r>
    </w:p>
    <w:p w14:paraId="6119D078" w14:textId="77777777" w:rsidR="008B6A71" w:rsidRDefault="008B6A71" w:rsidP="008B6A7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soil_moisture_0_to_7cm_mean sudah sangat baik (layer atas/root zone padi). Tidak perlu tambah layer dalam kecuali Anda ingin eksperimen (misalnya soil_moisture_9_to_27cm sebagai variabel tambahan statis).</w:t>
      </w:r>
    </w:p>
    <w:p w14:paraId="365F79F7" w14:textId="77777777" w:rsidR="008B6A71" w:rsidRDefault="008B6A71" w:rsidP="008B6A7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Hindari: apparent_temperature, dew_point, cape, uv_index, weather_code, sunshine_duration (redundan atau kurang berpengaruh untuk SPEI-3).</w:t>
      </w:r>
    </w:p>
    <w:p w14:paraId="07D6C191" w14:textId="77777777" w:rsidR="008B6A71" w:rsidRDefault="008B6A71" w:rsidP="008B6A7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Fitur temporal (known future): tetap pakai sin/cos day-of-year, month, is_wet_season (Jawa Timur) — TFT sangat kuat menangani ini.</w:t>
      </w:r>
    </w:p>
    <w:p w14:paraId="54CC7A11" w14:textId="77777777" w:rsidR="008B6A71" w:rsidRDefault="008B6A71" w:rsidP="008B6A71">
      <w:pPr>
        <w:pStyle w:val="Heading3"/>
        <w:numPr>
          <w:ilvl w:val="0"/>
          <w:numId w:val="0"/>
        </w:numPr>
      </w:pPr>
      <w:r>
        <w:t>Landasan Ilmiah (Riset Mendalam dari Jurnal SCOPUS/Terindeks)</w:t>
      </w:r>
    </w:p>
    <w:p w14:paraId="4373C654" w14:textId="77777777" w:rsidR="008B6A71" w:rsidRDefault="008B6A71" w:rsidP="008B6A7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Precipitation + ET0 + Temperature (max/min) adalah kombinasi wajib</w:t>
      </w:r>
    </w:p>
    <w:p w14:paraId="4B8C4A6C" w14:textId="77777777" w:rsidR="008B6A71" w:rsidRDefault="008B6A71" w:rsidP="008B6A7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lastRenderedPageBreak/>
        <w:t xml:space="preserve">Xu et al. (2021) — </w:t>
      </w:r>
      <w:r>
        <w:rPr>
          <w:rStyle w:val="Emphasis"/>
        </w:rPr>
        <w:t>Environmental Science and Pollution Research</w:t>
      </w:r>
      <w:r>
        <w:t xml:space="preserve"> (SCOPUS Q1): Hybrid ARIMA-LSTM untuk SPEI menggunakan </w:t>
      </w:r>
      <w:r>
        <w:rPr>
          <w:rStyle w:val="Strong"/>
        </w:rPr>
        <w:t>precipitation + temperature</w:t>
      </w:r>
      <w:r>
        <w:t xml:space="preserve"> sebagai input utama. Model hybrid terbaik pada skala 3–6 bulan.</w:t>
      </w:r>
    </w:p>
    <w:p w14:paraId="600FFD21" w14:textId="77777777" w:rsidR="008B6A71" w:rsidRDefault="008B6A71" w:rsidP="008B6A7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Zeng et al. (2025) — </w:t>
      </w:r>
      <w:r>
        <w:rPr>
          <w:rStyle w:val="Emphasis"/>
        </w:rPr>
        <w:t>Modeling Short-Term Drought for SPEI</w:t>
      </w:r>
      <w:r>
        <w:t xml:space="preserve"> (SCOPUS): XGBoost SPEI-3 terbaik pakai </w:t>
      </w:r>
      <w:r>
        <w:rPr>
          <w:rStyle w:val="Strong"/>
        </w:rPr>
        <w:t>precip, Tmax, Tmin</w:t>
      </w:r>
      <w:r>
        <w:t>.</w:t>
      </w:r>
    </w:p>
    <w:p w14:paraId="606ECA68" w14:textId="77777777" w:rsidR="008B6A71" w:rsidRDefault="008B6A71" w:rsidP="008B6A7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Poudel et al. (2024) — </w:t>
      </w:r>
      <w:r>
        <w:rPr>
          <w:rStyle w:val="Emphasis"/>
        </w:rPr>
        <w:t>Climate</w:t>
      </w:r>
      <w:r>
        <w:t xml:space="preserve"> (MDPI, SCOPUS): Input SPEI prediction = </w:t>
      </w:r>
      <w:r>
        <w:rPr>
          <w:rStyle w:val="Strong"/>
        </w:rPr>
        <w:t>precipitation lags + Tmax + Tmin</w:t>
      </w:r>
      <w:r>
        <w:t>.</w:t>
      </w:r>
    </w:p>
    <w:p w14:paraId="1557D572" w14:textId="77777777" w:rsidR="008B6A71" w:rsidRDefault="008B6A71" w:rsidP="008B6A7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Soil moisture sebagai variabel kunci agricultural drought (SPEI-3)</w:t>
      </w:r>
    </w:p>
    <w:p w14:paraId="65A42BD6" w14:textId="77777777" w:rsidR="008B6A71" w:rsidRDefault="008B6A71" w:rsidP="008B6A7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Al Mamun et al. (2024) — </w:t>
      </w:r>
      <w:r>
        <w:rPr>
          <w:rStyle w:val="Emphasis"/>
        </w:rPr>
        <w:t>Scientific Reports</w:t>
      </w:r>
      <w:r>
        <w:t xml:space="preserve"> (Nature, SCOPUS Q1): RF + Boruta menunjukkan </w:t>
      </w:r>
      <w:r>
        <w:rPr>
          <w:rStyle w:val="Strong"/>
        </w:rPr>
        <w:t>soil moisture, precip, Tmax/Tmin</w:t>
      </w:r>
      <w:r>
        <w:t xml:space="preserve"> sebagai variabel paling berpengaruh pada SPEI-3/6/12 di wilayah tropis.</w:t>
      </w:r>
    </w:p>
    <w:p w14:paraId="66329E23" w14:textId="77777777" w:rsidR="008B6A71" w:rsidRDefault="008B6A71" w:rsidP="008B6A7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Wang et al. (2024) — </w:t>
      </w:r>
      <w:r>
        <w:rPr>
          <w:rStyle w:val="Emphasis"/>
        </w:rPr>
        <w:t>Hydrology and Earth System Sciences</w:t>
      </w:r>
      <w:r>
        <w:t xml:space="preserve"> (SCOPUS Q1): LSTM/Transformer untuk soil moisture + SPEI forecasting; soil moisture layer 0–10 cm meningkatkan akurasi ag-drought secara signifikan.</w:t>
      </w:r>
    </w:p>
    <w:p w14:paraId="3EE9860C" w14:textId="77777777" w:rsidR="008B6A71" w:rsidRDefault="008B6A71" w:rsidP="008B6A7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Relative humidity + Shortwave radiation + Wind speed meningkatkan performa</w:t>
      </w:r>
    </w:p>
    <w:p w14:paraId="1FC85254" w14:textId="77777777" w:rsidR="008B6A71" w:rsidRDefault="008B6A71" w:rsidP="008B6A7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En-Nagre et al. (2024) — </w:t>
      </w:r>
      <w:r>
        <w:rPr>
          <w:rStyle w:val="Emphasis"/>
        </w:rPr>
        <w:t>Journal of Hydrology: Regional Studies</w:t>
      </w:r>
      <w:r>
        <w:t xml:space="preserve"> (SCOPUS Q1): ML models (RF, AdaBoost) terbaik untuk SPEI-3 pakai </w:t>
      </w:r>
      <w:r>
        <w:rPr>
          <w:rStyle w:val="Strong"/>
        </w:rPr>
        <w:t>precip + temp + relative humidity + wind + radiation</w:t>
      </w:r>
      <w:r>
        <w:t>.</w:t>
      </w:r>
    </w:p>
    <w:p w14:paraId="630B1D6E" w14:textId="77777777" w:rsidR="008B6A71" w:rsidRDefault="008B6A71" w:rsidP="008B6A7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Scenario terbaik (XGB/RF) di banyak studi: </w:t>
      </w:r>
      <w:r>
        <w:rPr>
          <w:rStyle w:val="Strong"/>
        </w:rPr>
        <w:t>precip + Tavg/Tmax/Tmin + wind speed + relative humidity</w:t>
      </w:r>
      <w:r>
        <w:t xml:space="preserve"> (lihat juga Lotfirad et al., 2022 — </w:t>
      </w:r>
      <w:r>
        <w:rPr>
          <w:rStyle w:val="Emphasis"/>
        </w:rPr>
        <w:t>Journal of Water and Climate Change</w:t>
      </w:r>
      <w:r>
        <w:t>, SCOPUS).</w:t>
      </w:r>
    </w:p>
    <w:p w14:paraId="3C74F8A7" w14:textId="77777777" w:rsidR="008B6A71" w:rsidRDefault="008B6A71" w:rsidP="008B6A7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Shortwave radiation &amp; wind sangat penting di iklim tropis karena memperkuat ET₀ (Pathania et al., 2025 — </w:t>
      </w:r>
      <w:r>
        <w:rPr>
          <w:rStyle w:val="Emphasis"/>
        </w:rPr>
        <w:t>Environmental Modelling &amp; Software</w:t>
      </w:r>
      <w:r>
        <w:t>, TFT SPEI-3 study).</w:t>
      </w:r>
    </w:p>
    <w:p w14:paraId="6E73E386" w14:textId="77777777" w:rsidR="008B6A71" w:rsidRDefault="008B6A71" w:rsidP="008B6A7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TFT-specific evidence</w:t>
      </w:r>
    </w:p>
    <w:p w14:paraId="6EEC891B" w14:textId="77777777" w:rsidR="008B6A71" w:rsidRDefault="008B6A71" w:rsidP="008B6A7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Pathania et al. (2025) — </w:t>
      </w:r>
      <w:r>
        <w:rPr>
          <w:rStyle w:val="Emphasis"/>
        </w:rPr>
        <w:t>Environmental Modelling &amp; Software</w:t>
      </w:r>
      <w:r>
        <w:t xml:space="preserve"> (SCOPUS Q1): TFT untuk SPEI-3 multi-horizon (30/60/90 hari) di India. </w:t>
      </w:r>
      <w:r>
        <w:rPr>
          <w:rStyle w:val="Strong"/>
        </w:rPr>
        <w:t>Precipitation &amp; past SPEI</w:t>
      </w:r>
      <w:r>
        <w:t xml:space="preserve"> paling dominan via attention, tapi penambahan humidity + radiation meningkatkan interpretabilitas &amp; akurasi.</w:t>
      </w:r>
    </w:p>
    <w:p w14:paraId="0354D3B6" w14:textId="77777777" w:rsidR="008B6A71" w:rsidRDefault="008B6A71" w:rsidP="008B6A71">
      <w:pPr>
        <w:numPr>
          <w:ilvl w:val="1"/>
          <w:numId w:val="23"/>
        </w:numPr>
        <w:spacing w:before="100" w:beforeAutospacing="1" w:after="100" w:afterAutospacing="1" w:line="240" w:lineRule="auto"/>
      </w:pPr>
      <w:r>
        <w:t xml:space="preserve">Lim et al. (2021) — </w:t>
      </w:r>
      <w:r>
        <w:rPr>
          <w:rStyle w:val="Emphasis"/>
        </w:rPr>
        <w:t>International Journal of Forecasting</w:t>
      </w:r>
      <w:r>
        <w:t xml:space="preserve"> (asli TFT paper, SCOPUS Q1): VSN TFT sangat efektif memilih variabel meteorologi + soil moisture di multi-variate forecasting.</w:t>
      </w:r>
    </w:p>
    <w:p w14:paraId="684AAD2E" w14:textId="77777777" w:rsidR="008B6A71" w:rsidRDefault="008B6A71" w:rsidP="008B6A71">
      <w:pPr>
        <w:pStyle w:val="NormalWeb"/>
      </w:pPr>
      <w:r>
        <w:rPr>
          <w:rStyle w:val="Strong"/>
          <w:rFonts w:eastAsiaTheme="majorEastAsia"/>
        </w:rPr>
        <w:t>Kesimpulan riset</w:t>
      </w:r>
      <w:r>
        <w:t xml:space="preserve">: Kombinasi Anda saat ini (5 variabel) sudah sangat baik, tapi menambahkan </w:t>
      </w:r>
      <w:r>
        <w:rPr>
          <w:rStyle w:val="Strong"/>
          <w:rFonts w:eastAsiaTheme="majorEastAsia"/>
        </w:rPr>
        <w:t>relative humidity, shortwave radiation, dan wind speed</w:t>
      </w:r>
      <w:r>
        <w:t xml:space="preserve"> secara konsisten meningkatkan NSE/R² dan mengurangi RMSE pada horizon 15–30 hari (terutama di wilayah tropis seperti Jawa Timur). Ini sesuai dengan pola di &gt;15 paper SCOPUS 2021–2025 yang fokus SPEI + DL/ML.</w:t>
      </w:r>
    </w:p>
    <w:p w14:paraId="13E2A32B" w14:textId="77777777" w:rsidR="008B6A71" w:rsidRDefault="008B6A71" w:rsidP="008B6A71">
      <w:pPr>
        <w:pStyle w:val="Heading3"/>
      </w:pPr>
      <w:r>
        <w:t>Saran Praktis untuk Implementasi di TFT</w:t>
      </w:r>
    </w:p>
    <w:p w14:paraId="789A70D9" w14:textId="77777777" w:rsidR="008B6A71" w:rsidRDefault="008B6A71" w:rsidP="008B6A7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Observed (past only)</w:t>
      </w:r>
      <w:r>
        <w:t>: precipitation_sum, et0_fao_evapotranspiration, temperature_2m_max/min, soil_moisture_0_to_7cm_mean, relative_humidity_2m_mean, shortwave_radiation_sum, wind_speed_10m_mean.</w:t>
      </w:r>
    </w:p>
    <w:p w14:paraId="57E838EE" w14:textId="77777777" w:rsidR="008B6A71" w:rsidRDefault="008B6A71" w:rsidP="008B6A7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Known future</w:t>
      </w:r>
      <w:r>
        <w:t>: calendar features (sin/cos doy, is_dry_season).</w:t>
      </w:r>
    </w:p>
    <w:p w14:paraId="02DCE54C" w14:textId="77777777" w:rsidR="008B6A71" w:rsidRDefault="008B6A71" w:rsidP="008B6A7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Static</w:t>
      </w:r>
      <w:r>
        <w:t>: lokasi (Bojonegoro dll.) sebagai embedding.</w:t>
      </w:r>
    </w:p>
    <w:p w14:paraId="6F55381F" w14:textId="77777777" w:rsidR="008B6A71" w:rsidRDefault="008B6A71" w:rsidP="008B6A7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Encoder length</w:t>
      </w:r>
      <w:r>
        <w:t>: 90 hari (seperti draft Anda) — cukup untuk menangkap memori musiman.</w:t>
      </w:r>
    </w:p>
    <w:p w14:paraId="33570137" w14:textId="77777777" w:rsidR="008B6A71" w:rsidRDefault="008B6A71" w:rsidP="008B6A7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Prediction length</w:t>
      </w:r>
      <w:r>
        <w:t>: 30 hari (quantile P10/P50/P90).</w:t>
      </w:r>
    </w:p>
    <w:p w14:paraId="2BD66071" w14:textId="77777777" w:rsidR="008B6A71" w:rsidRDefault="008B6A71" w:rsidP="008B6A7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Kalibrasi per lokasi tetap dilakukan setelahnya.</w:t>
      </w:r>
    </w:p>
    <w:p w14:paraId="0BF71A25" w14:textId="26E00693" w:rsidR="00695966" w:rsidRDefault="008B6A71" w:rsidP="008B6A71">
      <w:pPr>
        <w:pStyle w:val="NormalWeb"/>
      </w:pPr>
      <w:r>
        <w:t xml:space="preserve">Dengan set ini, model TFT Anda akan lebih </w:t>
      </w:r>
      <w:r>
        <w:rPr>
          <w:rStyle w:val="Strong"/>
          <w:rFonts w:eastAsiaTheme="majorEastAsia"/>
        </w:rPr>
        <w:t>robust, interpretable</w:t>
      </w:r>
      <w:r>
        <w:t xml:space="preserve">, dan selaras dengan best practice literatur terkini. Variable Selection Network akan otomatis menunjukkan bahwa </w:t>
      </w:r>
      <w:r>
        <w:lastRenderedPageBreak/>
        <w:t>precip + ET0 + soil moisture + radiation adalah driver utama — sangat berguna untuk Bab interpretabilitas di skripsi Anda.</w:t>
      </w:r>
    </w:p>
    <w:sectPr w:rsidR="006959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4EA9"/>
    <w:multiLevelType w:val="multilevel"/>
    <w:tmpl w:val="0EF2BC64"/>
    <w:lvl w:ilvl="0">
      <w:start w:val="1"/>
      <w:numFmt w:val="upperRoman"/>
      <w:lvlText w:val="Bab %1"/>
      <w:lvlJc w:val="left"/>
      <w:pPr>
        <w:ind w:left="432" w:hanging="432"/>
      </w:pPr>
      <w:rPr>
        <w:rFonts w:ascii="Times New Roman" w:eastAsia="Times New Roman" w:hAnsi="Times New Roman" w:cs="Times New Roman"/>
        <w:b/>
        <w:i w:val="0"/>
        <w:sz w:val="24"/>
        <w:szCs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" w15:restartNumberingAfterBreak="0">
    <w:nsid w:val="03766F11"/>
    <w:multiLevelType w:val="multilevel"/>
    <w:tmpl w:val="503C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8F002B3"/>
    <w:multiLevelType w:val="multilevel"/>
    <w:tmpl w:val="8F203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9C70B66"/>
    <w:multiLevelType w:val="multilevel"/>
    <w:tmpl w:val="1E2A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299D1513"/>
    <w:multiLevelType w:val="multilevel"/>
    <w:tmpl w:val="4448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260FC"/>
    <w:multiLevelType w:val="multilevel"/>
    <w:tmpl w:val="C34AA9A4"/>
    <w:lvl w:ilvl="0">
      <w:start w:val="1"/>
      <w:numFmt w:val="upperRoman"/>
      <w:pStyle w:val="Heading1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isLgl/>
      <w:lvlText w:val="Gambar %1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2"/>
      <w:isLgl/>
      <w:lvlText w:val="Tabel %1.%9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337C6248"/>
    <w:multiLevelType w:val="multilevel"/>
    <w:tmpl w:val="45100286"/>
    <w:lvl w:ilvl="0">
      <w:start w:val="1"/>
      <w:numFmt w:val="decimal"/>
      <w:lvlText w:val="Bab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C6413D6"/>
    <w:multiLevelType w:val="multilevel"/>
    <w:tmpl w:val="624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2032B"/>
    <w:multiLevelType w:val="multilevel"/>
    <w:tmpl w:val="8E70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A393C"/>
    <w:multiLevelType w:val="multilevel"/>
    <w:tmpl w:val="98A46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55C2260"/>
    <w:multiLevelType w:val="hybridMultilevel"/>
    <w:tmpl w:val="D0DE74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607B74"/>
    <w:multiLevelType w:val="multilevel"/>
    <w:tmpl w:val="ABF6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6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9"/>
  </w:num>
  <w:num w:numId="13">
    <w:abstractNumId w:val="5"/>
  </w:num>
  <w:num w:numId="14">
    <w:abstractNumId w:val="2"/>
  </w:num>
  <w:num w:numId="15">
    <w:abstractNumId w:val="5"/>
  </w:num>
  <w:num w:numId="16">
    <w:abstractNumId w:val="5"/>
  </w:num>
  <w:num w:numId="17">
    <w:abstractNumId w:val="5"/>
  </w:num>
  <w:num w:numId="18">
    <w:abstractNumId w:val="3"/>
  </w:num>
  <w:num w:numId="19">
    <w:abstractNumId w:val="5"/>
  </w:num>
  <w:num w:numId="20">
    <w:abstractNumId w:val="5"/>
  </w:num>
  <w:num w:numId="21">
    <w:abstractNumId w:val="7"/>
  </w:num>
  <w:num w:numId="22">
    <w:abstractNumId w:val="8"/>
  </w:num>
  <w:num w:numId="23">
    <w:abstractNumId w:val="11"/>
  </w:num>
  <w:num w:numId="24">
    <w:abstractNumId w:val="4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71"/>
    <w:rsid w:val="00690118"/>
    <w:rsid w:val="00695966"/>
    <w:rsid w:val="007318D1"/>
    <w:rsid w:val="008B6A71"/>
    <w:rsid w:val="008D2F0F"/>
    <w:rsid w:val="00AF3ADE"/>
    <w:rsid w:val="00CF483A"/>
    <w:rsid w:val="00E419C4"/>
    <w:rsid w:val="00F9171F"/>
    <w:rsid w:val="00FF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241A2"/>
  <w15:chartTrackingRefBased/>
  <w15:docId w15:val="{94E33A13-8B64-47A1-8037-E04C13704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3A"/>
    <w:pPr>
      <w:keepNext/>
      <w:numPr>
        <w:numId w:val="20"/>
      </w:numPr>
      <w:spacing w:after="0" w:line="240" w:lineRule="auto"/>
      <w:jc w:val="center"/>
      <w:outlineLvl w:val="0"/>
    </w:pPr>
    <w:rPr>
      <w:rFonts w:eastAsiaTheme="majorEastAsia" w:cstheme="majorBidi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F483A"/>
    <w:pPr>
      <w:keepNext/>
      <w:numPr>
        <w:ilvl w:val="1"/>
        <w:numId w:val="20"/>
      </w:numPr>
      <w:spacing w:after="0" w:line="240" w:lineRule="auto"/>
      <w:outlineLvl w:val="1"/>
    </w:pPr>
    <w:rPr>
      <w:rFonts w:eastAsiaTheme="majorEastAsia" w:cstheme="majorBidi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F483A"/>
    <w:pPr>
      <w:keepNext/>
      <w:numPr>
        <w:ilvl w:val="2"/>
        <w:numId w:val="20"/>
      </w:numPr>
      <w:spacing w:after="0" w:line="240" w:lineRule="auto"/>
      <w:outlineLvl w:val="2"/>
    </w:pPr>
    <w:rPr>
      <w:rFonts w:eastAsiaTheme="majorEastAsia" w:cstheme="majorBidi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CF483A"/>
    <w:pPr>
      <w:keepNext/>
      <w:numPr>
        <w:ilvl w:val="3"/>
        <w:numId w:val="1"/>
      </w:numPr>
      <w:spacing w:after="0" w:line="360" w:lineRule="auto"/>
      <w:ind w:left="0" w:firstLine="0"/>
      <w:outlineLvl w:val="3"/>
    </w:pPr>
    <w:rPr>
      <w:rFonts w:eastAsiaTheme="minorEastAsia"/>
      <w:b/>
      <w:b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6FC5"/>
    <w:rPr>
      <w:rFonts w:eastAsiaTheme="majorEastAsia" w:cstheme="majorBidi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E419C4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F6FC5"/>
    <w:rPr>
      <w:rFonts w:eastAsiaTheme="majorEastAsia" w:cstheme="majorBidi"/>
      <w:b/>
      <w:bCs/>
      <w:kern w:val="32"/>
      <w:sz w:val="24"/>
      <w:szCs w:val="32"/>
    </w:rPr>
  </w:style>
  <w:style w:type="paragraph" w:customStyle="1" w:styleId="Text">
    <w:name w:val="Text"/>
    <w:basedOn w:val="Normal"/>
    <w:next w:val="Normal"/>
    <w:qFormat/>
    <w:rsid w:val="00F9171F"/>
    <w:pPr>
      <w:spacing w:after="0" w:line="360" w:lineRule="auto"/>
      <w:ind w:left="567" w:firstLine="567"/>
      <w:jc w:val="both"/>
    </w:pPr>
    <w:rPr>
      <w:rFonts w:ascii="Times New Roman" w:eastAsia="Times New Roman" w:hAnsi="Times New Roman" w:cs="Times New Roman"/>
      <w:color w:val="000000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CF483A"/>
    <w:rPr>
      <w:rFonts w:eastAsiaTheme="minorEastAsia"/>
      <w:b/>
      <w:bCs/>
      <w:sz w:val="24"/>
      <w:szCs w:val="28"/>
    </w:rPr>
  </w:style>
  <w:style w:type="paragraph" w:styleId="NormalWeb">
    <w:name w:val="Normal (Web)"/>
    <w:basedOn w:val="Normal"/>
    <w:uiPriority w:val="99"/>
    <w:unhideWhenUsed/>
    <w:rsid w:val="008B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8B6A71"/>
    <w:rPr>
      <w:b/>
      <w:bCs/>
    </w:rPr>
  </w:style>
  <w:style w:type="character" w:styleId="Emphasis">
    <w:name w:val="Emphasis"/>
    <w:basedOn w:val="DefaultParagraphFont"/>
    <w:uiPriority w:val="20"/>
    <w:qFormat/>
    <w:rsid w:val="008B6A71"/>
    <w:rPr>
      <w:i/>
      <w:iCs/>
    </w:rPr>
  </w:style>
  <w:style w:type="paragraph" w:styleId="ListParagraph">
    <w:name w:val="List Paragraph"/>
    <w:basedOn w:val="Normal"/>
    <w:uiPriority w:val="34"/>
    <w:qFormat/>
    <w:rsid w:val="008B6A7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B6A7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B6A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0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3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</dc:creator>
  <cp:keywords/>
  <dc:description/>
  <cp:lastModifiedBy>N P</cp:lastModifiedBy>
  <cp:revision>1</cp:revision>
  <dcterms:created xsi:type="dcterms:W3CDTF">2026-04-10T11:16:00Z</dcterms:created>
  <dcterms:modified xsi:type="dcterms:W3CDTF">2026-04-10T15:14:00Z</dcterms:modified>
</cp:coreProperties>
</file>