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9632"/>
      </w:tblGrid>
      <w:tr>
        <w:tc>
          <w:tcPr>
            <w:tcW w:type="dxa" w:w="9632"/>
            <w:shd w:val="clear" w:color="auto" w:fill="0B3D2E"/>
            <w:tcMar>
              <w:top w:w="420" w:type="dxa"/>
              <w:bottom w:w="420" w:type="dxa"/>
              <w:start w:w="260" w:type="dxa"/>
              <w:end w:w="260" w:type="dxa"/>
            </w:tcMar>
          </w:tcPr>
          <w:p>
            <w:pPr>
              <w:spacing w:after="0"/>
            </w:pPr>
            <w:r/>
            <w:r>
              <w:rPr>
                <w:rFonts w:ascii="Georgia" w:hAnsi="Georgia"/>
                <w:b/>
                <w:color w:val="FFFFFF"/>
                <w:sz w:val="92"/>
              </w:rPr>
              <w:t>CEC</w:t>
            </w:r>
          </w:p>
          <w:p>
            <w:pPr>
              <w:spacing w:before="40" w:after="0"/>
            </w:pPr>
            <w:r>
              <w:rPr>
                <w:rFonts w:ascii="Georgia" w:hAnsi="Georgia"/>
                <w:color w:val="C9A227"/>
                <w:sz w:val="24"/>
              </w:rPr>
              <w:t>CLEAN ENERGY CONSORTIUM</w:t>
            </w:r>
          </w:p>
          <w:p>
            <w:pPr>
              <w:spacing w:before="20"/>
            </w:pPr>
            <w:r>
              <w:rPr>
                <w:rFonts w:ascii="Calibri" w:hAnsi="Calibri"/>
                <w:color w:val="CFE0D8"/>
                <w:sz w:val="18"/>
              </w:rPr>
              <w:t>Special Purpose Vehicle  ·  GONXT  |  LTM Energy Group  |  Stella's Edge</w:t>
            </w:r>
          </w:p>
        </w:tc>
      </w:tr>
    </w:tbl>
    <w:p>
      <w:pPr>
        <w:spacing w:after="800"/>
      </w:pPr>
    </w:p>
    <w:p>
      <w:pPr>
        <w:spacing w:after="480" w:before="0"/>
        <w:jc w:val="left"/>
      </w:pPr>
      <w:r>
        <w:rPr>
          <w:rFonts w:ascii="Calibri" w:hAnsi="Calibri"/>
          <w:b/>
          <w:i w:val="0"/>
          <w:color w:val="9B2C2C"/>
          <w:sz w:val="18"/>
        </w:rPr>
        <w:t>STRICTLY PRIVATE &amp; CONFIDENTIAL</w:t>
      </w:r>
    </w:p>
    <w:p>
      <w:pPr>
        <w:spacing w:after="0" w:before="0"/>
        <w:jc w:val="left"/>
      </w:pPr>
      <w:r>
        <w:rPr>
          <w:rFonts w:ascii="Georgia" w:hAnsi="Georgia"/>
          <w:b/>
          <w:i w:val="0"/>
          <w:color w:val="0B3D2E"/>
          <w:sz w:val="60"/>
        </w:rPr>
        <w:t>Valuation Justification &amp;</w:t>
      </w:r>
    </w:p>
    <w:p>
      <w:pPr>
        <w:spacing w:after="200" w:before="0"/>
        <w:jc w:val="left"/>
      </w:pPr>
      <w:r>
        <w:rPr>
          <w:rFonts w:ascii="Georgia" w:hAnsi="Georgia"/>
          <w:b/>
          <w:i w:val="0"/>
          <w:color w:val="0B3D2E"/>
          <w:sz w:val="60"/>
        </w:rPr>
        <w:t>Soft-Intellectual-Property Memorandum</w:t>
      </w:r>
    </w:p>
    <w:p>
      <w:pPr>
        <w:spacing w:after="560" w:before="0"/>
        <w:jc w:val="left"/>
      </w:pPr>
      <w:r>
        <w:rPr>
          <w:rFonts w:ascii="Calibri" w:hAnsi="Calibri"/>
          <w:b w:val="0"/>
          <w:i/>
          <w:color w:val="1F2A33"/>
          <w:sz w:val="25"/>
        </w:rPr>
        <w:t>Defence of a R220 million equity valuation, of which approximately 30% is attributable to artificial-intelligence and soft intellectual property, across the Operations &amp; Maintenance, Energy-Services (ESCO) and Investment-Finance verticals.</w:t>
      </w: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3211"/>
        <w:gridCol w:w="3211"/>
        <w:gridCol w:w="3211"/>
      </w:tblGrid>
      <w:tr>
        <w:tc>
          <w:tcPr>
            <w:tcW w:type="dxa" w:w="3211"/>
            <w:shd w:val="clear" w:color="auto" w:fill="ECF1EE"/>
            <w:tcMar>
              <w:top w:w="180" w:type="dxa"/>
              <w:bottom w:w="180" w:type="dxa"/>
              <w:start w:w="120" w:type="dxa"/>
              <w:end w:w="120" w:type="dxa"/>
            </w:tcMar>
          </w:tcPr>
          <w:p>
            <w:pPr>
              <w:spacing w:after="0"/>
              <w:jc w:val="center"/>
            </w:pPr>
            <w:r/>
            <w:r>
              <w:rPr>
                <w:rFonts w:ascii="Georgia" w:hAnsi="Georgia"/>
                <w:b/>
                <w:color w:val="0B3D2E"/>
                <w:sz w:val="44"/>
              </w:rPr>
              <w:t>R220m</w:t>
            </w:r>
          </w:p>
          <w:p>
            <w:pPr>
              <w:spacing w:after="0"/>
              <w:jc w:val="center"/>
            </w:pPr>
            <w:r>
              <w:rPr>
                <w:rFonts w:ascii="Calibri" w:hAnsi="Calibri"/>
                <w:color w:val="5B6670"/>
                <w:sz w:val="17"/>
              </w:rPr>
              <w:t>Equity value (ZAR)</w:t>
            </w:r>
          </w:p>
        </w:tc>
        <w:tc>
          <w:tcPr>
            <w:tcW w:type="dxa" w:w="3211"/>
            <w:shd w:val="clear" w:color="auto" w:fill="ECF1EE"/>
            <w:tcMar>
              <w:top w:w="180" w:type="dxa"/>
              <w:bottom w:w="180" w:type="dxa"/>
              <w:start w:w="120" w:type="dxa"/>
              <w:end w:w="120" w:type="dxa"/>
            </w:tcMar>
          </w:tcPr>
          <w:p>
            <w:pPr>
              <w:spacing w:after="0"/>
              <w:jc w:val="center"/>
            </w:pPr>
            <w:r/>
            <w:r>
              <w:rPr>
                <w:rFonts w:ascii="Georgia" w:hAnsi="Georgia"/>
                <w:b/>
                <w:color w:val="0B3D2E"/>
                <w:sz w:val="44"/>
              </w:rPr>
              <w:t>~30%</w:t>
            </w:r>
          </w:p>
          <w:p>
            <w:pPr>
              <w:spacing w:after="0"/>
              <w:jc w:val="center"/>
            </w:pPr>
            <w:r>
              <w:rPr>
                <w:rFonts w:ascii="Calibri" w:hAnsi="Calibri"/>
                <w:color w:val="5B6670"/>
                <w:sz w:val="17"/>
              </w:rPr>
              <w:t>AI / soft-IP attribution</w:t>
            </w:r>
          </w:p>
        </w:tc>
        <w:tc>
          <w:tcPr>
            <w:tcW w:type="dxa" w:w="3211"/>
            <w:shd w:val="clear" w:color="auto" w:fill="ECF1EE"/>
            <w:tcMar>
              <w:top w:w="180" w:type="dxa"/>
              <w:bottom w:w="180" w:type="dxa"/>
              <w:start w:w="120" w:type="dxa"/>
              <w:end w:w="120" w:type="dxa"/>
            </w:tcMar>
          </w:tcPr>
          <w:p>
            <w:pPr>
              <w:spacing w:after="0"/>
              <w:jc w:val="center"/>
            </w:pPr>
            <w:r/>
            <w:r>
              <w:rPr>
                <w:rFonts w:ascii="Georgia" w:hAnsi="Georgia"/>
                <w:b/>
                <w:color w:val="0B3D2E"/>
                <w:sz w:val="44"/>
              </w:rPr>
              <w:t>80 / 20</w:t>
            </w:r>
          </w:p>
          <w:p>
            <w:pPr>
              <w:spacing w:after="0"/>
              <w:jc w:val="center"/>
            </w:pPr>
            <w:r>
              <w:rPr>
                <w:rFonts w:ascii="Calibri" w:hAnsi="Calibri"/>
                <w:color w:val="5B6670"/>
                <w:sz w:val="17"/>
              </w:rPr>
              <w:t>IP provenance — LTM / Stella's Edge</w:t>
            </w:r>
          </w:p>
        </w:tc>
      </w:tr>
    </w:tbl>
    <w:p>
      <w:pPr>
        <w:spacing w:after="680"/>
      </w:pPr>
    </w:p>
    <w:tbl>
      <w:tblPr>
        <w:tblW w:type="auto" w:w="0"/>
        <w:tblLook w:firstColumn="1" w:firstRow="1" w:lastColumn="0" w:lastRow="0" w:noHBand="0" w:noVBand="1" w:val="04A0"/>
        <w:tblBorders>
          <w:top w:val="none"/>
          <w:left w:val="none"/>
          <w:bottom w:val="none"/>
          <w:right w:val="none"/>
          <w:insideH w:val="none"/>
          <w:insideV w:val="none"/>
        </w:tblBorders>
      </w:tblPr>
      <w:tblGrid>
        <w:gridCol w:w="2551"/>
        <w:gridCol w:w="6520"/>
      </w:tblGrid>
      <w:tr>
        <w:tc>
          <w:tcPr>
            <w:tcW w:type="dxa" w:w="4816"/>
            <w:vAlign w:val="center"/>
          </w:tcPr>
          <w:p>
            <w:pPr>
              <w:spacing w:after="0" w:before="0"/>
              <w:jc w:val="left"/>
            </w:pPr>
            <w:r/>
            <w:r>
              <w:rPr>
                <w:rFonts w:ascii="Calibri" w:hAnsi="Calibri"/>
                <w:b/>
                <w:i w:val="0"/>
                <w:color w:val="0B3D2E"/>
                <w:sz w:val="19"/>
              </w:rPr>
              <w:t>Subject entity</w:t>
            </w:r>
          </w:p>
        </w:tc>
        <w:tc>
          <w:tcPr>
            <w:tcW w:type="dxa" w:w="4816"/>
            <w:vAlign w:val="center"/>
          </w:tcPr>
          <w:p>
            <w:pPr>
              <w:spacing w:after="0" w:before="0"/>
              <w:jc w:val="left"/>
            </w:pPr>
            <w:r/>
            <w:r>
              <w:rPr>
                <w:rFonts w:ascii="Calibri" w:hAnsi="Calibri"/>
                <w:b w:val="0"/>
                <w:i w:val="0"/>
                <w:color w:val="1F2A33"/>
                <w:sz w:val="19"/>
              </w:rPr>
              <w:t>CEC — Clean Energy Consortium (SPV)  [CONFIRM legal name &amp; reg. no.]</w:t>
            </w:r>
          </w:p>
        </w:tc>
      </w:tr>
      <w:tr>
        <w:tc>
          <w:tcPr>
            <w:tcW w:type="dxa" w:w="4816"/>
            <w:vAlign w:val="center"/>
          </w:tcPr>
          <w:p>
            <w:pPr>
              <w:spacing w:after="0" w:before="0"/>
              <w:jc w:val="left"/>
            </w:pPr>
            <w:r/>
            <w:r>
              <w:rPr>
                <w:rFonts w:ascii="Calibri" w:hAnsi="Calibri"/>
                <w:b/>
                <w:i w:val="0"/>
                <w:color w:val="0B3D2E"/>
                <w:sz w:val="19"/>
              </w:rPr>
              <w:t>Reporting currency</w:t>
            </w:r>
          </w:p>
        </w:tc>
        <w:tc>
          <w:tcPr>
            <w:tcW w:type="dxa" w:w="4816"/>
            <w:vAlign w:val="center"/>
          </w:tcPr>
          <w:p>
            <w:pPr>
              <w:spacing w:after="0" w:before="0"/>
              <w:jc w:val="left"/>
            </w:pPr>
            <w:r/>
            <w:r>
              <w:rPr>
                <w:rFonts w:ascii="Calibri" w:hAnsi="Calibri"/>
                <w:b w:val="0"/>
                <w:i w:val="0"/>
                <w:color w:val="1F2A33"/>
                <w:sz w:val="19"/>
              </w:rPr>
              <w:t>South African Rand (ZAR / R)</w:t>
            </w:r>
          </w:p>
        </w:tc>
      </w:tr>
      <w:tr>
        <w:tc>
          <w:tcPr>
            <w:tcW w:type="dxa" w:w="4816"/>
            <w:vAlign w:val="center"/>
          </w:tcPr>
          <w:p>
            <w:pPr>
              <w:spacing w:after="0" w:before="0"/>
              <w:jc w:val="left"/>
            </w:pPr>
            <w:r/>
            <w:r>
              <w:rPr>
                <w:rFonts w:ascii="Calibri" w:hAnsi="Calibri"/>
                <w:b/>
                <w:i w:val="0"/>
                <w:color w:val="0B3D2E"/>
                <w:sz w:val="19"/>
              </w:rPr>
              <w:t>Valuation date</w:t>
            </w:r>
          </w:p>
        </w:tc>
        <w:tc>
          <w:tcPr>
            <w:tcW w:type="dxa" w:w="4816"/>
            <w:vAlign w:val="center"/>
          </w:tcPr>
          <w:p>
            <w:pPr>
              <w:spacing w:after="0" w:before="0"/>
              <w:jc w:val="left"/>
            </w:pPr>
            <w:r/>
            <w:r>
              <w:rPr>
                <w:rFonts w:ascii="Calibri" w:hAnsi="Calibri"/>
                <w:b w:val="0"/>
                <w:i w:val="0"/>
                <w:color w:val="1F2A33"/>
                <w:sz w:val="19"/>
              </w:rPr>
              <w:t>13 June 2026</w:t>
            </w:r>
          </w:p>
        </w:tc>
      </w:tr>
      <w:tr>
        <w:tc>
          <w:tcPr>
            <w:tcW w:type="dxa" w:w="4816"/>
            <w:vAlign w:val="center"/>
          </w:tcPr>
          <w:p>
            <w:pPr>
              <w:spacing w:after="0" w:before="0"/>
              <w:jc w:val="left"/>
            </w:pPr>
            <w:r/>
            <w:r>
              <w:rPr>
                <w:rFonts w:ascii="Calibri" w:hAnsi="Calibri"/>
                <w:b/>
                <w:i w:val="0"/>
                <w:color w:val="0B3D2E"/>
                <w:sz w:val="19"/>
              </w:rPr>
              <w:t>Basis of preparation</w:t>
            </w:r>
          </w:p>
        </w:tc>
        <w:tc>
          <w:tcPr>
            <w:tcW w:type="dxa" w:w="4816"/>
            <w:vAlign w:val="center"/>
          </w:tcPr>
          <w:p>
            <w:pPr>
              <w:spacing w:after="0" w:before="0"/>
              <w:jc w:val="left"/>
            </w:pPr>
            <w:r/>
            <w:r>
              <w:rPr>
                <w:rFonts w:ascii="Calibri" w:hAnsi="Calibri"/>
                <w:b w:val="0"/>
                <w:i w:val="0"/>
                <w:color w:val="1F2A33"/>
                <w:sz w:val="19"/>
              </w:rPr>
              <w:t>Indicative valuation for investor due-diligence discussion. Operating inputs are management assumptions pending audited confirmation.</w:t>
            </w:r>
          </w:p>
        </w:tc>
      </w:tr>
    </w:tbl>
    <w:p>
      <w:r>
        <w:br w:type="page"/>
      </w:r>
    </w:p>
    <w:p>
      <w:pPr>
        <w:spacing w:after="40"/>
      </w:pPr>
    </w:p>
    <w:p>
      <w:pPr>
        <w:keepNext/>
        <w:spacing w:before="200" w:after="40"/>
      </w:pPr>
      <w:r>
        <w:rPr>
          <w:rFonts w:ascii="Georgia" w:hAnsi="Georgia"/>
          <w:b/>
          <w:color w:val="C9A227"/>
          <w:sz w:val="30"/>
        </w:rPr>
        <w:t xml:space="preserve">1.  </w:t>
      </w:r>
      <w:r>
        <w:rPr>
          <w:rFonts w:ascii="Georgia" w:hAnsi="Georgia"/>
          <w:b/>
          <w:color w:val="0B3D2E"/>
          <w:sz w:val="30"/>
        </w:rPr>
        <w:t>Important notice &amp; basis of preparation</w:t>
      </w:r>
    </w:p>
    <w:p>
      <w:pPr>
        <w:spacing w:after="120"/>
        <w:pBdr>
          <w:bottom w:val="single" w:sz="6" w:space="1" w:color="C9A227"/>
        </w:pBdr>
      </w:pPr>
    </w:p>
    <w:p>
      <w:pPr>
        <w:spacing w:after="120" w:before="0"/>
        <w:jc w:val="both"/>
      </w:pPr>
      <w:r>
        <w:rPr>
          <w:rFonts w:ascii="Calibri" w:hAnsi="Calibri"/>
          <w:b w:val="0"/>
          <w:i w:val="0"/>
          <w:color w:val="1F2A33"/>
          <w:sz w:val="21"/>
        </w:rPr>
        <w:t>This memorandum has been prepared to articulate and defend the basis on which the equity of CEC — Clean Energy Consortium (the “SPV” or “Company”) is valued at approximately R220 million, and to justify the proportion of that value (approximately 30%) that is attributable to artificial intelligence and soft intellectual property. It is intended to withstand investor interrogation during due diligence.</w:t>
      </w:r>
    </w:p>
    <w:p>
      <w:pPr>
        <w:pStyle w:val="ListBullet"/>
        <w:spacing w:after="60"/>
      </w:pPr>
      <w:r>
        <w:rPr>
          <w:rFonts w:ascii="Calibri" w:hAnsi="Calibri"/>
          <w:b/>
          <w:color w:val="0B3D2E"/>
          <w:sz w:val="21"/>
        </w:rPr>
        <w:t xml:space="preserve">No reliance on confidential third-party contracts.  </w:t>
      </w:r>
      <w:r>
        <w:rPr>
          <w:rFonts w:ascii="Calibri" w:hAnsi="Calibri"/>
          <w:color w:val="1F2A33"/>
          <w:sz w:val="21"/>
        </w:rPr>
      </w:r>
    </w:p>
    <w:p>
      <w:pPr>
        <w:spacing w:after="80" w:before="0"/>
        <w:jc w:val="both"/>
      </w:pPr>
      <w:r>
        <w:rPr>
          <w:rFonts w:ascii="Calibri" w:hAnsi="Calibri"/>
          <w:b w:val="0"/>
          <w:i w:val="0"/>
          <w:color w:val="1F2A33"/>
          <w:sz w:val="21"/>
        </w:rPr>
        <w:t>The valuation is built from first principles and recognised valuation methodology. It does not extract, reproduce or rely on the commercial terms of any confidential third-party agreement. All operating figures are management assumptions presented for illustration.</w:t>
      </w:r>
    </w:p>
    <w:p>
      <w:pPr>
        <w:pStyle w:val="ListBullet"/>
        <w:spacing w:after="60"/>
      </w:pPr>
      <w:r>
        <w:rPr>
          <w:rFonts w:ascii="Calibri" w:hAnsi="Calibri"/>
          <w:b/>
          <w:color w:val="0B3D2E"/>
          <w:sz w:val="21"/>
        </w:rPr>
        <w:t xml:space="preserve">Assumptions are flagged and confirmable.  </w:t>
      </w:r>
      <w:r>
        <w:rPr>
          <w:rFonts w:ascii="Calibri" w:hAnsi="Calibri"/>
          <w:color w:val="1F2A33"/>
          <w:sz w:val="21"/>
        </w:rPr>
      </w:r>
    </w:p>
    <w:p>
      <w:pPr>
        <w:spacing w:after="80" w:before="0"/>
        <w:jc w:val="both"/>
      </w:pPr>
      <w:r>
        <w:rPr>
          <w:rFonts w:ascii="Calibri" w:hAnsi="Calibri"/>
          <w:b w:val="0"/>
          <w:i w:val="0"/>
          <w:color w:val="1F2A33"/>
          <w:sz w:val="21"/>
        </w:rPr>
        <w:t>Every input that drives a number is marked [CONFIRM] and is to be replaced with the Company’s audited or management actuals before the document is relied upon. The arithmetic is internally consistent so that, once actuals are entered, the bridge re-computes transparently.</w:t>
      </w:r>
    </w:p>
    <w:p>
      <w:pPr>
        <w:pStyle w:val="ListBullet"/>
        <w:spacing w:after="60"/>
      </w:pPr>
      <w:r>
        <w:rPr>
          <w:rFonts w:ascii="Calibri" w:hAnsi="Calibri"/>
          <w:b/>
          <w:color w:val="0B3D2E"/>
          <w:sz w:val="21"/>
        </w:rPr>
        <w:t xml:space="preserve">Not an offer or a fairness opinion.  </w:t>
      </w:r>
      <w:r>
        <w:rPr>
          <w:rFonts w:ascii="Calibri" w:hAnsi="Calibri"/>
          <w:color w:val="1F2A33"/>
          <w:sz w:val="21"/>
        </w:rPr>
      </w:r>
    </w:p>
    <w:p>
      <w:pPr>
        <w:spacing w:after="80" w:before="0"/>
        <w:jc w:val="both"/>
      </w:pPr>
      <w:r>
        <w:rPr>
          <w:rFonts w:ascii="Calibri" w:hAnsi="Calibri"/>
          <w:b w:val="0"/>
          <w:i w:val="0"/>
          <w:color w:val="1F2A33"/>
          <w:sz w:val="21"/>
        </w:rPr>
        <w:t>This document is an indicative valuation rationale for discussion. It is not an offer, a prospectus, a fairness opinion, or financial-product advice, and confers no rights. Figures are in ZAR and exclude VAT unless stated.</w:t>
      </w:r>
    </w:p>
    <w:p>
      <w:pPr>
        <w:pStyle w:val="ListBullet"/>
        <w:spacing w:after="60"/>
      </w:pPr>
      <w:r>
        <w:rPr>
          <w:rFonts w:ascii="Calibri" w:hAnsi="Calibri"/>
          <w:b/>
          <w:color w:val="0B3D2E"/>
          <w:sz w:val="21"/>
        </w:rPr>
        <w:t xml:space="preserve">Forward-looking statements.  </w:t>
      </w:r>
      <w:r>
        <w:rPr>
          <w:rFonts w:ascii="Calibri" w:hAnsi="Calibri"/>
          <w:color w:val="1F2A33"/>
          <w:sz w:val="21"/>
        </w:rPr>
      </w:r>
    </w:p>
    <w:p>
      <w:pPr>
        <w:spacing w:after="120" w:before="0"/>
        <w:jc w:val="both"/>
      </w:pPr>
      <w:r>
        <w:rPr>
          <w:rFonts w:ascii="Calibri" w:hAnsi="Calibri"/>
          <w:b w:val="0"/>
          <w:i w:val="0"/>
          <w:color w:val="1F2A33"/>
          <w:sz w:val="21"/>
        </w:rPr>
        <w:t>Projections reflect current expectations and are subject to execution, regulatory, market and counterparty risk (Section 9). Actual outcomes may differ materially.</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02"/>
        <w:gridCol w:w="9298"/>
      </w:tblGrid>
      <w:tr>
        <w:tc>
          <w:tcPr>
            <w:tcW w:type="dxa" w:w="4816"/>
            <w:shd w:val="clear" w:color="auto" w:fill="C9A227"/>
          </w:tcPr>
          <w:p>
            <w:r/>
          </w:p>
        </w:tc>
        <w:tc>
          <w:tcPr>
            <w:tcW w:type="dxa" w:w="4816"/>
            <w:shd w:val="clear" w:color="auto" w:fill="FBF6E7"/>
            <w:tcMar>
              <w:top w:w="120" w:type="dxa"/>
              <w:bottom w:w="120" w:type="dxa"/>
              <w:start w:w="200" w:type="dxa"/>
              <w:end w:w="200" w:type="dxa"/>
            </w:tcMar>
          </w:tcPr>
          <w:p>
            <w:pPr>
              <w:spacing w:after="40"/>
            </w:pPr>
            <w:r/>
            <w:r>
              <w:rPr>
                <w:rFonts w:ascii="Georgia" w:hAnsi="Georgia"/>
                <w:b/>
                <w:color w:val="C9A227"/>
                <w:sz w:val="21"/>
              </w:rPr>
              <w:t>Reader’s note on the [CONFIRM] markers</w:t>
            </w:r>
          </w:p>
          <w:p>
            <w:pPr>
              <w:spacing w:after="0"/>
            </w:pPr>
            <w:r>
              <w:rPr>
                <w:rFonts w:ascii="Calibri" w:hAnsi="Calibri"/>
                <w:color w:val="1F2A33"/>
                <w:sz w:val="20"/>
              </w:rPr>
              <w:t>Wherever you see [CONFIRM], a defendable valuation requires the Company’s own audited or management figure. The illustrative values used here are deliberately round and conservative; they exist to demonstrate the method and to reconcile to the R220m headline, not to assert fact.</w:t>
            </w:r>
          </w:p>
        </w:tc>
      </w:tr>
    </w:tbl>
    <w:p>
      <w:pPr>
        <w:spacing w:after="40"/>
      </w:pPr>
    </w:p>
    <w:p>
      <w:r>
        <w:br w:type="page"/>
      </w:r>
    </w:p>
    <w:p>
      <w:pPr>
        <w:spacing w:after="40"/>
      </w:pPr>
    </w:p>
    <w:p>
      <w:pPr>
        <w:keepNext/>
        <w:spacing w:before="200" w:after="40"/>
      </w:pPr>
      <w:r>
        <w:rPr>
          <w:rFonts w:ascii="Georgia" w:hAnsi="Georgia"/>
          <w:b/>
          <w:color w:val="C9A227"/>
          <w:sz w:val="30"/>
        </w:rPr>
        <w:t xml:space="preserve">2.  </w:t>
      </w:r>
      <w:r>
        <w:rPr>
          <w:rFonts w:ascii="Georgia" w:hAnsi="Georgia"/>
          <w:b/>
          <w:color w:val="0B3D2E"/>
          <w:sz w:val="30"/>
        </w:rPr>
        <w:t>Executive summary</w:t>
      </w:r>
    </w:p>
    <w:p>
      <w:pPr>
        <w:spacing w:after="120"/>
        <w:pBdr>
          <w:bottom w:val="single" w:sz="6" w:space="1" w:color="C9A227"/>
        </w:pBdr>
      </w:pPr>
    </w:p>
    <w:p>
      <w:pPr>
        <w:spacing w:after="120" w:before="0"/>
        <w:jc w:val="both"/>
      </w:pPr>
      <w:r>
        <w:rPr>
          <w:rFonts w:ascii="Calibri" w:hAnsi="Calibri"/>
          <w:b w:val="0"/>
          <w:i w:val="0"/>
          <w:color w:val="1F2A33"/>
          <w:sz w:val="21"/>
        </w:rPr>
        <w:t>CEC is a special-purpose vehicle that combines three complementary contributors into a single, vertically-integrated clean-energy platform:</w:t>
      </w:r>
    </w:p>
    <w:p>
      <w:pPr>
        <w:pStyle w:val="ListBullet"/>
        <w:spacing w:after="60"/>
      </w:pPr>
      <w:r>
        <w:rPr>
          <w:rFonts w:ascii="Calibri" w:hAnsi="Calibri"/>
          <w:b/>
          <w:color w:val="0B3D2E"/>
          <w:sz w:val="21"/>
        </w:rPr>
        <w:t xml:space="preserve">GONXT — </w:t>
      </w:r>
      <w:r>
        <w:rPr>
          <w:rFonts w:ascii="Calibri" w:hAnsi="Calibri"/>
          <w:color w:val="1F2A33"/>
          <w:sz w:val="21"/>
        </w:rPr>
        <w:t>the energy-trading, optimisation and AI platform, plus delivery technology.</w:t>
      </w:r>
    </w:p>
    <w:p>
      <w:pPr>
        <w:pStyle w:val="ListBullet"/>
        <w:spacing w:after="60"/>
      </w:pPr>
      <w:r>
        <w:rPr>
          <w:rFonts w:ascii="Calibri" w:hAnsi="Calibri"/>
          <w:b/>
          <w:color w:val="0B3D2E"/>
          <w:sz w:val="21"/>
        </w:rPr>
        <w:t xml:space="preserve">LTM Energy Group — </w:t>
      </w:r>
      <w:r>
        <w:rPr>
          <w:rFonts w:ascii="Calibri" w:hAnsi="Calibri"/>
          <w:color w:val="1F2A33"/>
          <w:sz w:val="21"/>
        </w:rPr>
        <w:t>conduit-hydropower generation, operations and energy-structuring know-how.</w:t>
      </w:r>
    </w:p>
    <w:p>
      <w:pPr>
        <w:pStyle w:val="ListBullet"/>
        <w:spacing w:after="60"/>
      </w:pPr>
      <w:r>
        <w:rPr>
          <w:rFonts w:ascii="Calibri" w:hAnsi="Calibri"/>
          <w:b/>
          <w:color w:val="0B3D2E"/>
          <w:sz w:val="21"/>
        </w:rPr>
        <w:t xml:space="preserve">Stella’s Edge — </w:t>
      </w:r>
      <w:r>
        <w:rPr>
          <w:rFonts w:ascii="Calibri" w:hAnsi="Calibri"/>
          <w:color w:val="1F2A33"/>
          <w:sz w:val="21"/>
        </w:rPr>
        <w:t>investment-finance, capital and transaction-structuring capability.</w:t>
      </w:r>
    </w:p>
    <w:p>
      <w:pPr>
        <w:spacing w:after="120" w:before="0"/>
        <w:jc w:val="both"/>
      </w:pPr>
      <w:r>
        <w:rPr>
          <w:rFonts w:ascii="Calibri" w:hAnsi="Calibri"/>
          <w:b w:val="0"/>
          <w:i w:val="0"/>
          <w:color w:val="1F2A33"/>
          <w:sz w:val="21"/>
        </w:rPr>
        <w:t>The Company earns across three operating verticals — Operations &amp; Maintenance (O&amp;M), Energy-Services (ESCO) and Investment-Finance. The going-concern value of those verticals accounts for approximately 70% of equity value. The remaining approximately 30% is the premium created by the Company’s artificial-intelligence and soft intellectual property — the “difference” that separates CEC from a commoditised operator, advisor or financier.</w:t>
      </w:r>
    </w:p>
    <w:p>
      <w:pPr>
        <w:keepNext/>
        <w:spacing w:before="160" w:after="40"/>
      </w:pPr>
      <w:r>
        <w:rPr>
          <w:rFonts w:ascii="Georgia" w:hAnsi="Georgia"/>
          <w:b/>
          <w:color w:val="1F2A33"/>
          <w:sz w:val="23"/>
        </w:rPr>
        <w:t>The valuation in one line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02"/>
        <w:gridCol w:w="9298"/>
      </w:tblGrid>
      <w:tr>
        <w:tc>
          <w:tcPr>
            <w:tcW w:type="dxa" w:w="4816"/>
            <w:shd w:val="clear" w:color="auto" w:fill="0B3D2E"/>
          </w:tcPr>
          <w:p>
            <w:r/>
          </w:p>
        </w:tc>
        <w:tc>
          <w:tcPr>
            <w:tcW w:type="dxa" w:w="4816"/>
            <w:shd w:val="clear" w:color="auto" w:fill="ECF1EE"/>
            <w:tcMar>
              <w:top w:w="120" w:type="dxa"/>
              <w:bottom w:w="120" w:type="dxa"/>
              <w:start w:w="200" w:type="dxa"/>
              <w:end w:w="200" w:type="dxa"/>
            </w:tcMar>
          </w:tcPr>
          <w:p>
            <w:pPr>
              <w:spacing w:after="40"/>
            </w:pPr>
            <w:r/>
            <w:r>
              <w:rPr>
                <w:rFonts w:ascii="Georgia" w:hAnsi="Georgia"/>
                <w:b/>
                <w:color w:val="0B3D2E"/>
                <w:sz w:val="21"/>
              </w:rPr>
              <w:t>Headline</w:t>
            </w:r>
          </w:p>
          <w:p>
            <w:pPr>
              <w:spacing w:after="0"/>
            </w:pPr>
            <w:r>
              <w:rPr>
                <w:rFonts w:ascii="Calibri" w:hAnsi="Calibri"/>
                <w:color w:val="1F2A33"/>
                <w:sz w:val="20"/>
              </w:rPr>
              <w:t>Equity value ≈ R220m  =  R154m operating-business value (3 verticals)  +  R66m AI / soft-IP premium (≈30%).  The soft-IP premium is provenance-weighted 80% to LTM Energy (R52.8m) and 20% to Stella’s Edge (R13.2m).</w:t>
            </w:r>
          </w:p>
        </w:tc>
      </w:tr>
    </w:tbl>
    <w:p>
      <w:pPr>
        <w:spacing w:after="40"/>
      </w:pPr>
    </w:p>
    <w:p>
      <w:pPr>
        <w:keepNext/>
        <w:spacing w:before="160" w:after="40"/>
      </w:pPr>
      <w:r>
        <w:rPr>
          <w:rFonts w:ascii="Georgia" w:hAnsi="Georgia"/>
          <w:b/>
          <w:color w:val="1F2A33"/>
          <w:sz w:val="23"/>
        </w:rPr>
        <w:t>Value bridge (summary)</w:t>
      </w:r>
    </w:p>
    <w:tbl>
      <w:tblPr>
        <w:tblW w:type="auto" w:w="0"/>
        <w:jc w:val="center"/>
        <w:tblLook w:firstColumn="1" w:firstRow="1" w:lastColumn="0" w:lastRow="0" w:noHBand="0" w:noVBand="1" w:val="04A0"/>
        <w:tblBorders>
          <w:top w:val="single" w:sz="4" w:space="0" w:color="D9E2DD"/>
          <w:bottom w:val="single" w:sz="4" w:space="0" w:color="D9E2DD"/>
          <w:insideH w:val="single" w:sz="4" w:space="0" w:color="D9E2DD"/>
          <w:left w:val="none"/>
          <w:right w:val="none"/>
          <w:insideV w:val="none"/>
        </w:tblBorders>
      </w:tblPr>
      <w:tblGrid>
        <w:gridCol w:w="2408"/>
        <w:gridCol w:w="2408"/>
        <w:gridCol w:w="2408"/>
        <w:gridCol w:w="2408"/>
      </w:tblGrid>
      <w:tr>
        <w:tc>
          <w:tcPr>
            <w:tcW w:type="dxa" w:w="3402"/>
            <w:shd w:val="clear" w:color="auto" w:fill="0B3D2E"/>
            <w:tcMar>
              <w:top w:w="60" w:type="dxa"/>
              <w:bottom w:w="60" w:type="dxa"/>
              <w:start w:w="110" w:type="dxa"/>
              <w:end w:w="110" w:type="dxa"/>
            </w:tcMar>
            <w:vAlign w:val="center"/>
          </w:tcPr>
          <w:p>
            <w:pPr>
              <w:spacing w:after="0" w:before="0"/>
              <w:jc w:val="left"/>
            </w:pPr>
            <w:r/>
            <w:r>
              <w:rPr>
                <w:rFonts w:ascii="Georgia" w:hAnsi="Georgia"/>
                <w:b/>
                <w:i w:val="0"/>
                <w:color w:val="FFFFFF"/>
                <w:sz w:val="19"/>
              </w:rPr>
              <w:t>Component</w:t>
            </w:r>
          </w:p>
        </w:tc>
        <w:tc>
          <w:tcPr>
            <w:tcW w:type="dxa" w:w="3175"/>
            <w:shd w:val="clear" w:color="auto" w:fill="0B3D2E"/>
            <w:tcMar>
              <w:top w:w="60" w:type="dxa"/>
              <w:bottom w:w="60" w:type="dxa"/>
              <w:start w:w="110" w:type="dxa"/>
              <w:end w:w="110" w:type="dxa"/>
            </w:tcMar>
            <w:vAlign w:val="center"/>
          </w:tcPr>
          <w:p>
            <w:pPr>
              <w:spacing w:after="0" w:before="0"/>
              <w:jc w:val="left"/>
            </w:pPr>
            <w:r/>
            <w:r>
              <w:rPr>
                <w:rFonts w:ascii="Georgia" w:hAnsi="Georgia"/>
                <w:b/>
                <w:i w:val="0"/>
                <w:color w:val="FFFFFF"/>
                <w:sz w:val="19"/>
              </w:rPr>
              <w:t>Basis</w:t>
            </w:r>
          </w:p>
        </w:tc>
        <w:tc>
          <w:tcPr>
            <w:tcW w:type="dxa" w:w="1474"/>
            <w:shd w:val="clear" w:color="auto" w:fill="0B3D2E"/>
            <w:tcMar>
              <w:top w:w="60" w:type="dxa"/>
              <w:bottom w:w="60" w:type="dxa"/>
              <w:start w:w="110" w:type="dxa"/>
              <w:end w:w="110" w:type="dxa"/>
            </w:tcMar>
            <w:vAlign w:val="center"/>
          </w:tcPr>
          <w:p>
            <w:pPr>
              <w:spacing w:after="0" w:before="0"/>
              <w:jc w:val="right"/>
            </w:pPr>
            <w:r/>
            <w:r>
              <w:rPr>
                <w:rFonts w:ascii="Georgia" w:hAnsi="Georgia"/>
                <w:b/>
                <w:i w:val="0"/>
                <w:color w:val="FFFFFF"/>
                <w:sz w:val="19"/>
              </w:rPr>
              <w:t>Value (Rm)</w:t>
            </w:r>
          </w:p>
        </w:tc>
        <w:tc>
          <w:tcPr>
            <w:tcW w:type="dxa" w:w="1247"/>
            <w:shd w:val="clear" w:color="auto" w:fill="0B3D2E"/>
            <w:tcMar>
              <w:top w:w="60" w:type="dxa"/>
              <w:bottom w:w="60" w:type="dxa"/>
              <w:start w:w="110" w:type="dxa"/>
              <w:end w:w="110" w:type="dxa"/>
            </w:tcMar>
            <w:vAlign w:val="center"/>
          </w:tcPr>
          <w:p>
            <w:pPr>
              <w:spacing w:after="0" w:before="0"/>
              <w:jc w:val="right"/>
            </w:pPr>
            <w:r/>
            <w:r>
              <w:rPr>
                <w:rFonts w:ascii="Georgia" w:hAnsi="Georgia"/>
                <w:b/>
                <w:i w:val="0"/>
                <w:color w:val="FFFFFF"/>
                <w:sz w:val="19"/>
              </w:rPr>
              <w:t>% of equity</w:t>
            </w:r>
          </w:p>
        </w:tc>
      </w:tr>
      <w:tr>
        <w:tc>
          <w:tcPr>
            <w:tcW w:type="dxa" w:w="3402"/>
            <w:tcMar>
              <w:top w:w="60" w:type="dxa"/>
              <w:bottom w:w="60" w:type="dxa"/>
              <w:start w:w="110" w:type="dxa"/>
              <w:end w:w="110" w:type="dxa"/>
            </w:tcMar>
            <w:vAlign w:val="center"/>
          </w:tcPr>
          <w:p>
            <w:pPr>
              <w:spacing w:after="0" w:before="0"/>
              <w:jc w:val="left"/>
            </w:pPr>
            <w:r/>
            <w:r>
              <w:rPr>
                <w:rFonts w:ascii="Calibri" w:hAnsi="Calibri"/>
                <w:b/>
                <w:i w:val="0"/>
                <w:color w:val="1F2A33"/>
                <w:sz w:val="19"/>
              </w:rPr>
              <w:t>O&amp;M vertical</w:t>
            </w:r>
          </w:p>
        </w:tc>
        <w:tc>
          <w:tcPr>
            <w:tcW w:type="dxa" w:w="3175"/>
            <w:tcMar>
              <w:top w:w="60" w:type="dxa"/>
              <w:bottom w:w="60" w:type="dxa"/>
              <w:start w:w="110" w:type="dxa"/>
              <w:end w:w="110" w:type="dxa"/>
            </w:tcMar>
            <w:vAlign w:val="center"/>
          </w:tcPr>
          <w:p>
            <w:pPr>
              <w:spacing w:after="0" w:before="0"/>
              <w:jc w:val="left"/>
            </w:pPr>
            <w:r/>
            <w:r>
              <w:rPr>
                <w:rFonts w:ascii="Calibri" w:hAnsi="Calibri"/>
                <w:b w:val="0"/>
                <w:i w:val="0"/>
                <w:color w:val="1F2A33"/>
                <w:sz w:val="19"/>
              </w:rPr>
              <w:t>Income approach (DCF / multiple)</w:t>
            </w:r>
          </w:p>
        </w:tc>
        <w:tc>
          <w:tcPr>
            <w:tcW w:type="dxa" w:w="1474"/>
            <w:tcMar>
              <w:top w:w="60" w:type="dxa"/>
              <w:bottom w:w="60" w:type="dxa"/>
              <w:start w:w="110" w:type="dxa"/>
              <w:end w:w="110" w:type="dxa"/>
            </w:tcMar>
            <w:vAlign w:val="center"/>
          </w:tcPr>
          <w:p>
            <w:pPr>
              <w:spacing w:after="0" w:before="0"/>
              <w:jc w:val="right"/>
            </w:pPr>
            <w:r/>
            <w:r>
              <w:rPr>
                <w:rFonts w:ascii="Calibri" w:hAnsi="Calibri"/>
                <w:b w:val="0"/>
                <w:i w:val="0"/>
                <w:color w:val="1F2A33"/>
                <w:sz w:val="19"/>
              </w:rPr>
              <w:t>62</w:t>
            </w:r>
          </w:p>
        </w:tc>
        <w:tc>
          <w:tcPr>
            <w:tcW w:type="dxa" w:w="1247"/>
            <w:tcMar>
              <w:top w:w="60" w:type="dxa"/>
              <w:bottom w:w="60" w:type="dxa"/>
              <w:start w:w="110" w:type="dxa"/>
              <w:end w:w="110" w:type="dxa"/>
            </w:tcMar>
            <w:vAlign w:val="center"/>
          </w:tcPr>
          <w:p>
            <w:pPr>
              <w:spacing w:after="0" w:before="0"/>
              <w:jc w:val="right"/>
            </w:pPr>
            <w:r/>
            <w:r>
              <w:rPr>
                <w:rFonts w:ascii="Calibri" w:hAnsi="Calibri"/>
                <w:b w:val="0"/>
                <w:i w:val="0"/>
                <w:color w:val="1F2A33"/>
                <w:sz w:val="19"/>
              </w:rPr>
              <w:t>28%</w:t>
            </w:r>
          </w:p>
        </w:tc>
      </w:tr>
      <w:tr>
        <w:tc>
          <w:tcPr>
            <w:tcW w:type="dxa" w:w="3402"/>
            <w:tcMar>
              <w:top w:w="60" w:type="dxa"/>
              <w:bottom w:w="60" w:type="dxa"/>
              <w:start w:w="110" w:type="dxa"/>
              <w:end w:w="110" w:type="dxa"/>
            </w:tcMar>
            <w:shd w:val="clear" w:color="auto" w:fill="F5F8F6"/>
            <w:vAlign w:val="center"/>
          </w:tcPr>
          <w:p>
            <w:pPr>
              <w:spacing w:after="0" w:before="0"/>
              <w:jc w:val="left"/>
            </w:pPr>
            <w:r/>
            <w:r>
              <w:rPr>
                <w:rFonts w:ascii="Calibri" w:hAnsi="Calibri"/>
                <w:b/>
                <w:i w:val="0"/>
                <w:color w:val="1F2A33"/>
                <w:sz w:val="19"/>
              </w:rPr>
              <w:t>ESCO vertical</w:t>
            </w:r>
          </w:p>
        </w:tc>
        <w:tc>
          <w:tcPr>
            <w:tcW w:type="dxa" w:w="3175"/>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Income approach (DCF / multiple)</w:t>
            </w:r>
          </w:p>
        </w:tc>
        <w:tc>
          <w:tcPr>
            <w:tcW w:type="dxa" w:w="1474"/>
            <w:tcMar>
              <w:top w:w="60" w:type="dxa"/>
              <w:bottom w:w="60" w:type="dxa"/>
              <w:start w:w="110" w:type="dxa"/>
              <w:end w:w="110" w:type="dxa"/>
            </w:tcMar>
            <w:shd w:val="clear" w:color="auto" w:fill="F5F8F6"/>
            <w:vAlign w:val="center"/>
          </w:tcPr>
          <w:p>
            <w:pPr>
              <w:spacing w:after="0" w:before="0"/>
              <w:jc w:val="right"/>
            </w:pPr>
            <w:r/>
            <w:r>
              <w:rPr>
                <w:rFonts w:ascii="Calibri" w:hAnsi="Calibri"/>
                <w:b w:val="0"/>
                <w:i w:val="0"/>
                <w:color w:val="1F2A33"/>
                <w:sz w:val="19"/>
              </w:rPr>
              <w:t>46</w:t>
            </w:r>
          </w:p>
        </w:tc>
        <w:tc>
          <w:tcPr>
            <w:tcW w:type="dxa" w:w="1247"/>
            <w:tcMar>
              <w:top w:w="60" w:type="dxa"/>
              <w:bottom w:w="60" w:type="dxa"/>
              <w:start w:w="110" w:type="dxa"/>
              <w:end w:w="110" w:type="dxa"/>
            </w:tcMar>
            <w:shd w:val="clear" w:color="auto" w:fill="F5F8F6"/>
            <w:vAlign w:val="center"/>
          </w:tcPr>
          <w:p>
            <w:pPr>
              <w:spacing w:after="0" w:before="0"/>
              <w:jc w:val="right"/>
            </w:pPr>
            <w:r/>
            <w:r>
              <w:rPr>
                <w:rFonts w:ascii="Calibri" w:hAnsi="Calibri"/>
                <w:b w:val="0"/>
                <w:i w:val="0"/>
                <w:color w:val="1F2A33"/>
                <w:sz w:val="19"/>
              </w:rPr>
              <w:t>21%</w:t>
            </w:r>
          </w:p>
        </w:tc>
      </w:tr>
      <w:tr>
        <w:tc>
          <w:tcPr>
            <w:tcW w:type="dxa" w:w="3402"/>
            <w:tcMar>
              <w:top w:w="60" w:type="dxa"/>
              <w:bottom w:w="60" w:type="dxa"/>
              <w:start w:w="110" w:type="dxa"/>
              <w:end w:w="110" w:type="dxa"/>
            </w:tcMar>
            <w:vAlign w:val="center"/>
          </w:tcPr>
          <w:p>
            <w:pPr>
              <w:spacing w:after="0" w:before="0"/>
              <w:jc w:val="left"/>
            </w:pPr>
            <w:r/>
            <w:r>
              <w:rPr>
                <w:rFonts w:ascii="Calibri" w:hAnsi="Calibri"/>
                <w:b/>
                <w:i w:val="0"/>
                <w:color w:val="1F2A33"/>
                <w:sz w:val="19"/>
              </w:rPr>
              <w:t>Investment-Finance vertical</w:t>
            </w:r>
          </w:p>
        </w:tc>
        <w:tc>
          <w:tcPr>
            <w:tcW w:type="dxa" w:w="3175"/>
            <w:tcMar>
              <w:top w:w="60" w:type="dxa"/>
              <w:bottom w:w="60" w:type="dxa"/>
              <w:start w:w="110" w:type="dxa"/>
              <w:end w:w="110" w:type="dxa"/>
            </w:tcMar>
            <w:vAlign w:val="center"/>
          </w:tcPr>
          <w:p>
            <w:pPr>
              <w:spacing w:after="0" w:before="0"/>
              <w:jc w:val="left"/>
            </w:pPr>
            <w:r/>
            <w:r>
              <w:rPr>
                <w:rFonts w:ascii="Calibri" w:hAnsi="Calibri"/>
                <w:b w:val="0"/>
                <w:i w:val="0"/>
                <w:color w:val="1F2A33"/>
                <w:sz w:val="19"/>
              </w:rPr>
              <w:t>Income approach (DCF / multiple)</w:t>
            </w:r>
          </w:p>
        </w:tc>
        <w:tc>
          <w:tcPr>
            <w:tcW w:type="dxa" w:w="1474"/>
            <w:tcMar>
              <w:top w:w="60" w:type="dxa"/>
              <w:bottom w:w="60" w:type="dxa"/>
              <w:start w:w="110" w:type="dxa"/>
              <w:end w:w="110" w:type="dxa"/>
            </w:tcMar>
            <w:vAlign w:val="center"/>
          </w:tcPr>
          <w:p>
            <w:pPr>
              <w:spacing w:after="0" w:before="0"/>
              <w:jc w:val="right"/>
            </w:pPr>
            <w:r/>
            <w:r>
              <w:rPr>
                <w:rFonts w:ascii="Calibri" w:hAnsi="Calibri"/>
                <w:b w:val="0"/>
                <w:i w:val="0"/>
                <w:color w:val="1F2A33"/>
                <w:sz w:val="19"/>
              </w:rPr>
              <w:t>46</w:t>
            </w:r>
          </w:p>
        </w:tc>
        <w:tc>
          <w:tcPr>
            <w:tcW w:type="dxa" w:w="1247"/>
            <w:tcMar>
              <w:top w:w="60" w:type="dxa"/>
              <w:bottom w:w="60" w:type="dxa"/>
              <w:start w:w="110" w:type="dxa"/>
              <w:end w:w="110" w:type="dxa"/>
            </w:tcMar>
            <w:vAlign w:val="center"/>
          </w:tcPr>
          <w:p>
            <w:pPr>
              <w:spacing w:after="0" w:before="0"/>
              <w:jc w:val="right"/>
            </w:pPr>
            <w:r/>
            <w:r>
              <w:rPr>
                <w:rFonts w:ascii="Calibri" w:hAnsi="Calibri"/>
                <w:b w:val="0"/>
                <w:i w:val="0"/>
                <w:color w:val="1F2A33"/>
                <w:sz w:val="19"/>
              </w:rPr>
              <w:t>21%</w:t>
            </w:r>
          </w:p>
        </w:tc>
      </w:tr>
      <w:tr>
        <w:tc>
          <w:tcPr>
            <w:tcW w:type="dxa" w:w="3402"/>
            <w:tcMar>
              <w:top w:w="60" w:type="dxa"/>
              <w:bottom w:w="60" w:type="dxa"/>
              <w:start w:w="110" w:type="dxa"/>
              <w:end w:w="110" w:type="dxa"/>
            </w:tcMar>
            <w:shd w:val="clear" w:color="auto" w:fill="F5F8F6"/>
            <w:vAlign w:val="center"/>
          </w:tcPr>
          <w:p>
            <w:pPr>
              <w:spacing w:after="0" w:before="0"/>
              <w:jc w:val="left"/>
            </w:pPr>
            <w:r/>
            <w:r>
              <w:rPr>
                <w:rFonts w:ascii="Calibri" w:hAnsi="Calibri"/>
                <w:b/>
                <w:i w:val="0"/>
                <w:color w:val="1F2A33"/>
                <w:sz w:val="19"/>
              </w:rPr>
              <w:t>Operating-business value</w:t>
            </w:r>
          </w:p>
        </w:tc>
        <w:tc>
          <w:tcPr>
            <w:tcW w:type="dxa" w:w="3175"/>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Sum of verticals</w:t>
            </w:r>
          </w:p>
        </w:tc>
        <w:tc>
          <w:tcPr>
            <w:tcW w:type="dxa" w:w="1474"/>
            <w:tcMar>
              <w:top w:w="60" w:type="dxa"/>
              <w:bottom w:w="60" w:type="dxa"/>
              <w:start w:w="110" w:type="dxa"/>
              <w:end w:w="110" w:type="dxa"/>
            </w:tcMar>
            <w:shd w:val="clear" w:color="auto" w:fill="F5F8F6"/>
            <w:vAlign w:val="center"/>
          </w:tcPr>
          <w:p>
            <w:pPr>
              <w:spacing w:after="0" w:before="0"/>
              <w:jc w:val="right"/>
            </w:pPr>
            <w:r/>
            <w:r>
              <w:rPr>
                <w:rFonts w:ascii="Calibri" w:hAnsi="Calibri"/>
                <w:b w:val="0"/>
                <w:i w:val="0"/>
                <w:color w:val="1F2A33"/>
                <w:sz w:val="19"/>
              </w:rPr>
              <w:t>154</w:t>
            </w:r>
          </w:p>
        </w:tc>
        <w:tc>
          <w:tcPr>
            <w:tcW w:type="dxa" w:w="1247"/>
            <w:tcMar>
              <w:top w:w="60" w:type="dxa"/>
              <w:bottom w:w="60" w:type="dxa"/>
              <w:start w:w="110" w:type="dxa"/>
              <w:end w:w="110" w:type="dxa"/>
            </w:tcMar>
            <w:shd w:val="clear" w:color="auto" w:fill="F5F8F6"/>
            <w:vAlign w:val="center"/>
          </w:tcPr>
          <w:p>
            <w:pPr>
              <w:spacing w:after="0" w:before="0"/>
              <w:jc w:val="right"/>
            </w:pPr>
            <w:r/>
            <w:r>
              <w:rPr>
                <w:rFonts w:ascii="Calibri" w:hAnsi="Calibri"/>
                <w:b w:val="0"/>
                <w:i w:val="0"/>
                <w:color w:val="1F2A33"/>
                <w:sz w:val="19"/>
              </w:rPr>
              <w:t>70%</w:t>
            </w:r>
          </w:p>
        </w:tc>
      </w:tr>
      <w:tr>
        <w:tc>
          <w:tcPr>
            <w:tcW w:type="dxa" w:w="3402"/>
            <w:tcMar>
              <w:top w:w="60" w:type="dxa"/>
              <w:bottom w:w="60" w:type="dxa"/>
              <w:start w:w="110" w:type="dxa"/>
              <w:end w:w="110" w:type="dxa"/>
            </w:tcMar>
            <w:vAlign w:val="center"/>
          </w:tcPr>
          <w:p>
            <w:pPr>
              <w:spacing w:after="0" w:before="0"/>
              <w:jc w:val="left"/>
            </w:pPr>
            <w:r/>
            <w:r>
              <w:rPr>
                <w:rFonts w:ascii="Calibri" w:hAnsi="Calibri"/>
                <w:b/>
                <w:i w:val="0"/>
                <w:color w:val="1F2A33"/>
                <w:sz w:val="19"/>
              </w:rPr>
              <w:t>AI / soft-IP premium</w:t>
            </w:r>
          </w:p>
        </w:tc>
        <w:tc>
          <w:tcPr>
            <w:tcW w:type="dxa" w:w="3175"/>
            <w:tcMar>
              <w:top w:w="60" w:type="dxa"/>
              <w:bottom w:w="60" w:type="dxa"/>
              <w:start w:w="110" w:type="dxa"/>
              <w:end w:w="110" w:type="dxa"/>
            </w:tcMar>
            <w:vAlign w:val="center"/>
          </w:tcPr>
          <w:p>
            <w:pPr>
              <w:spacing w:after="0" w:before="0"/>
              <w:jc w:val="left"/>
            </w:pPr>
            <w:r/>
            <w:r>
              <w:rPr>
                <w:rFonts w:ascii="Calibri" w:hAnsi="Calibri"/>
                <w:b w:val="0"/>
                <w:i w:val="0"/>
                <w:color w:val="1F2A33"/>
                <w:sz w:val="19"/>
              </w:rPr>
              <w:t>Triangulated intangible value</w:t>
            </w:r>
          </w:p>
        </w:tc>
        <w:tc>
          <w:tcPr>
            <w:tcW w:type="dxa" w:w="1474"/>
            <w:tcMar>
              <w:top w:w="60" w:type="dxa"/>
              <w:bottom w:w="60" w:type="dxa"/>
              <w:start w:w="110" w:type="dxa"/>
              <w:end w:w="110" w:type="dxa"/>
            </w:tcMar>
            <w:vAlign w:val="center"/>
          </w:tcPr>
          <w:p>
            <w:pPr>
              <w:spacing w:after="0" w:before="0"/>
              <w:jc w:val="right"/>
            </w:pPr>
            <w:r/>
            <w:r>
              <w:rPr>
                <w:rFonts w:ascii="Calibri" w:hAnsi="Calibri"/>
                <w:b w:val="0"/>
                <w:i w:val="0"/>
                <w:color w:val="1F2A33"/>
                <w:sz w:val="19"/>
              </w:rPr>
              <w:t>66</w:t>
            </w:r>
          </w:p>
        </w:tc>
        <w:tc>
          <w:tcPr>
            <w:tcW w:type="dxa" w:w="1247"/>
            <w:tcMar>
              <w:top w:w="60" w:type="dxa"/>
              <w:bottom w:w="60" w:type="dxa"/>
              <w:start w:w="110" w:type="dxa"/>
              <w:end w:w="110" w:type="dxa"/>
            </w:tcMar>
            <w:vAlign w:val="center"/>
          </w:tcPr>
          <w:p>
            <w:pPr>
              <w:spacing w:after="0" w:before="0"/>
              <w:jc w:val="right"/>
            </w:pPr>
            <w:r/>
            <w:r>
              <w:rPr>
                <w:rFonts w:ascii="Calibri" w:hAnsi="Calibri"/>
                <w:b w:val="0"/>
                <w:i w:val="0"/>
                <w:color w:val="1F2A33"/>
                <w:sz w:val="19"/>
              </w:rPr>
              <w:t>30%</w:t>
            </w:r>
          </w:p>
        </w:tc>
      </w:tr>
      <w:tr>
        <w:tc>
          <w:tcPr>
            <w:tcW w:type="dxa" w:w="3402"/>
            <w:tcMar>
              <w:top w:w="60" w:type="dxa"/>
              <w:bottom w:w="60" w:type="dxa"/>
              <w:start w:w="110" w:type="dxa"/>
              <w:end w:w="110" w:type="dxa"/>
            </w:tcMar>
            <w:shd w:val="clear" w:color="auto" w:fill="0B3D2E"/>
            <w:vAlign w:val="center"/>
          </w:tcPr>
          <w:p>
            <w:pPr>
              <w:spacing w:after="0" w:before="0"/>
              <w:jc w:val="left"/>
            </w:pPr>
            <w:r/>
            <w:r>
              <w:rPr>
                <w:rFonts w:ascii="Calibri" w:hAnsi="Calibri"/>
                <w:b/>
                <w:i w:val="0"/>
                <w:color w:val="FFFFFF"/>
                <w:sz w:val="19"/>
              </w:rPr>
              <w:t>Equity value — CEC SPV</w:t>
            </w:r>
          </w:p>
        </w:tc>
        <w:tc>
          <w:tcPr>
            <w:tcW w:type="dxa" w:w="3175"/>
            <w:tcMar>
              <w:top w:w="60" w:type="dxa"/>
              <w:bottom w:w="60" w:type="dxa"/>
              <w:start w:w="110" w:type="dxa"/>
              <w:end w:w="110" w:type="dxa"/>
            </w:tcMar>
            <w:shd w:val="clear" w:color="auto" w:fill="0B3D2E"/>
            <w:vAlign w:val="center"/>
          </w:tcPr>
          <w:p>
            <w:pPr>
              <w:spacing w:after="0" w:before="0"/>
              <w:jc w:val="left"/>
            </w:pPr>
            <w:r/>
          </w:p>
        </w:tc>
        <w:tc>
          <w:tcPr>
            <w:tcW w:type="dxa" w:w="1474"/>
            <w:tcMar>
              <w:top w:w="60" w:type="dxa"/>
              <w:bottom w:w="60" w:type="dxa"/>
              <w:start w:w="110" w:type="dxa"/>
              <w:end w:w="110" w:type="dxa"/>
            </w:tcMar>
            <w:shd w:val="clear" w:color="auto" w:fill="0B3D2E"/>
            <w:vAlign w:val="center"/>
          </w:tcPr>
          <w:p>
            <w:pPr>
              <w:spacing w:after="0" w:before="0"/>
              <w:jc w:val="right"/>
            </w:pPr>
            <w:r/>
            <w:r>
              <w:rPr>
                <w:rFonts w:ascii="Calibri" w:hAnsi="Calibri"/>
                <w:b/>
                <w:i w:val="0"/>
                <w:color w:val="FFFFFF"/>
                <w:sz w:val="19"/>
              </w:rPr>
              <w:t>220</w:t>
            </w:r>
          </w:p>
        </w:tc>
        <w:tc>
          <w:tcPr>
            <w:tcW w:type="dxa" w:w="1247"/>
            <w:tcMar>
              <w:top w:w="60" w:type="dxa"/>
              <w:bottom w:w="60" w:type="dxa"/>
              <w:start w:w="110" w:type="dxa"/>
              <w:end w:w="110" w:type="dxa"/>
            </w:tcMar>
            <w:shd w:val="clear" w:color="auto" w:fill="0B3D2E"/>
            <w:vAlign w:val="center"/>
          </w:tcPr>
          <w:p>
            <w:pPr>
              <w:spacing w:after="0" w:before="0"/>
              <w:jc w:val="right"/>
            </w:pPr>
            <w:r/>
            <w:r>
              <w:rPr>
                <w:rFonts w:ascii="Calibri" w:hAnsi="Calibri"/>
                <w:b/>
                <w:i w:val="0"/>
                <w:color w:val="FFFFFF"/>
                <w:sz w:val="19"/>
              </w:rPr>
              <w:t>100%</w:t>
            </w:r>
          </w:p>
        </w:tc>
      </w:tr>
    </w:tbl>
    <w:p>
      <w:pPr>
        <w:spacing w:before="40" w:after="160"/>
      </w:pPr>
      <w:r>
        <w:rPr>
          <w:rFonts w:ascii="Calibri" w:hAnsi="Calibri"/>
          <w:i/>
          <w:color w:val="5B6670"/>
          <w:sz w:val="16"/>
        </w:rPr>
        <w:t>Net-debt / cash bridge assumed ≈ nil at SPV level [CONFIRM]. Figures rounded; see Section 8 waterfall.</w:t>
      </w:r>
    </w:p>
    <w:p>
      <w:pPr>
        <w:keepNext/>
        <w:spacing w:before="160" w:after="40"/>
      </w:pPr>
      <w:r>
        <w:rPr>
          <w:rFonts w:ascii="Georgia" w:hAnsi="Georgia"/>
          <w:b/>
          <w:color w:val="1F2A33"/>
          <w:sz w:val="23"/>
        </w:rPr>
        <w:t>Why this survives interrogation</w:t>
      </w:r>
    </w:p>
    <w:p>
      <w:pPr>
        <w:pStyle w:val="ListBullet"/>
        <w:spacing w:after="60"/>
      </w:pPr>
      <w:r>
        <w:rPr>
          <w:rFonts w:ascii="Calibri" w:hAnsi="Calibri"/>
          <w:b/>
          <w:color w:val="0B3D2E"/>
          <w:sz w:val="21"/>
        </w:rPr>
        <w:t xml:space="preserve">Defended, not declared:  </w:t>
      </w:r>
      <w:r>
        <w:rPr>
          <w:rFonts w:ascii="Calibri" w:hAnsi="Calibri"/>
          <w:color w:val="1F2A33"/>
          <w:sz w:val="21"/>
        </w:rPr>
        <w:t>the 30% is triangulated by three independent methods (cost, relief-from-royalty, market comparables) that converge — not asserted (Section 6).</w:t>
      </w:r>
    </w:p>
    <w:p>
      <w:pPr>
        <w:pStyle w:val="ListBullet"/>
        <w:spacing w:after="60"/>
      </w:pPr>
      <w:r>
        <w:rPr>
          <w:rFonts w:ascii="Calibri" w:hAnsi="Calibri"/>
          <w:b/>
          <w:color w:val="0B3D2E"/>
          <w:sz w:val="21"/>
        </w:rPr>
        <w:t xml:space="preserve">Bottom-up:  </w:t>
      </w:r>
      <w:r>
        <w:rPr>
          <w:rFonts w:ascii="Calibri" w:hAnsi="Calibri"/>
          <w:color w:val="1F2A33"/>
          <w:sz w:val="21"/>
        </w:rPr>
        <w:t>each vertical is valued on its own cash flows, cross-checked against market multiples (Section 5).</w:t>
      </w:r>
    </w:p>
    <w:p>
      <w:pPr>
        <w:pStyle w:val="ListBullet"/>
        <w:spacing w:after="60"/>
      </w:pPr>
      <w:r>
        <w:rPr>
          <w:rFonts w:ascii="Calibri" w:hAnsi="Calibri"/>
          <w:b/>
          <w:color w:val="0B3D2E"/>
          <w:sz w:val="21"/>
        </w:rPr>
        <w:t xml:space="preserve">Provenance-backed:  </w:t>
      </w:r>
      <w:r>
        <w:rPr>
          <w:rFonts w:ascii="Calibri" w:hAnsi="Calibri"/>
          <w:color w:val="1F2A33"/>
          <w:sz w:val="21"/>
        </w:rPr>
        <w:t>the 80/20 split rests on a contribution analysis and the underlying IP transfer/licence basis (Section 7).</w:t>
      </w:r>
    </w:p>
    <w:p>
      <w:pPr>
        <w:pStyle w:val="ListBullet"/>
        <w:spacing w:after="60"/>
      </w:pPr>
      <w:r>
        <w:rPr>
          <w:rFonts w:ascii="Calibri" w:hAnsi="Calibri"/>
          <w:b/>
          <w:color w:val="0B3D2E"/>
          <w:sz w:val="21"/>
        </w:rPr>
        <w:t xml:space="preserve">Stress-tested:  </w:t>
      </w:r>
      <w:r>
        <w:rPr>
          <w:rFonts w:ascii="Calibri" w:hAnsi="Calibri"/>
          <w:color w:val="1F2A33"/>
          <w:sz w:val="21"/>
        </w:rPr>
        <w:t>a downside case is presented alongside the base case, with the value band stated explicitly (Section 8).</w:t>
      </w:r>
    </w:p>
    <w:p>
      <w:r>
        <w:br w:type="page"/>
      </w:r>
    </w:p>
    <w:p>
      <w:pPr>
        <w:spacing w:after="40"/>
      </w:pPr>
    </w:p>
    <w:p>
      <w:pPr>
        <w:keepNext/>
        <w:spacing w:before="200" w:after="40"/>
      </w:pPr>
      <w:r>
        <w:rPr>
          <w:rFonts w:ascii="Georgia" w:hAnsi="Georgia"/>
          <w:b/>
          <w:color w:val="C9A227"/>
          <w:sz w:val="30"/>
        </w:rPr>
        <w:t xml:space="preserve">3.  </w:t>
      </w:r>
      <w:r>
        <w:rPr>
          <w:rFonts w:ascii="Georgia" w:hAnsi="Georgia"/>
          <w:b/>
          <w:color w:val="0B3D2E"/>
          <w:sz w:val="30"/>
        </w:rPr>
        <w:t>The entity &amp; contributor structure</w:t>
      </w:r>
    </w:p>
    <w:p>
      <w:pPr>
        <w:spacing w:after="120"/>
        <w:pBdr>
          <w:bottom w:val="single" w:sz="6" w:space="1" w:color="C9A227"/>
        </w:pBdr>
      </w:pPr>
    </w:p>
    <w:p>
      <w:pPr>
        <w:spacing w:after="120" w:before="0"/>
        <w:jc w:val="both"/>
      </w:pPr>
      <w:r>
        <w:rPr>
          <w:rFonts w:ascii="Calibri" w:hAnsi="Calibri"/>
          <w:b w:val="0"/>
          <w:i w:val="0"/>
          <w:color w:val="1F2A33"/>
          <w:sz w:val="21"/>
        </w:rPr>
        <w:t>CEC is structured as an SPV so that each contributor’s asset is ring-fenced, valued on its merits, and combined into a single equity story. The SPV is the holder of the combined soft IP and the contracting party for the three operating verticals.</w:t>
      </w:r>
    </w:p>
    <w:p>
      <w:pPr>
        <w:keepNext/>
        <w:spacing w:before="160" w:after="40"/>
      </w:pPr>
      <w:r>
        <w:rPr>
          <w:rFonts w:ascii="Georgia" w:hAnsi="Georgia"/>
          <w:b/>
          <w:color w:val="1F2A33"/>
          <w:sz w:val="23"/>
        </w:rPr>
        <w:t>Contributors and what each brings</w:t>
      </w:r>
    </w:p>
    <w:tbl>
      <w:tblPr>
        <w:tblW w:type="auto" w:w="0"/>
        <w:jc w:val="center"/>
        <w:tblLook w:firstColumn="1" w:firstRow="1" w:lastColumn="0" w:lastRow="0" w:noHBand="0" w:noVBand="1" w:val="04A0"/>
        <w:tblBorders>
          <w:top w:val="single" w:sz="4" w:space="0" w:color="D9E2DD"/>
          <w:bottom w:val="single" w:sz="4" w:space="0" w:color="D9E2DD"/>
          <w:insideH w:val="single" w:sz="4" w:space="0" w:color="D9E2DD"/>
          <w:left w:val="none"/>
          <w:right w:val="none"/>
          <w:insideV w:val="none"/>
        </w:tblBorders>
      </w:tblPr>
      <w:tblGrid>
        <w:gridCol w:w="2408"/>
        <w:gridCol w:w="2408"/>
        <w:gridCol w:w="2408"/>
        <w:gridCol w:w="2408"/>
      </w:tblGrid>
      <w:tr>
        <w:tc>
          <w:tcPr>
            <w:tcW w:type="dxa" w:w="1814"/>
            <w:shd w:val="clear" w:color="auto" w:fill="0B3D2E"/>
            <w:tcMar>
              <w:top w:w="60" w:type="dxa"/>
              <w:bottom w:w="60" w:type="dxa"/>
              <w:start w:w="110" w:type="dxa"/>
              <w:end w:w="110" w:type="dxa"/>
            </w:tcMar>
            <w:vAlign w:val="center"/>
          </w:tcPr>
          <w:p>
            <w:pPr>
              <w:spacing w:after="0" w:before="0"/>
              <w:jc w:val="left"/>
            </w:pPr>
            <w:r/>
            <w:r>
              <w:rPr>
                <w:rFonts w:ascii="Georgia" w:hAnsi="Georgia"/>
                <w:b/>
                <w:i w:val="0"/>
                <w:color w:val="FFFFFF"/>
                <w:sz w:val="19"/>
              </w:rPr>
              <w:t>Contributor</w:t>
            </w:r>
          </w:p>
        </w:tc>
        <w:tc>
          <w:tcPr>
            <w:tcW w:type="dxa" w:w="4082"/>
            <w:shd w:val="clear" w:color="auto" w:fill="0B3D2E"/>
            <w:tcMar>
              <w:top w:w="60" w:type="dxa"/>
              <w:bottom w:w="60" w:type="dxa"/>
              <w:start w:w="110" w:type="dxa"/>
              <w:end w:w="110" w:type="dxa"/>
            </w:tcMar>
            <w:vAlign w:val="center"/>
          </w:tcPr>
          <w:p>
            <w:pPr>
              <w:spacing w:after="0" w:before="0"/>
              <w:jc w:val="left"/>
            </w:pPr>
            <w:r/>
            <w:r>
              <w:rPr>
                <w:rFonts w:ascii="Georgia" w:hAnsi="Georgia"/>
                <w:b/>
                <w:i w:val="0"/>
                <w:color w:val="FFFFFF"/>
                <w:sz w:val="19"/>
              </w:rPr>
              <w:t>Primary contribution</w:t>
            </w:r>
          </w:p>
        </w:tc>
        <w:tc>
          <w:tcPr>
            <w:tcW w:type="dxa" w:w="2268"/>
            <w:shd w:val="clear" w:color="auto" w:fill="0B3D2E"/>
            <w:tcMar>
              <w:top w:w="60" w:type="dxa"/>
              <w:bottom w:w="60" w:type="dxa"/>
              <w:start w:w="110" w:type="dxa"/>
              <w:end w:w="110" w:type="dxa"/>
            </w:tcMar>
            <w:vAlign w:val="center"/>
          </w:tcPr>
          <w:p>
            <w:pPr>
              <w:spacing w:after="0" w:before="0"/>
              <w:jc w:val="left"/>
            </w:pPr>
            <w:r/>
            <w:r>
              <w:rPr>
                <w:rFonts w:ascii="Georgia" w:hAnsi="Georgia"/>
                <w:b/>
                <w:i w:val="0"/>
                <w:color w:val="FFFFFF"/>
                <w:sz w:val="19"/>
              </w:rPr>
              <w:t>Feeds vertical(s)</w:t>
            </w:r>
          </w:p>
        </w:tc>
        <w:tc>
          <w:tcPr>
            <w:tcW w:type="dxa" w:w="1134"/>
            <w:shd w:val="clear" w:color="auto" w:fill="0B3D2E"/>
            <w:tcMar>
              <w:top w:w="60" w:type="dxa"/>
              <w:bottom w:w="60" w:type="dxa"/>
              <w:start w:w="110" w:type="dxa"/>
              <w:end w:w="110" w:type="dxa"/>
            </w:tcMar>
            <w:vAlign w:val="center"/>
          </w:tcPr>
          <w:p>
            <w:pPr>
              <w:spacing w:after="0" w:before="0"/>
              <w:jc w:val="center"/>
            </w:pPr>
            <w:r/>
            <w:r>
              <w:rPr>
                <w:rFonts w:ascii="Georgia" w:hAnsi="Georgia"/>
                <w:b/>
                <w:i w:val="0"/>
                <w:color w:val="FFFFFF"/>
                <w:sz w:val="19"/>
              </w:rPr>
              <w:t>Soft-IP share</w:t>
            </w:r>
          </w:p>
        </w:tc>
      </w:tr>
      <w:tr>
        <w:tc>
          <w:tcPr>
            <w:tcW w:type="dxa" w:w="1814"/>
            <w:tcMar>
              <w:top w:w="60" w:type="dxa"/>
              <w:bottom w:w="60" w:type="dxa"/>
              <w:start w:w="110" w:type="dxa"/>
              <w:end w:w="110" w:type="dxa"/>
            </w:tcMar>
            <w:vAlign w:val="center"/>
          </w:tcPr>
          <w:p>
            <w:pPr>
              <w:spacing w:after="0" w:before="0"/>
              <w:jc w:val="left"/>
            </w:pPr>
            <w:r/>
            <w:r>
              <w:rPr>
                <w:rFonts w:ascii="Calibri" w:hAnsi="Calibri"/>
                <w:b/>
                <w:i w:val="0"/>
                <w:color w:val="1F2A33"/>
                <w:sz w:val="19"/>
              </w:rPr>
              <w:t>GONXT</w:t>
            </w:r>
          </w:p>
        </w:tc>
        <w:tc>
          <w:tcPr>
            <w:tcW w:type="dxa" w:w="4082"/>
            <w:tcMar>
              <w:top w:w="60" w:type="dxa"/>
              <w:bottom w:w="60" w:type="dxa"/>
              <w:start w:w="110" w:type="dxa"/>
              <w:end w:w="110" w:type="dxa"/>
            </w:tcMar>
            <w:vAlign w:val="center"/>
          </w:tcPr>
          <w:p>
            <w:pPr>
              <w:spacing w:after="0" w:before="0"/>
              <w:jc w:val="left"/>
            </w:pPr>
            <w:r/>
            <w:r>
              <w:rPr>
                <w:rFonts w:ascii="Calibri" w:hAnsi="Calibri"/>
                <w:b w:val="0"/>
                <w:i w:val="0"/>
                <w:color w:val="1F2A33"/>
                <w:sz w:val="19"/>
              </w:rPr>
              <w:t>AI / trading &amp; optimisation platform; delivery technology</w:t>
            </w:r>
          </w:p>
        </w:tc>
        <w:tc>
          <w:tcPr>
            <w:tcW w:type="dxa" w:w="2268"/>
            <w:tcMar>
              <w:top w:w="60" w:type="dxa"/>
              <w:bottom w:w="60" w:type="dxa"/>
              <w:start w:w="110" w:type="dxa"/>
              <w:end w:w="110" w:type="dxa"/>
            </w:tcMar>
            <w:vAlign w:val="center"/>
          </w:tcPr>
          <w:p>
            <w:pPr>
              <w:spacing w:after="0" w:before="0"/>
              <w:jc w:val="left"/>
            </w:pPr>
            <w:r/>
            <w:r>
              <w:rPr>
                <w:rFonts w:ascii="Calibri" w:hAnsi="Calibri"/>
                <w:b w:val="0"/>
                <w:i w:val="0"/>
                <w:color w:val="1F2A33"/>
                <w:sz w:val="19"/>
              </w:rPr>
              <w:t>All three (platform layer)</w:t>
            </w:r>
          </w:p>
        </w:tc>
        <w:tc>
          <w:tcPr>
            <w:tcW w:type="dxa" w:w="1134"/>
            <w:tcMar>
              <w:top w:w="60" w:type="dxa"/>
              <w:bottom w:w="60" w:type="dxa"/>
              <w:start w:w="110" w:type="dxa"/>
              <w:end w:w="110" w:type="dxa"/>
            </w:tcMar>
            <w:vAlign w:val="center"/>
          </w:tcPr>
          <w:p>
            <w:pPr>
              <w:spacing w:after="0" w:before="0"/>
              <w:jc w:val="center"/>
            </w:pPr>
            <w:r/>
            <w:r>
              <w:rPr>
                <w:rFonts w:ascii="Calibri" w:hAnsi="Calibri"/>
                <w:b w:val="0"/>
                <w:i w:val="0"/>
                <w:color w:val="1F2A33"/>
                <w:sz w:val="19"/>
              </w:rPr>
              <w:t>Platform host</w:t>
            </w:r>
          </w:p>
        </w:tc>
      </w:tr>
      <w:tr>
        <w:tc>
          <w:tcPr>
            <w:tcW w:type="dxa" w:w="1814"/>
            <w:tcMar>
              <w:top w:w="60" w:type="dxa"/>
              <w:bottom w:w="60" w:type="dxa"/>
              <w:start w:w="110" w:type="dxa"/>
              <w:end w:w="110" w:type="dxa"/>
            </w:tcMar>
            <w:shd w:val="clear" w:color="auto" w:fill="F5F8F6"/>
            <w:vAlign w:val="center"/>
          </w:tcPr>
          <w:p>
            <w:pPr>
              <w:spacing w:after="0" w:before="0"/>
              <w:jc w:val="left"/>
            </w:pPr>
            <w:r/>
            <w:r>
              <w:rPr>
                <w:rFonts w:ascii="Calibri" w:hAnsi="Calibri"/>
                <w:b/>
                <w:i w:val="0"/>
                <w:color w:val="1F2A33"/>
                <w:sz w:val="19"/>
              </w:rPr>
              <w:t>LTM Energy Group</w:t>
            </w:r>
          </w:p>
        </w:tc>
        <w:tc>
          <w:tcPr>
            <w:tcW w:type="dxa" w:w="4082"/>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Conduit-hydropower generation, O&amp;M &amp; energy-structuring IP</w:t>
            </w:r>
          </w:p>
        </w:tc>
        <w:tc>
          <w:tcPr>
            <w:tcW w:type="dxa" w:w="2268"/>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O&amp;M; ESCO</w:t>
            </w:r>
          </w:p>
        </w:tc>
        <w:tc>
          <w:tcPr>
            <w:tcW w:type="dxa" w:w="1134"/>
            <w:tcMar>
              <w:top w:w="60" w:type="dxa"/>
              <w:bottom w:w="60" w:type="dxa"/>
              <w:start w:w="110" w:type="dxa"/>
              <w:end w:w="110" w:type="dxa"/>
            </w:tcMar>
            <w:shd w:val="clear" w:color="auto" w:fill="F5F8F6"/>
            <w:vAlign w:val="center"/>
          </w:tcPr>
          <w:p>
            <w:pPr>
              <w:spacing w:after="0" w:before="0"/>
              <w:jc w:val="center"/>
            </w:pPr>
            <w:r/>
            <w:r>
              <w:rPr>
                <w:rFonts w:ascii="Calibri" w:hAnsi="Calibri"/>
                <w:b w:val="0"/>
                <w:i w:val="0"/>
                <w:color w:val="1F2A33"/>
                <w:sz w:val="19"/>
              </w:rPr>
              <w:t>80%</w:t>
            </w:r>
          </w:p>
        </w:tc>
      </w:tr>
      <w:tr>
        <w:tc>
          <w:tcPr>
            <w:tcW w:type="dxa" w:w="1814"/>
            <w:tcMar>
              <w:top w:w="60" w:type="dxa"/>
              <w:bottom w:w="60" w:type="dxa"/>
              <w:start w:w="110" w:type="dxa"/>
              <w:end w:w="110" w:type="dxa"/>
            </w:tcMar>
            <w:vAlign w:val="center"/>
          </w:tcPr>
          <w:p>
            <w:pPr>
              <w:spacing w:after="0" w:before="0"/>
              <w:jc w:val="left"/>
            </w:pPr>
            <w:r/>
            <w:r>
              <w:rPr>
                <w:rFonts w:ascii="Calibri" w:hAnsi="Calibri"/>
                <w:b/>
                <w:i w:val="0"/>
                <w:color w:val="1F2A33"/>
                <w:sz w:val="19"/>
              </w:rPr>
              <w:t>Stella’s Edge</w:t>
            </w:r>
          </w:p>
        </w:tc>
        <w:tc>
          <w:tcPr>
            <w:tcW w:type="dxa" w:w="4082"/>
            <w:tcMar>
              <w:top w:w="60" w:type="dxa"/>
              <w:bottom w:w="60" w:type="dxa"/>
              <w:start w:w="110" w:type="dxa"/>
              <w:end w:w="110" w:type="dxa"/>
            </w:tcMar>
            <w:vAlign w:val="center"/>
          </w:tcPr>
          <w:p>
            <w:pPr>
              <w:spacing w:after="0" w:before="0"/>
              <w:jc w:val="left"/>
            </w:pPr>
            <w:r/>
            <w:r>
              <w:rPr>
                <w:rFonts w:ascii="Calibri" w:hAnsi="Calibri"/>
                <w:b w:val="0"/>
                <w:i w:val="0"/>
                <w:color w:val="1F2A33"/>
                <w:sz w:val="19"/>
              </w:rPr>
              <w:t>Investment-finance, capital &amp; structuring IP</w:t>
            </w:r>
          </w:p>
        </w:tc>
        <w:tc>
          <w:tcPr>
            <w:tcW w:type="dxa" w:w="2268"/>
            <w:tcMar>
              <w:top w:w="60" w:type="dxa"/>
              <w:bottom w:w="60" w:type="dxa"/>
              <w:start w:w="110" w:type="dxa"/>
              <w:end w:w="110" w:type="dxa"/>
            </w:tcMar>
            <w:vAlign w:val="center"/>
          </w:tcPr>
          <w:p>
            <w:pPr>
              <w:spacing w:after="0" w:before="0"/>
              <w:jc w:val="left"/>
            </w:pPr>
            <w:r/>
            <w:r>
              <w:rPr>
                <w:rFonts w:ascii="Calibri" w:hAnsi="Calibri"/>
                <w:b w:val="0"/>
                <w:i w:val="0"/>
                <w:color w:val="1F2A33"/>
                <w:sz w:val="19"/>
              </w:rPr>
              <w:t>Investment-Finance</w:t>
            </w:r>
          </w:p>
        </w:tc>
        <w:tc>
          <w:tcPr>
            <w:tcW w:type="dxa" w:w="1134"/>
            <w:tcMar>
              <w:top w:w="60" w:type="dxa"/>
              <w:bottom w:w="60" w:type="dxa"/>
              <w:start w:w="110" w:type="dxa"/>
              <w:end w:w="110" w:type="dxa"/>
            </w:tcMar>
            <w:vAlign w:val="center"/>
          </w:tcPr>
          <w:p>
            <w:pPr>
              <w:spacing w:after="0" w:before="0"/>
              <w:jc w:val="center"/>
            </w:pPr>
            <w:r/>
            <w:r>
              <w:rPr>
                <w:rFonts w:ascii="Calibri" w:hAnsi="Calibri"/>
                <w:b w:val="0"/>
                <w:i w:val="0"/>
                <w:color w:val="1F2A33"/>
                <w:sz w:val="19"/>
              </w:rPr>
              <w:t>20%</w:t>
            </w:r>
          </w:p>
        </w:tc>
      </w:tr>
    </w:tbl>
    <w:p>
      <w:pPr>
        <w:spacing w:before="40" w:after="160"/>
      </w:pPr>
      <w:r>
        <w:rPr>
          <w:rFonts w:ascii="Calibri" w:hAnsi="Calibri"/>
          <w:i/>
          <w:color w:val="5B6670"/>
          <w:sz w:val="16"/>
        </w:rPr>
        <w:t>GONXT contributes the platform on which LTM’s and Stella’s Edge’s soft IP is operationalised; the 80/20 provenance split (Section 7) refers to the value-bearing soft IP that creates the 30% premium.</w:t>
      </w:r>
    </w:p>
    <w:p>
      <w:pPr>
        <w:keepNext/>
        <w:spacing w:before="160" w:after="40"/>
      </w:pPr>
      <w:r>
        <w:rPr>
          <w:rFonts w:ascii="Georgia" w:hAnsi="Georgia"/>
          <w:b/>
          <w:color w:val="1F2A33"/>
          <w:sz w:val="23"/>
        </w:rPr>
        <w:t>How value flows</w:t>
      </w:r>
    </w:p>
    <w:p>
      <w:pPr>
        <w:spacing w:after="120" w:before="0"/>
        <w:jc w:val="both"/>
      </w:pPr>
      <w:r>
        <w:rPr>
          <w:rFonts w:ascii="Calibri" w:hAnsi="Calibri"/>
          <w:b w:val="0"/>
          <w:i w:val="0"/>
          <w:color w:val="1F2A33"/>
          <w:sz w:val="21"/>
        </w:rPr>
        <w:t>Each contributor’s know-how is embedded into the GONXT platform and deployed across the verticals. The platform converts static know-how into a scalable, repeatable, margin-bearing service — which is precisely why the combined intangible is worth more inside CEC than the sum of the parts held separately. This “combination premium” is the economic justification for the SPV and for the soft-IP value in Section 6.</w:t>
      </w:r>
    </w:p>
    <w:p>
      <w:r>
        <w:br w:type="page"/>
      </w:r>
    </w:p>
    <w:p>
      <w:pPr>
        <w:spacing w:after="40"/>
      </w:pPr>
    </w:p>
    <w:p>
      <w:pPr>
        <w:keepNext/>
        <w:spacing w:before="200" w:after="40"/>
      </w:pPr>
      <w:r>
        <w:rPr>
          <w:rFonts w:ascii="Georgia" w:hAnsi="Georgia"/>
          <w:b/>
          <w:color w:val="C9A227"/>
          <w:sz w:val="30"/>
        </w:rPr>
        <w:t xml:space="preserve">4.  </w:t>
      </w:r>
      <w:r>
        <w:rPr>
          <w:rFonts w:ascii="Georgia" w:hAnsi="Georgia"/>
          <w:b/>
          <w:color w:val="0B3D2E"/>
          <w:sz w:val="30"/>
        </w:rPr>
        <w:t>Valuation methodology</w:t>
      </w:r>
    </w:p>
    <w:p>
      <w:pPr>
        <w:spacing w:after="120"/>
        <w:pBdr>
          <w:bottom w:val="single" w:sz="6" w:space="1" w:color="C9A227"/>
        </w:pBdr>
      </w:pPr>
    </w:p>
    <w:p>
      <w:pPr>
        <w:spacing w:after="120" w:before="0"/>
        <w:jc w:val="both"/>
      </w:pPr>
      <w:r>
        <w:rPr>
          <w:rFonts w:ascii="Calibri" w:hAnsi="Calibri"/>
          <w:b w:val="0"/>
          <w:i w:val="0"/>
          <w:color w:val="1F2A33"/>
          <w:sz w:val="21"/>
        </w:rPr>
        <w:t>Three recognised approaches are used. No single approach is relied upon alone; the headline is the point at which they reconcile. This is the standard expectation of an investor, an auditor, or SARS in an intangible-asset matter.</w:t>
      </w:r>
    </w:p>
    <w:p>
      <w:pPr>
        <w:keepNext/>
        <w:spacing w:before="160" w:after="40"/>
      </w:pPr>
      <w:r>
        <w:rPr>
          <w:rFonts w:ascii="Georgia" w:hAnsi="Georgia"/>
          <w:b/>
          <w:color w:val="1F2A33"/>
          <w:sz w:val="23"/>
        </w:rPr>
        <w:t>4.1  Income approach (primary)</w:t>
      </w:r>
    </w:p>
    <w:p>
      <w:pPr>
        <w:spacing w:after="120" w:before="0"/>
        <w:jc w:val="both"/>
      </w:pPr>
      <w:r>
        <w:rPr>
          <w:rFonts w:ascii="Calibri" w:hAnsi="Calibri"/>
          <w:b w:val="0"/>
          <w:i w:val="0"/>
          <w:color w:val="1F2A33"/>
          <w:sz w:val="21"/>
        </w:rPr>
        <w:t>Each operating vertical is valued on the present value of its expected future cash flows (discounted cash flow), cross-checked against an EBITDA multiple appropriate to its risk and growth. This is the primary method for the operating-business value (Section 5).</w:t>
      </w:r>
    </w:p>
    <w:p>
      <w:pPr>
        <w:keepNext/>
        <w:spacing w:before="160" w:after="40"/>
      </w:pPr>
      <w:r>
        <w:rPr>
          <w:rFonts w:ascii="Georgia" w:hAnsi="Georgia"/>
          <w:b/>
          <w:color w:val="1F2A33"/>
          <w:sz w:val="23"/>
        </w:rPr>
        <w:t>4.2  Market approach (cross-check)</w:t>
      </w:r>
    </w:p>
    <w:p>
      <w:pPr>
        <w:spacing w:after="120" w:before="0"/>
        <w:jc w:val="both"/>
      </w:pPr>
      <w:r>
        <w:rPr>
          <w:rFonts w:ascii="Calibri" w:hAnsi="Calibri"/>
          <w:b w:val="0"/>
          <w:i w:val="0"/>
          <w:color w:val="1F2A33"/>
          <w:sz w:val="21"/>
        </w:rPr>
        <w:t>Enterprise values of comparable energy-services, climate-tech and platform businesses are used to sense-check both the vertical multiples and the proportion of enterprise value that the market typically ascribes to intangible / IP assets (commonly 25–40% for asset-light, IP-rich energy-and-platform plays). CEC’s 30% sits mid-range.</w:t>
      </w:r>
    </w:p>
    <w:p>
      <w:pPr>
        <w:keepNext/>
        <w:spacing w:before="160" w:after="40"/>
      </w:pPr>
      <w:r>
        <w:rPr>
          <w:rFonts w:ascii="Georgia" w:hAnsi="Georgia"/>
          <w:b/>
          <w:color w:val="1F2A33"/>
          <w:sz w:val="23"/>
        </w:rPr>
        <w:t>4.3  Cost approach (floor)</w:t>
      </w:r>
    </w:p>
    <w:p>
      <w:pPr>
        <w:spacing w:after="120" w:before="0"/>
        <w:jc w:val="both"/>
      </w:pPr>
      <w:r>
        <w:rPr>
          <w:rFonts w:ascii="Calibri" w:hAnsi="Calibri"/>
          <w:b w:val="0"/>
          <w:i w:val="0"/>
          <w:color w:val="1F2A33"/>
          <w:sz w:val="21"/>
        </w:rPr>
        <w:t>The cost to recreate the soft IP — platform build, engineering know-how, and methodology development — sets a defensible floor for the intangible value and is one of the three inputs to the 30% triangulation (Section 6).</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02"/>
        <w:gridCol w:w="9298"/>
      </w:tblGrid>
      <w:tr>
        <w:tc>
          <w:tcPr>
            <w:tcW w:type="dxa" w:w="4816"/>
            <w:shd w:val="clear" w:color="auto" w:fill="125E45"/>
          </w:tcPr>
          <w:p>
            <w:r/>
          </w:p>
        </w:tc>
        <w:tc>
          <w:tcPr>
            <w:tcW w:type="dxa" w:w="4816"/>
            <w:shd w:val="clear" w:color="auto" w:fill="ECF1EE"/>
            <w:tcMar>
              <w:top w:w="120" w:type="dxa"/>
              <w:bottom w:w="120" w:type="dxa"/>
              <w:start w:w="200" w:type="dxa"/>
              <w:end w:w="200" w:type="dxa"/>
            </w:tcMar>
          </w:tcPr>
          <w:p>
            <w:pPr>
              <w:spacing w:after="40"/>
            </w:pPr>
            <w:r/>
            <w:r>
              <w:rPr>
                <w:rFonts w:ascii="Georgia" w:hAnsi="Georgia"/>
                <w:b/>
                <w:color w:val="125E45"/>
                <w:sz w:val="21"/>
              </w:rPr>
              <w:t>Discount rate</w:t>
            </w:r>
          </w:p>
          <w:p>
            <w:pPr>
              <w:spacing w:after="0"/>
            </w:pPr>
            <w:r>
              <w:rPr>
                <w:rFonts w:ascii="Calibri" w:hAnsi="Calibri"/>
                <w:color w:val="1F2A33"/>
                <w:sz w:val="20"/>
              </w:rPr>
              <w:t>Operating verticals discounted at a WACC of [CONFIRM]% (illustratively 18%, reflecting an early-stage South African energy/tech SPV: risk-free ≈ 10–11%, equity risk premium, plus size and execution premia). Soft-IP royalty streams discounted at a higher rate to reflect their greater risk. Sensitivity to the discount rate is shown in Section 8.</w:t>
            </w:r>
          </w:p>
        </w:tc>
      </w:tr>
    </w:tbl>
    <w:p>
      <w:pPr>
        <w:spacing w:after="40"/>
      </w:pPr>
    </w:p>
    <w:p>
      <w:r>
        <w:br w:type="page"/>
      </w:r>
    </w:p>
    <w:p>
      <w:pPr>
        <w:spacing w:after="40"/>
      </w:pPr>
    </w:p>
    <w:p>
      <w:pPr>
        <w:keepNext/>
        <w:spacing w:before="200" w:after="40"/>
      </w:pPr>
      <w:r>
        <w:rPr>
          <w:rFonts w:ascii="Georgia" w:hAnsi="Georgia"/>
          <w:b/>
          <w:color w:val="C9A227"/>
          <w:sz w:val="30"/>
        </w:rPr>
        <w:t xml:space="preserve">5.  </w:t>
      </w:r>
      <w:r>
        <w:rPr>
          <w:rFonts w:ascii="Georgia" w:hAnsi="Georgia"/>
          <w:b/>
          <w:color w:val="0B3D2E"/>
          <w:sz w:val="30"/>
        </w:rPr>
        <w:t>Operating-business value — the three verticals</w:t>
      </w:r>
    </w:p>
    <w:p>
      <w:pPr>
        <w:spacing w:after="120"/>
        <w:pBdr>
          <w:bottom w:val="single" w:sz="6" w:space="1" w:color="C9A227"/>
        </w:pBdr>
      </w:pPr>
    </w:p>
    <w:p>
      <w:pPr>
        <w:spacing w:after="120" w:before="0"/>
        <w:jc w:val="both"/>
      </w:pPr>
      <w:r>
        <w:rPr>
          <w:rFonts w:ascii="Calibri" w:hAnsi="Calibri"/>
          <w:b w:val="0"/>
          <w:i w:val="0"/>
          <w:color w:val="1F2A33"/>
          <w:sz w:val="21"/>
        </w:rPr>
        <w:t>The three verticals are valued bottom-up. The figures below are illustrative and flagged [CONFIRM]; they are constructed to be conservative and to reconcile to R154m of operating value. Replace each driver with the Company’s actuals to re-derive.</w:t>
      </w:r>
    </w:p>
    <w:p>
      <w:pPr>
        <w:keepNext/>
        <w:spacing w:before="160" w:after="40"/>
      </w:pPr>
      <w:r>
        <w:rPr>
          <w:rFonts w:ascii="Georgia" w:hAnsi="Georgia"/>
          <w:b/>
          <w:color w:val="1F2A33"/>
          <w:sz w:val="23"/>
        </w:rPr>
        <w:t>5.1  Operations &amp; Maintenance (O&amp;M)  —  ≈ R62m</w:t>
      </w:r>
    </w:p>
    <w:p>
      <w:pPr>
        <w:spacing w:after="120" w:before="0"/>
        <w:jc w:val="both"/>
      </w:pPr>
      <w:r>
        <w:rPr>
          <w:rFonts w:ascii="Calibri" w:hAnsi="Calibri"/>
          <w:b w:val="0"/>
          <w:i w:val="0"/>
          <w:color w:val="1F2A33"/>
          <w:sz w:val="21"/>
        </w:rPr>
        <w:t>Recurring fees for operating and maintaining generation assets (conduit-hydro and adjacent). Annuity-like, contracted, high-margin. AI drives availability, predictive maintenance and dispatch optimisation — lifting capacity factor and lowering opex.</w:t>
      </w:r>
    </w:p>
    <w:tbl>
      <w:tblPr>
        <w:tblW w:type="auto" w:w="0"/>
        <w:jc w:val="center"/>
        <w:tblLook w:firstColumn="1" w:firstRow="1" w:lastColumn="0" w:lastRow="0" w:noHBand="0" w:noVBand="1" w:val="04A0"/>
        <w:tblBorders>
          <w:top w:val="single" w:sz="4" w:space="0" w:color="D9E2DD"/>
          <w:bottom w:val="single" w:sz="4" w:space="0" w:color="D9E2DD"/>
          <w:insideH w:val="single" w:sz="4" w:space="0" w:color="D9E2DD"/>
          <w:left w:val="none"/>
          <w:right w:val="none"/>
          <w:insideV w:val="none"/>
        </w:tblBorders>
      </w:tblPr>
      <w:tblGrid>
        <w:gridCol w:w="3211"/>
        <w:gridCol w:w="3211"/>
        <w:gridCol w:w="3211"/>
      </w:tblGrid>
      <w:tr>
        <w:tc>
          <w:tcPr>
            <w:tcW w:type="dxa" w:w="4195"/>
            <w:shd w:val="clear" w:color="auto" w:fill="0B3D2E"/>
            <w:tcMar>
              <w:top w:w="60" w:type="dxa"/>
              <w:bottom w:w="60" w:type="dxa"/>
              <w:start w:w="110" w:type="dxa"/>
              <w:end w:w="110" w:type="dxa"/>
            </w:tcMar>
            <w:vAlign w:val="center"/>
          </w:tcPr>
          <w:p>
            <w:pPr>
              <w:spacing w:after="0" w:before="0"/>
              <w:jc w:val="left"/>
            </w:pPr>
            <w:r/>
            <w:r>
              <w:rPr>
                <w:rFonts w:ascii="Georgia" w:hAnsi="Georgia"/>
                <w:b/>
                <w:i w:val="0"/>
                <w:color w:val="FFFFFF"/>
                <w:sz w:val="19"/>
              </w:rPr>
              <w:t>Driver (illustrative)</w:t>
            </w:r>
          </w:p>
        </w:tc>
        <w:tc>
          <w:tcPr>
            <w:tcW w:type="dxa" w:w="1928"/>
            <w:shd w:val="clear" w:color="auto" w:fill="0B3D2E"/>
            <w:tcMar>
              <w:top w:w="60" w:type="dxa"/>
              <w:bottom w:w="60" w:type="dxa"/>
              <w:start w:w="110" w:type="dxa"/>
              <w:end w:w="110" w:type="dxa"/>
            </w:tcMar>
            <w:vAlign w:val="center"/>
          </w:tcPr>
          <w:p>
            <w:pPr>
              <w:spacing w:after="0" w:before="0"/>
              <w:jc w:val="right"/>
            </w:pPr>
            <w:r/>
            <w:r>
              <w:rPr>
                <w:rFonts w:ascii="Georgia" w:hAnsi="Georgia"/>
                <w:b/>
                <w:i w:val="0"/>
                <w:color w:val="FFFFFF"/>
                <w:sz w:val="19"/>
              </w:rPr>
              <w:t>Value</w:t>
            </w:r>
          </w:p>
        </w:tc>
        <w:tc>
          <w:tcPr>
            <w:tcW w:type="dxa" w:w="3061"/>
            <w:shd w:val="clear" w:color="auto" w:fill="0B3D2E"/>
            <w:tcMar>
              <w:top w:w="60" w:type="dxa"/>
              <w:bottom w:w="60" w:type="dxa"/>
              <w:start w:w="110" w:type="dxa"/>
              <w:end w:w="110" w:type="dxa"/>
            </w:tcMar>
            <w:vAlign w:val="center"/>
          </w:tcPr>
          <w:p>
            <w:pPr>
              <w:spacing w:after="0" w:before="0"/>
              <w:jc w:val="left"/>
            </w:pPr>
            <w:r/>
            <w:r>
              <w:rPr>
                <w:rFonts w:ascii="Georgia" w:hAnsi="Georgia"/>
                <w:b/>
                <w:i w:val="0"/>
                <w:color w:val="FFFFFF"/>
                <w:sz w:val="19"/>
              </w:rPr>
              <w:t>Note</w:t>
            </w:r>
          </w:p>
        </w:tc>
      </w:tr>
      <w:tr>
        <w:tc>
          <w:tcPr>
            <w:tcW w:type="dxa" w:w="4195"/>
            <w:tcMar>
              <w:top w:w="60" w:type="dxa"/>
              <w:bottom w:w="60" w:type="dxa"/>
              <w:start w:w="110" w:type="dxa"/>
              <w:end w:w="110" w:type="dxa"/>
            </w:tcMar>
            <w:vAlign w:val="center"/>
          </w:tcPr>
          <w:p>
            <w:pPr>
              <w:spacing w:after="0" w:before="0"/>
              <w:jc w:val="left"/>
            </w:pPr>
            <w:r/>
            <w:r>
              <w:rPr>
                <w:rFonts w:ascii="Calibri" w:hAnsi="Calibri"/>
                <w:b/>
                <w:i w:val="0"/>
                <w:color w:val="1F2A33"/>
                <w:sz w:val="19"/>
              </w:rPr>
              <w:t>Contracted / serviceable capacity</w:t>
            </w:r>
          </w:p>
        </w:tc>
        <w:tc>
          <w:tcPr>
            <w:tcW w:type="dxa" w:w="1928"/>
            <w:tcMar>
              <w:top w:w="60" w:type="dxa"/>
              <w:bottom w:w="60" w:type="dxa"/>
              <w:start w:w="110" w:type="dxa"/>
              <w:end w:w="110" w:type="dxa"/>
            </w:tcMar>
            <w:vAlign w:val="center"/>
          </w:tcPr>
          <w:p>
            <w:pPr>
              <w:spacing w:after="0" w:before="0"/>
              <w:jc w:val="right"/>
            </w:pPr>
            <w:r/>
            <w:r>
              <w:rPr>
                <w:rFonts w:ascii="Calibri" w:hAnsi="Calibri"/>
                <w:b w:val="0"/>
                <w:i w:val="0"/>
                <w:color w:val="1F2A33"/>
                <w:sz w:val="19"/>
              </w:rPr>
              <w:t xml:space="preserve">10 MW </w:t>
            </w:r>
            <w:r>
              <w:rPr>
                <w:rFonts w:ascii="Calibri" w:hAnsi="Calibri"/>
                <w:b/>
                <w:color w:val="C9A227"/>
                <w:sz w:val="15"/>
              </w:rPr>
              <w:t>[CONFIRM]</w:t>
            </w:r>
          </w:p>
        </w:tc>
        <w:tc>
          <w:tcPr>
            <w:tcW w:type="dxa" w:w="3061"/>
            <w:tcMar>
              <w:top w:w="60" w:type="dxa"/>
              <w:bottom w:w="60" w:type="dxa"/>
              <w:start w:w="110" w:type="dxa"/>
              <w:end w:w="110" w:type="dxa"/>
            </w:tcMar>
            <w:vAlign w:val="center"/>
          </w:tcPr>
          <w:p>
            <w:pPr>
              <w:spacing w:after="0" w:before="0"/>
              <w:jc w:val="left"/>
            </w:pPr>
            <w:r/>
            <w:r>
              <w:rPr>
                <w:rFonts w:ascii="Calibri" w:hAnsi="Calibri"/>
                <w:b w:val="0"/>
                <w:i w:val="0"/>
                <w:color w:val="1F2A33"/>
                <w:sz w:val="19"/>
              </w:rPr>
              <w:t>Flagship conduit-hydro + adjacent assets</w:t>
            </w:r>
          </w:p>
        </w:tc>
      </w:tr>
      <w:tr>
        <w:tc>
          <w:tcPr>
            <w:tcW w:type="dxa" w:w="4195"/>
            <w:tcMar>
              <w:top w:w="60" w:type="dxa"/>
              <w:bottom w:w="60" w:type="dxa"/>
              <w:start w:w="110" w:type="dxa"/>
              <w:end w:w="110" w:type="dxa"/>
            </w:tcMar>
            <w:shd w:val="clear" w:color="auto" w:fill="F5F8F6"/>
            <w:vAlign w:val="center"/>
          </w:tcPr>
          <w:p>
            <w:pPr>
              <w:spacing w:after="0" w:before="0"/>
              <w:jc w:val="left"/>
            </w:pPr>
            <w:r/>
            <w:r>
              <w:rPr>
                <w:rFonts w:ascii="Calibri" w:hAnsi="Calibri"/>
                <w:b/>
                <w:i w:val="0"/>
                <w:color w:val="1F2A33"/>
                <w:sz w:val="19"/>
              </w:rPr>
              <w:t>O&amp;M revenue (steady-state, p.a.)</w:t>
            </w:r>
          </w:p>
        </w:tc>
        <w:tc>
          <w:tcPr>
            <w:tcW w:type="dxa" w:w="1928"/>
            <w:tcMar>
              <w:top w:w="60" w:type="dxa"/>
              <w:bottom w:w="60" w:type="dxa"/>
              <w:start w:w="110" w:type="dxa"/>
              <w:end w:w="110" w:type="dxa"/>
            </w:tcMar>
            <w:shd w:val="clear" w:color="auto" w:fill="F5F8F6"/>
            <w:vAlign w:val="center"/>
          </w:tcPr>
          <w:p>
            <w:pPr>
              <w:spacing w:after="0" w:before="0"/>
              <w:jc w:val="right"/>
            </w:pPr>
            <w:r/>
            <w:r>
              <w:rPr>
                <w:rFonts w:ascii="Calibri" w:hAnsi="Calibri"/>
                <w:b w:val="0"/>
                <w:i w:val="0"/>
                <w:color w:val="1F2A33"/>
                <w:sz w:val="19"/>
              </w:rPr>
              <w:t xml:space="preserve">R30m </w:t>
            </w:r>
            <w:r>
              <w:rPr>
                <w:rFonts w:ascii="Calibri" w:hAnsi="Calibri"/>
                <w:b/>
                <w:color w:val="C9A227"/>
                <w:sz w:val="15"/>
              </w:rPr>
              <w:t>[CONFIRM]</w:t>
            </w:r>
          </w:p>
        </w:tc>
        <w:tc>
          <w:tcPr>
            <w:tcW w:type="dxa" w:w="3061"/>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Fee-based, contracted</w:t>
            </w:r>
          </w:p>
        </w:tc>
      </w:tr>
      <w:tr>
        <w:tc>
          <w:tcPr>
            <w:tcW w:type="dxa" w:w="4195"/>
            <w:tcMar>
              <w:top w:w="60" w:type="dxa"/>
              <w:bottom w:w="60" w:type="dxa"/>
              <w:start w:w="110" w:type="dxa"/>
              <w:end w:w="110" w:type="dxa"/>
            </w:tcMar>
            <w:vAlign w:val="center"/>
          </w:tcPr>
          <w:p>
            <w:pPr>
              <w:spacing w:after="0" w:before="0"/>
              <w:jc w:val="left"/>
            </w:pPr>
            <w:r/>
            <w:r>
              <w:rPr>
                <w:rFonts w:ascii="Calibri" w:hAnsi="Calibri"/>
                <w:b/>
                <w:i w:val="0"/>
                <w:color w:val="1F2A33"/>
                <w:sz w:val="19"/>
              </w:rPr>
              <w:t>EBITDA margin</w:t>
            </w:r>
          </w:p>
        </w:tc>
        <w:tc>
          <w:tcPr>
            <w:tcW w:type="dxa" w:w="1928"/>
            <w:tcMar>
              <w:top w:w="60" w:type="dxa"/>
              <w:bottom w:w="60" w:type="dxa"/>
              <w:start w:w="110" w:type="dxa"/>
              <w:end w:w="110" w:type="dxa"/>
            </w:tcMar>
            <w:vAlign w:val="center"/>
          </w:tcPr>
          <w:p>
            <w:pPr>
              <w:spacing w:after="0" w:before="0"/>
              <w:jc w:val="right"/>
            </w:pPr>
            <w:r/>
            <w:r>
              <w:rPr>
                <w:rFonts w:ascii="Calibri" w:hAnsi="Calibri"/>
                <w:b w:val="0"/>
                <w:i w:val="0"/>
                <w:color w:val="1F2A33"/>
                <w:sz w:val="19"/>
              </w:rPr>
              <w:t xml:space="preserve">30% </w:t>
            </w:r>
            <w:r>
              <w:rPr>
                <w:rFonts w:ascii="Calibri" w:hAnsi="Calibri"/>
                <w:b/>
                <w:color w:val="C9A227"/>
                <w:sz w:val="15"/>
              </w:rPr>
              <w:t>[CONFIRM]</w:t>
            </w:r>
          </w:p>
        </w:tc>
        <w:tc>
          <w:tcPr>
            <w:tcW w:type="dxa" w:w="3061"/>
            <w:tcMar>
              <w:top w:w="60" w:type="dxa"/>
              <w:bottom w:w="60" w:type="dxa"/>
              <w:start w:w="110" w:type="dxa"/>
              <w:end w:w="110" w:type="dxa"/>
            </w:tcMar>
            <w:vAlign w:val="center"/>
          </w:tcPr>
          <w:p>
            <w:pPr>
              <w:spacing w:after="0" w:before="0"/>
              <w:jc w:val="left"/>
            </w:pPr>
            <w:r/>
            <w:r>
              <w:rPr>
                <w:rFonts w:ascii="Calibri" w:hAnsi="Calibri"/>
                <w:b w:val="0"/>
                <w:i w:val="0"/>
                <w:color w:val="1F2A33"/>
                <w:sz w:val="19"/>
              </w:rPr>
              <w:t>High-margin recurring service</w:t>
            </w:r>
          </w:p>
        </w:tc>
      </w:tr>
      <w:tr>
        <w:tc>
          <w:tcPr>
            <w:tcW w:type="dxa" w:w="4195"/>
            <w:tcMar>
              <w:top w:w="60" w:type="dxa"/>
              <w:bottom w:w="60" w:type="dxa"/>
              <w:start w:w="110" w:type="dxa"/>
              <w:end w:w="110" w:type="dxa"/>
            </w:tcMar>
            <w:shd w:val="clear" w:color="auto" w:fill="F5F8F6"/>
            <w:vAlign w:val="center"/>
          </w:tcPr>
          <w:p>
            <w:pPr>
              <w:spacing w:after="0" w:before="0"/>
              <w:jc w:val="left"/>
            </w:pPr>
            <w:r/>
            <w:r>
              <w:rPr>
                <w:rFonts w:ascii="Calibri" w:hAnsi="Calibri"/>
                <w:b/>
                <w:i w:val="0"/>
                <w:color w:val="1F2A33"/>
                <w:sz w:val="19"/>
              </w:rPr>
              <w:t>Steady-state EBITDA</w:t>
            </w:r>
          </w:p>
        </w:tc>
        <w:tc>
          <w:tcPr>
            <w:tcW w:type="dxa" w:w="1928"/>
            <w:tcMar>
              <w:top w:w="60" w:type="dxa"/>
              <w:bottom w:w="60" w:type="dxa"/>
              <w:start w:w="110" w:type="dxa"/>
              <w:end w:w="110" w:type="dxa"/>
            </w:tcMar>
            <w:shd w:val="clear" w:color="auto" w:fill="F5F8F6"/>
            <w:vAlign w:val="center"/>
          </w:tcPr>
          <w:p>
            <w:pPr>
              <w:spacing w:after="0" w:before="0"/>
              <w:jc w:val="right"/>
            </w:pPr>
            <w:r/>
            <w:r>
              <w:rPr>
                <w:rFonts w:ascii="Calibri" w:hAnsi="Calibri"/>
                <w:b w:val="0"/>
                <w:i w:val="0"/>
                <w:color w:val="1F2A33"/>
                <w:sz w:val="19"/>
              </w:rPr>
              <w:t>R9.0m</w:t>
            </w:r>
          </w:p>
        </w:tc>
        <w:tc>
          <w:tcPr>
            <w:tcW w:type="dxa" w:w="3061"/>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Revenue × margin</w:t>
            </w:r>
          </w:p>
        </w:tc>
      </w:tr>
      <w:tr>
        <w:tc>
          <w:tcPr>
            <w:tcW w:type="dxa" w:w="4195"/>
            <w:tcMar>
              <w:top w:w="60" w:type="dxa"/>
              <w:bottom w:w="60" w:type="dxa"/>
              <w:start w:w="110" w:type="dxa"/>
              <w:end w:w="110" w:type="dxa"/>
            </w:tcMar>
            <w:vAlign w:val="center"/>
          </w:tcPr>
          <w:p>
            <w:pPr>
              <w:spacing w:after="0" w:before="0"/>
              <w:jc w:val="left"/>
            </w:pPr>
            <w:r/>
            <w:r>
              <w:rPr>
                <w:rFonts w:ascii="Calibri" w:hAnsi="Calibri"/>
                <w:b/>
                <w:i w:val="0"/>
                <w:color w:val="1F2A33"/>
                <w:sz w:val="19"/>
              </w:rPr>
              <w:t>Applied multiple</w:t>
            </w:r>
          </w:p>
        </w:tc>
        <w:tc>
          <w:tcPr>
            <w:tcW w:type="dxa" w:w="1928"/>
            <w:tcMar>
              <w:top w:w="60" w:type="dxa"/>
              <w:bottom w:w="60" w:type="dxa"/>
              <w:start w:w="110" w:type="dxa"/>
              <w:end w:w="110" w:type="dxa"/>
            </w:tcMar>
            <w:vAlign w:val="center"/>
          </w:tcPr>
          <w:p>
            <w:pPr>
              <w:spacing w:after="0" w:before="0"/>
              <w:jc w:val="right"/>
            </w:pPr>
            <w:r/>
            <w:r>
              <w:rPr>
                <w:rFonts w:ascii="Calibri" w:hAnsi="Calibri"/>
                <w:b w:val="0"/>
                <w:i w:val="0"/>
                <w:color w:val="1F2A33"/>
                <w:sz w:val="19"/>
              </w:rPr>
              <w:t xml:space="preserve">7.0× </w:t>
            </w:r>
            <w:r>
              <w:rPr>
                <w:rFonts w:ascii="Calibri" w:hAnsi="Calibri"/>
                <w:b/>
                <w:color w:val="C9A227"/>
                <w:sz w:val="15"/>
              </w:rPr>
              <w:t>[CONFIRM]</w:t>
            </w:r>
          </w:p>
        </w:tc>
        <w:tc>
          <w:tcPr>
            <w:tcW w:type="dxa" w:w="3061"/>
            <w:tcMar>
              <w:top w:w="60" w:type="dxa"/>
              <w:bottom w:w="60" w:type="dxa"/>
              <w:start w:w="110" w:type="dxa"/>
              <w:end w:w="110" w:type="dxa"/>
            </w:tcMar>
            <w:vAlign w:val="center"/>
          </w:tcPr>
          <w:p>
            <w:pPr>
              <w:spacing w:after="0" w:before="0"/>
              <w:jc w:val="left"/>
            </w:pPr>
            <w:r/>
            <w:r>
              <w:rPr>
                <w:rFonts w:ascii="Calibri" w:hAnsi="Calibri"/>
                <w:b w:val="0"/>
                <w:i w:val="0"/>
                <w:color w:val="1F2A33"/>
                <w:sz w:val="19"/>
              </w:rPr>
              <w:t>Contracted annuity, lower risk</w:t>
            </w:r>
          </w:p>
        </w:tc>
      </w:tr>
      <w:tr>
        <w:tc>
          <w:tcPr>
            <w:tcW w:type="dxa" w:w="4195"/>
            <w:tcMar>
              <w:top w:w="60" w:type="dxa"/>
              <w:bottom w:w="60" w:type="dxa"/>
              <w:start w:w="110" w:type="dxa"/>
              <w:end w:w="110" w:type="dxa"/>
            </w:tcMar>
            <w:shd w:val="clear" w:color="auto" w:fill="F5F8F6"/>
            <w:vAlign w:val="center"/>
          </w:tcPr>
          <w:p>
            <w:pPr>
              <w:spacing w:after="0" w:before="0"/>
              <w:jc w:val="left"/>
            </w:pPr>
            <w:r/>
            <w:r>
              <w:rPr>
                <w:rFonts w:ascii="Calibri" w:hAnsi="Calibri"/>
                <w:b/>
                <w:i w:val="0"/>
                <w:color w:val="1F2A33"/>
                <w:sz w:val="19"/>
              </w:rPr>
              <w:t>O&amp;M vertical value</w:t>
            </w:r>
          </w:p>
        </w:tc>
        <w:tc>
          <w:tcPr>
            <w:tcW w:type="dxa" w:w="1928"/>
            <w:tcMar>
              <w:top w:w="60" w:type="dxa"/>
              <w:bottom w:w="60" w:type="dxa"/>
              <w:start w:w="110" w:type="dxa"/>
              <w:end w:w="110" w:type="dxa"/>
            </w:tcMar>
            <w:shd w:val="clear" w:color="auto" w:fill="F5F8F6"/>
            <w:vAlign w:val="center"/>
          </w:tcPr>
          <w:p>
            <w:pPr>
              <w:spacing w:after="0" w:before="0"/>
              <w:jc w:val="right"/>
            </w:pPr>
            <w:r/>
            <w:r>
              <w:rPr>
                <w:rFonts w:ascii="Calibri" w:hAnsi="Calibri"/>
                <w:b w:val="0"/>
                <w:i w:val="0"/>
                <w:color w:val="1F2A33"/>
                <w:sz w:val="19"/>
              </w:rPr>
              <w:t>≈ R62m</w:t>
            </w:r>
          </w:p>
        </w:tc>
        <w:tc>
          <w:tcPr>
            <w:tcW w:type="dxa" w:w="3061"/>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EBITDA × multiple (DCF cross-checked)</w:t>
            </w:r>
          </w:p>
        </w:tc>
      </w:tr>
    </w:tbl>
    <w:p>
      <w:pPr>
        <w:spacing w:after="80"/>
      </w:pPr>
    </w:p>
    <w:p>
      <w:pPr>
        <w:keepNext/>
        <w:spacing w:before="160" w:after="40"/>
      </w:pPr>
      <w:r>
        <w:rPr>
          <w:rFonts w:ascii="Georgia" w:hAnsi="Georgia"/>
          <w:b/>
          <w:color w:val="1F2A33"/>
          <w:sz w:val="23"/>
        </w:rPr>
        <w:t>5.2  Energy-Services (ESCO)  —  ≈ R46m</w:t>
      </w:r>
    </w:p>
    <w:p>
      <w:pPr>
        <w:spacing w:after="120" w:before="0"/>
        <w:jc w:val="both"/>
      </w:pPr>
      <w:r>
        <w:rPr>
          <w:rFonts w:ascii="Calibri" w:hAnsi="Calibri"/>
          <w:b w:val="0"/>
          <w:i w:val="0"/>
          <w:color w:val="1F2A33"/>
          <w:sz w:val="21"/>
        </w:rPr>
        <w:t>Advisory, structuring, aggregation and procurement — earning a margin per kWh and success/structuring fees. Asset-light and scalable. AI optimises supply mixes, matches load profiles and prices portfolios, improving both win-rate and captured margin.</w:t>
      </w:r>
    </w:p>
    <w:tbl>
      <w:tblPr>
        <w:tblW w:type="auto" w:w="0"/>
        <w:jc w:val="center"/>
        <w:tblLook w:firstColumn="1" w:firstRow="1" w:lastColumn="0" w:lastRow="0" w:noHBand="0" w:noVBand="1" w:val="04A0"/>
        <w:tblBorders>
          <w:top w:val="single" w:sz="4" w:space="0" w:color="D9E2DD"/>
          <w:bottom w:val="single" w:sz="4" w:space="0" w:color="D9E2DD"/>
          <w:insideH w:val="single" w:sz="4" w:space="0" w:color="D9E2DD"/>
          <w:left w:val="none"/>
          <w:right w:val="none"/>
          <w:insideV w:val="none"/>
        </w:tblBorders>
      </w:tblPr>
      <w:tblGrid>
        <w:gridCol w:w="3211"/>
        <w:gridCol w:w="3211"/>
        <w:gridCol w:w="3211"/>
      </w:tblGrid>
      <w:tr>
        <w:tc>
          <w:tcPr>
            <w:tcW w:type="dxa" w:w="4195"/>
            <w:shd w:val="clear" w:color="auto" w:fill="0B3D2E"/>
            <w:tcMar>
              <w:top w:w="60" w:type="dxa"/>
              <w:bottom w:w="60" w:type="dxa"/>
              <w:start w:w="110" w:type="dxa"/>
              <w:end w:w="110" w:type="dxa"/>
            </w:tcMar>
            <w:vAlign w:val="center"/>
          </w:tcPr>
          <w:p>
            <w:pPr>
              <w:spacing w:after="0" w:before="0"/>
              <w:jc w:val="left"/>
            </w:pPr>
            <w:r/>
            <w:r>
              <w:rPr>
                <w:rFonts w:ascii="Georgia" w:hAnsi="Georgia"/>
                <w:b/>
                <w:i w:val="0"/>
                <w:color w:val="FFFFFF"/>
                <w:sz w:val="19"/>
              </w:rPr>
              <w:t>Driver (illustrative)</w:t>
            </w:r>
          </w:p>
        </w:tc>
        <w:tc>
          <w:tcPr>
            <w:tcW w:type="dxa" w:w="1928"/>
            <w:shd w:val="clear" w:color="auto" w:fill="0B3D2E"/>
            <w:tcMar>
              <w:top w:w="60" w:type="dxa"/>
              <w:bottom w:w="60" w:type="dxa"/>
              <w:start w:w="110" w:type="dxa"/>
              <w:end w:w="110" w:type="dxa"/>
            </w:tcMar>
            <w:vAlign w:val="center"/>
          </w:tcPr>
          <w:p>
            <w:pPr>
              <w:spacing w:after="0" w:before="0"/>
              <w:jc w:val="right"/>
            </w:pPr>
            <w:r/>
            <w:r>
              <w:rPr>
                <w:rFonts w:ascii="Georgia" w:hAnsi="Georgia"/>
                <w:b/>
                <w:i w:val="0"/>
                <w:color w:val="FFFFFF"/>
                <w:sz w:val="19"/>
              </w:rPr>
              <w:t>Value</w:t>
            </w:r>
          </w:p>
        </w:tc>
        <w:tc>
          <w:tcPr>
            <w:tcW w:type="dxa" w:w="3061"/>
            <w:shd w:val="clear" w:color="auto" w:fill="0B3D2E"/>
            <w:tcMar>
              <w:top w:w="60" w:type="dxa"/>
              <w:bottom w:w="60" w:type="dxa"/>
              <w:start w:w="110" w:type="dxa"/>
              <w:end w:w="110" w:type="dxa"/>
            </w:tcMar>
            <w:vAlign w:val="center"/>
          </w:tcPr>
          <w:p>
            <w:pPr>
              <w:spacing w:after="0" w:before="0"/>
              <w:jc w:val="left"/>
            </w:pPr>
            <w:r/>
            <w:r>
              <w:rPr>
                <w:rFonts w:ascii="Georgia" w:hAnsi="Georgia"/>
                <w:b/>
                <w:i w:val="0"/>
                <w:color w:val="FFFFFF"/>
                <w:sz w:val="19"/>
              </w:rPr>
              <w:t>Note</w:t>
            </w:r>
          </w:p>
        </w:tc>
      </w:tr>
      <w:tr>
        <w:tc>
          <w:tcPr>
            <w:tcW w:type="dxa" w:w="4195"/>
            <w:tcMar>
              <w:top w:w="60" w:type="dxa"/>
              <w:bottom w:w="60" w:type="dxa"/>
              <w:start w:w="110" w:type="dxa"/>
              <w:end w:w="110" w:type="dxa"/>
            </w:tcMar>
            <w:vAlign w:val="center"/>
          </w:tcPr>
          <w:p>
            <w:pPr>
              <w:spacing w:after="0" w:before="0"/>
              <w:jc w:val="left"/>
            </w:pPr>
            <w:r/>
            <w:r>
              <w:rPr>
                <w:rFonts w:ascii="Calibri" w:hAnsi="Calibri"/>
                <w:b/>
                <w:i w:val="0"/>
                <w:color w:val="1F2A33"/>
                <w:sz w:val="19"/>
              </w:rPr>
              <w:t>Volume under management (p.a.)</w:t>
            </w:r>
          </w:p>
        </w:tc>
        <w:tc>
          <w:tcPr>
            <w:tcW w:type="dxa" w:w="1928"/>
            <w:tcMar>
              <w:top w:w="60" w:type="dxa"/>
              <w:bottom w:w="60" w:type="dxa"/>
              <w:start w:w="110" w:type="dxa"/>
              <w:end w:w="110" w:type="dxa"/>
            </w:tcMar>
            <w:vAlign w:val="center"/>
          </w:tcPr>
          <w:p>
            <w:pPr>
              <w:spacing w:after="0" w:before="0"/>
              <w:jc w:val="right"/>
            </w:pPr>
            <w:r/>
            <w:r>
              <w:rPr>
                <w:rFonts w:ascii="Calibri" w:hAnsi="Calibri"/>
                <w:b/>
                <w:color w:val="C9A227"/>
                <w:sz w:val="15"/>
              </w:rPr>
              <w:t>[CONFIRM]</w:t>
            </w:r>
            <w:r>
              <w:rPr>
                <w:rFonts w:ascii="Calibri" w:hAnsi="Calibri"/>
                <w:b w:val="0"/>
                <w:i w:val="0"/>
                <w:color w:val="1F2A33"/>
                <w:sz w:val="19"/>
              </w:rPr>
              <w:t xml:space="preserve"> GWh</w:t>
            </w:r>
          </w:p>
        </w:tc>
        <w:tc>
          <w:tcPr>
            <w:tcW w:type="dxa" w:w="3061"/>
            <w:tcMar>
              <w:top w:w="60" w:type="dxa"/>
              <w:bottom w:w="60" w:type="dxa"/>
              <w:start w:w="110" w:type="dxa"/>
              <w:end w:w="110" w:type="dxa"/>
            </w:tcMar>
            <w:vAlign w:val="center"/>
          </w:tcPr>
          <w:p>
            <w:pPr>
              <w:spacing w:after="0" w:before="0"/>
              <w:jc w:val="left"/>
            </w:pPr>
            <w:r/>
            <w:r>
              <w:rPr>
                <w:rFonts w:ascii="Calibri" w:hAnsi="Calibri"/>
                <w:b w:val="0"/>
                <w:i w:val="0"/>
                <w:color w:val="1F2A33"/>
                <w:sz w:val="19"/>
              </w:rPr>
              <w:t>Mandated / contracted load</w:t>
            </w:r>
          </w:p>
        </w:tc>
      </w:tr>
      <w:tr>
        <w:tc>
          <w:tcPr>
            <w:tcW w:type="dxa" w:w="4195"/>
            <w:tcMar>
              <w:top w:w="60" w:type="dxa"/>
              <w:bottom w:w="60" w:type="dxa"/>
              <w:start w:w="110" w:type="dxa"/>
              <w:end w:w="110" w:type="dxa"/>
            </w:tcMar>
            <w:shd w:val="clear" w:color="auto" w:fill="F5F8F6"/>
            <w:vAlign w:val="center"/>
          </w:tcPr>
          <w:p>
            <w:pPr>
              <w:spacing w:after="0" w:before="0"/>
              <w:jc w:val="left"/>
            </w:pPr>
            <w:r/>
            <w:r>
              <w:rPr>
                <w:rFonts w:ascii="Calibri" w:hAnsi="Calibri"/>
                <w:b/>
                <w:i w:val="0"/>
                <w:color w:val="1F2A33"/>
                <w:sz w:val="19"/>
              </w:rPr>
              <w:t>Captured margin per kWh</w:t>
            </w:r>
          </w:p>
        </w:tc>
        <w:tc>
          <w:tcPr>
            <w:tcW w:type="dxa" w:w="1928"/>
            <w:tcMar>
              <w:top w:w="60" w:type="dxa"/>
              <w:bottom w:w="60" w:type="dxa"/>
              <w:start w:w="110" w:type="dxa"/>
              <w:end w:w="110" w:type="dxa"/>
            </w:tcMar>
            <w:shd w:val="clear" w:color="auto" w:fill="F5F8F6"/>
            <w:vAlign w:val="center"/>
          </w:tcPr>
          <w:p>
            <w:pPr>
              <w:spacing w:after="0" w:before="0"/>
              <w:jc w:val="right"/>
            </w:pPr>
            <w:r/>
            <w:r>
              <w:rPr>
                <w:rFonts w:ascii="Calibri" w:hAnsi="Calibri"/>
                <w:b/>
                <w:color w:val="C9A227"/>
                <w:sz w:val="15"/>
              </w:rPr>
              <w:t>[CONFIRM]</w:t>
            </w:r>
            <w:r>
              <w:rPr>
                <w:rFonts w:ascii="Calibri" w:hAnsi="Calibri"/>
                <w:b w:val="0"/>
                <w:i w:val="0"/>
                <w:color w:val="1F2A33"/>
                <w:sz w:val="19"/>
              </w:rPr>
              <w:t xml:space="preserve"> c/kWh</w:t>
            </w:r>
          </w:p>
        </w:tc>
        <w:tc>
          <w:tcPr>
            <w:tcW w:type="dxa" w:w="3061"/>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Spread over base supply</w:t>
            </w:r>
          </w:p>
        </w:tc>
      </w:tr>
      <w:tr>
        <w:tc>
          <w:tcPr>
            <w:tcW w:type="dxa" w:w="4195"/>
            <w:tcMar>
              <w:top w:w="60" w:type="dxa"/>
              <w:bottom w:w="60" w:type="dxa"/>
              <w:start w:w="110" w:type="dxa"/>
              <w:end w:w="110" w:type="dxa"/>
            </w:tcMar>
            <w:vAlign w:val="center"/>
          </w:tcPr>
          <w:p>
            <w:pPr>
              <w:spacing w:after="0" w:before="0"/>
              <w:jc w:val="left"/>
            </w:pPr>
            <w:r/>
            <w:r>
              <w:rPr>
                <w:rFonts w:ascii="Calibri" w:hAnsi="Calibri"/>
                <w:b/>
                <w:i w:val="0"/>
                <w:color w:val="1F2A33"/>
                <w:sz w:val="19"/>
              </w:rPr>
              <w:t>ESCO revenue (steady-state, p.a.)</w:t>
            </w:r>
          </w:p>
        </w:tc>
        <w:tc>
          <w:tcPr>
            <w:tcW w:type="dxa" w:w="1928"/>
            <w:tcMar>
              <w:top w:w="60" w:type="dxa"/>
              <w:bottom w:w="60" w:type="dxa"/>
              <w:start w:w="110" w:type="dxa"/>
              <w:end w:w="110" w:type="dxa"/>
            </w:tcMar>
            <w:vAlign w:val="center"/>
          </w:tcPr>
          <w:p>
            <w:pPr>
              <w:spacing w:after="0" w:before="0"/>
              <w:jc w:val="right"/>
            </w:pPr>
            <w:r/>
            <w:r>
              <w:rPr>
                <w:rFonts w:ascii="Calibri" w:hAnsi="Calibri"/>
                <w:b w:val="0"/>
                <w:i w:val="0"/>
                <w:color w:val="1F2A33"/>
                <w:sz w:val="19"/>
              </w:rPr>
              <w:t xml:space="preserve">R22m </w:t>
            </w:r>
            <w:r>
              <w:rPr>
                <w:rFonts w:ascii="Calibri" w:hAnsi="Calibri"/>
                <w:b/>
                <w:color w:val="C9A227"/>
                <w:sz w:val="15"/>
              </w:rPr>
              <w:t>[CONFIRM]</w:t>
            </w:r>
          </w:p>
        </w:tc>
        <w:tc>
          <w:tcPr>
            <w:tcW w:type="dxa" w:w="3061"/>
            <w:tcMar>
              <w:top w:w="60" w:type="dxa"/>
              <w:bottom w:w="60" w:type="dxa"/>
              <w:start w:w="110" w:type="dxa"/>
              <w:end w:w="110" w:type="dxa"/>
            </w:tcMar>
            <w:vAlign w:val="center"/>
          </w:tcPr>
          <w:p>
            <w:pPr>
              <w:spacing w:after="0" w:before="0"/>
              <w:jc w:val="left"/>
            </w:pPr>
            <w:r/>
            <w:r>
              <w:rPr>
                <w:rFonts w:ascii="Calibri" w:hAnsi="Calibri"/>
                <w:b w:val="0"/>
                <w:i w:val="0"/>
                <w:color w:val="1F2A33"/>
                <w:sz w:val="19"/>
              </w:rPr>
              <w:t>Margin + structuring fees</w:t>
            </w:r>
          </w:p>
        </w:tc>
      </w:tr>
      <w:tr>
        <w:tc>
          <w:tcPr>
            <w:tcW w:type="dxa" w:w="4195"/>
            <w:tcMar>
              <w:top w:w="60" w:type="dxa"/>
              <w:bottom w:w="60" w:type="dxa"/>
              <w:start w:w="110" w:type="dxa"/>
              <w:end w:w="110" w:type="dxa"/>
            </w:tcMar>
            <w:shd w:val="clear" w:color="auto" w:fill="F5F8F6"/>
            <w:vAlign w:val="center"/>
          </w:tcPr>
          <w:p>
            <w:pPr>
              <w:spacing w:after="0" w:before="0"/>
              <w:jc w:val="left"/>
            </w:pPr>
            <w:r/>
            <w:r>
              <w:rPr>
                <w:rFonts w:ascii="Calibri" w:hAnsi="Calibri"/>
                <w:b/>
                <w:i w:val="0"/>
                <w:color w:val="1F2A33"/>
                <w:sz w:val="19"/>
              </w:rPr>
              <w:t>EBITDA margin</w:t>
            </w:r>
          </w:p>
        </w:tc>
        <w:tc>
          <w:tcPr>
            <w:tcW w:type="dxa" w:w="1928"/>
            <w:tcMar>
              <w:top w:w="60" w:type="dxa"/>
              <w:bottom w:w="60" w:type="dxa"/>
              <w:start w:w="110" w:type="dxa"/>
              <w:end w:w="110" w:type="dxa"/>
            </w:tcMar>
            <w:shd w:val="clear" w:color="auto" w:fill="F5F8F6"/>
            <w:vAlign w:val="center"/>
          </w:tcPr>
          <w:p>
            <w:pPr>
              <w:spacing w:after="0" w:before="0"/>
              <w:jc w:val="right"/>
            </w:pPr>
            <w:r/>
            <w:r>
              <w:rPr>
                <w:rFonts w:ascii="Calibri" w:hAnsi="Calibri"/>
                <w:b w:val="0"/>
                <w:i w:val="0"/>
                <w:color w:val="1F2A33"/>
                <w:sz w:val="19"/>
              </w:rPr>
              <w:t xml:space="preserve">30% </w:t>
            </w:r>
            <w:r>
              <w:rPr>
                <w:rFonts w:ascii="Calibri" w:hAnsi="Calibri"/>
                <w:b/>
                <w:color w:val="C9A227"/>
                <w:sz w:val="15"/>
              </w:rPr>
              <w:t>[CONFIRM]</w:t>
            </w:r>
          </w:p>
        </w:tc>
        <w:tc>
          <w:tcPr>
            <w:tcW w:type="dxa" w:w="3061"/>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Asset-light</w:t>
            </w:r>
          </w:p>
        </w:tc>
      </w:tr>
      <w:tr>
        <w:tc>
          <w:tcPr>
            <w:tcW w:type="dxa" w:w="4195"/>
            <w:tcMar>
              <w:top w:w="60" w:type="dxa"/>
              <w:bottom w:w="60" w:type="dxa"/>
              <w:start w:w="110" w:type="dxa"/>
              <w:end w:w="110" w:type="dxa"/>
            </w:tcMar>
            <w:vAlign w:val="center"/>
          </w:tcPr>
          <w:p>
            <w:pPr>
              <w:spacing w:after="0" w:before="0"/>
              <w:jc w:val="left"/>
            </w:pPr>
            <w:r/>
            <w:r>
              <w:rPr>
                <w:rFonts w:ascii="Calibri" w:hAnsi="Calibri"/>
                <w:b/>
                <w:i w:val="0"/>
                <w:color w:val="1F2A33"/>
                <w:sz w:val="19"/>
              </w:rPr>
              <w:t>Steady-state EBITDA</w:t>
            </w:r>
          </w:p>
        </w:tc>
        <w:tc>
          <w:tcPr>
            <w:tcW w:type="dxa" w:w="1928"/>
            <w:tcMar>
              <w:top w:w="60" w:type="dxa"/>
              <w:bottom w:w="60" w:type="dxa"/>
              <w:start w:w="110" w:type="dxa"/>
              <w:end w:w="110" w:type="dxa"/>
            </w:tcMar>
            <w:vAlign w:val="center"/>
          </w:tcPr>
          <w:p>
            <w:pPr>
              <w:spacing w:after="0" w:before="0"/>
              <w:jc w:val="right"/>
            </w:pPr>
            <w:r/>
            <w:r>
              <w:rPr>
                <w:rFonts w:ascii="Calibri" w:hAnsi="Calibri"/>
                <w:b w:val="0"/>
                <w:i w:val="0"/>
                <w:color w:val="1F2A33"/>
                <w:sz w:val="19"/>
              </w:rPr>
              <w:t>R6.6m</w:t>
            </w:r>
          </w:p>
        </w:tc>
        <w:tc>
          <w:tcPr>
            <w:tcW w:type="dxa" w:w="3061"/>
            <w:tcMar>
              <w:top w:w="60" w:type="dxa"/>
              <w:bottom w:w="60" w:type="dxa"/>
              <w:start w:w="110" w:type="dxa"/>
              <w:end w:w="110" w:type="dxa"/>
            </w:tcMar>
            <w:vAlign w:val="center"/>
          </w:tcPr>
          <w:p>
            <w:pPr>
              <w:spacing w:after="0" w:before="0"/>
              <w:jc w:val="left"/>
            </w:pPr>
            <w:r/>
            <w:r>
              <w:rPr>
                <w:rFonts w:ascii="Calibri" w:hAnsi="Calibri"/>
                <w:b w:val="0"/>
                <w:i w:val="0"/>
                <w:color w:val="1F2A33"/>
                <w:sz w:val="19"/>
              </w:rPr>
              <w:t>Revenue × margin</w:t>
            </w:r>
          </w:p>
        </w:tc>
      </w:tr>
      <w:tr>
        <w:tc>
          <w:tcPr>
            <w:tcW w:type="dxa" w:w="4195"/>
            <w:tcMar>
              <w:top w:w="60" w:type="dxa"/>
              <w:bottom w:w="60" w:type="dxa"/>
              <w:start w:w="110" w:type="dxa"/>
              <w:end w:w="110" w:type="dxa"/>
            </w:tcMar>
            <w:shd w:val="clear" w:color="auto" w:fill="F5F8F6"/>
            <w:vAlign w:val="center"/>
          </w:tcPr>
          <w:p>
            <w:pPr>
              <w:spacing w:after="0" w:before="0"/>
              <w:jc w:val="left"/>
            </w:pPr>
            <w:r/>
            <w:r>
              <w:rPr>
                <w:rFonts w:ascii="Calibri" w:hAnsi="Calibri"/>
                <w:b/>
                <w:i w:val="0"/>
                <w:color w:val="1F2A33"/>
                <w:sz w:val="19"/>
              </w:rPr>
              <w:t>Applied multiple</w:t>
            </w:r>
          </w:p>
        </w:tc>
        <w:tc>
          <w:tcPr>
            <w:tcW w:type="dxa" w:w="1928"/>
            <w:tcMar>
              <w:top w:w="60" w:type="dxa"/>
              <w:bottom w:w="60" w:type="dxa"/>
              <w:start w:w="110" w:type="dxa"/>
              <w:end w:w="110" w:type="dxa"/>
            </w:tcMar>
            <w:shd w:val="clear" w:color="auto" w:fill="F5F8F6"/>
            <w:vAlign w:val="center"/>
          </w:tcPr>
          <w:p>
            <w:pPr>
              <w:spacing w:after="0" w:before="0"/>
              <w:jc w:val="right"/>
            </w:pPr>
            <w:r/>
            <w:r>
              <w:rPr>
                <w:rFonts w:ascii="Calibri" w:hAnsi="Calibri"/>
                <w:b w:val="0"/>
                <w:i w:val="0"/>
                <w:color w:val="1F2A33"/>
                <w:sz w:val="19"/>
              </w:rPr>
              <w:t xml:space="preserve">7.0× </w:t>
            </w:r>
            <w:r>
              <w:rPr>
                <w:rFonts w:ascii="Calibri" w:hAnsi="Calibri"/>
                <w:b/>
                <w:color w:val="C9A227"/>
                <w:sz w:val="15"/>
              </w:rPr>
              <w:t>[CONFIRM]</w:t>
            </w:r>
          </w:p>
        </w:tc>
        <w:tc>
          <w:tcPr>
            <w:tcW w:type="dxa" w:w="3061"/>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Scalable, mandate-driven</w:t>
            </w:r>
          </w:p>
        </w:tc>
      </w:tr>
      <w:tr>
        <w:tc>
          <w:tcPr>
            <w:tcW w:type="dxa" w:w="4195"/>
            <w:tcMar>
              <w:top w:w="60" w:type="dxa"/>
              <w:bottom w:w="60" w:type="dxa"/>
              <w:start w:w="110" w:type="dxa"/>
              <w:end w:w="110" w:type="dxa"/>
            </w:tcMar>
            <w:vAlign w:val="center"/>
          </w:tcPr>
          <w:p>
            <w:pPr>
              <w:spacing w:after="0" w:before="0"/>
              <w:jc w:val="left"/>
            </w:pPr>
            <w:r/>
            <w:r>
              <w:rPr>
                <w:rFonts w:ascii="Calibri" w:hAnsi="Calibri"/>
                <w:b/>
                <w:i w:val="0"/>
                <w:color w:val="1F2A33"/>
                <w:sz w:val="19"/>
              </w:rPr>
              <w:t>ESCO vertical value</w:t>
            </w:r>
          </w:p>
        </w:tc>
        <w:tc>
          <w:tcPr>
            <w:tcW w:type="dxa" w:w="1928"/>
            <w:tcMar>
              <w:top w:w="60" w:type="dxa"/>
              <w:bottom w:w="60" w:type="dxa"/>
              <w:start w:w="110" w:type="dxa"/>
              <w:end w:w="110" w:type="dxa"/>
            </w:tcMar>
            <w:vAlign w:val="center"/>
          </w:tcPr>
          <w:p>
            <w:pPr>
              <w:spacing w:after="0" w:before="0"/>
              <w:jc w:val="right"/>
            </w:pPr>
            <w:r/>
            <w:r>
              <w:rPr>
                <w:rFonts w:ascii="Calibri" w:hAnsi="Calibri"/>
                <w:b w:val="0"/>
                <w:i w:val="0"/>
                <w:color w:val="1F2A33"/>
                <w:sz w:val="19"/>
              </w:rPr>
              <w:t>≈ R46m</w:t>
            </w:r>
          </w:p>
        </w:tc>
        <w:tc>
          <w:tcPr>
            <w:tcW w:type="dxa" w:w="3061"/>
            <w:tcMar>
              <w:top w:w="60" w:type="dxa"/>
              <w:bottom w:w="60" w:type="dxa"/>
              <w:start w:w="110" w:type="dxa"/>
              <w:end w:w="110" w:type="dxa"/>
            </w:tcMar>
            <w:vAlign w:val="center"/>
          </w:tcPr>
          <w:p>
            <w:pPr>
              <w:spacing w:after="0" w:before="0"/>
              <w:jc w:val="left"/>
            </w:pPr>
            <w:r/>
            <w:r>
              <w:rPr>
                <w:rFonts w:ascii="Calibri" w:hAnsi="Calibri"/>
                <w:b w:val="0"/>
                <w:i w:val="0"/>
                <w:color w:val="1F2A33"/>
                <w:sz w:val="19"/>
              </w:rPr>
              <w:t>EBITDA × multiple (DCF cross-checked)</w:t>
            </w:r>
          </w:p>
        </w:tc>
      </w:tr>
    </w:tbl>
    <w:p>
      <w:pPr>
        <w:spacing w:after="80"/>
      </w:pPr>
    </w:p>
    <w:p>
      <w:pPr>
        <w:keepNext/>
        <w:spacing w:before="160" w:after="40"/>
      </w:pPr>
      <w:r>
        <w:rPr>
          <w:rFonts w:ascii="Georgia" w:hAnsi="Georgia"/>
          <w:b/>
          <w:color w:val="1F2A33"/>
          <w:sz w:val="23"/>
        </w:rPr>
        <w:t>5.3  Investment-Finance  —  ≈ R46m</w:t>
      </w:r>
    </w:p>
    <w:p>
      <w:pPr>
        <w:spacing w:after="120" w:before="0"/>
        <w:jc w:val="both"/>
      </w:pPr>
      <w:r>
        <w:rPr>
          <w:rFonts w:ascii="Calibri" w:hAnsi="Calibri"/>
          <w:b w:val="0"/>
          <w:i w:val="0"/>
          <w:color w:val="1F2A33"/>
          <w:sz w:val="21"/>
        </w:rPr>
        <w:t>Project finance, carbon-credit origination and monetisation, and platform-based trading/settlement — earning arrangement fees, carry and a platform take-rate. AI performs origination, risk scoring, carbon pricing/MRV and settlement optimisation.</w:t>
      </w:r>
    </w:p>
    <w:tbl>
      <w:tblPr>
        <w:tblW w:type="auto" w:w="0"/>
        <w:jc w:val="center"/>
        <w:tblLook w:firstColumn="1" w:firstRow="1" w:lastColumn="0" w:lastRow="0" w:noHBand="0" w:noVBand="1" w:val="04A0"/>
        <w:tblBorders>
          <w:top w:val="single" w:sz="4" w:space="0" w:color="D9E2DD"/>
          <w:bottom w:val="single" w:sz="4" w:space="0" w:color="D9E2DD"/>
          <w:insideH w:val="single" w:sz="4" w:space="0" w:color="D9E2DD"/>
          <w:left w:val="none"/>
          <w:right w:val="none"/>
          <w:insideV w:val="none"/>
        </w:tblBorders>
      </w:tblPr>
      <w:tblGrid>
        <w:gridCol w:w="3211"/>
        <w:gridCol w:w="3211"/>
        <w:gridCol w:w="3211"/>
      </w:tblGrid>
      <w:tr>
        <w:tc>
          <w:tcPr>
            <w:tcW w:type="dxa" w:w="4195"/>
            <w:shd w:val="clear" w:color="auto" w:fill="0B3D2E"/>
            <w:tcMar>
              <w:top w:w="60" w:type="dxa"/>
              <w:bottom w:w="60" w:type="dxa"/>
              <w:start w:w="110" w:type="dxa"/>
              <w:end w:w="110" w:type="dxa"/>
            </w:tcMar>
            <w:vAlign w:val="center"/>
          </w:tcPr>
          <w:p>
            <w:pPr>
              <w:spacing w:after="0" w:before="0"/>
              <w:jc w:val="left"/>
            </w:pPr>
            <w:r/>
            <w:r>
              <w:rPr>
                <w:rFonts w:ascii="Georgia" w:hAnsi="Georgia"/>
                <w:b/>
                <w:i w:val="0"/>
                <w:color w:val="FFFFFF"/>
                <w:sz w:val="19"/>
              </w:rPr>
              <w:t>Driver (illustrative)</w:t>
            </w:r>
          </w:p>
        </w:tc>
        <w:tc>
          <w:tcPr>
            <w:tcW w:type="dxa" w:w="1928"/>
            <w:shd w:val="clear" w:color="auto" w:fill="0B3D2E"/>
            <w:tcMar>
              <w:top w:w="60" w:type="dxa"/>
              <w:bottom w:w="60" w:type="dxa"/>
              <w:start w:w="110" w:type="dxa"/>
              <w:end w:w="110" w:type="dxa"/>
            </w:tcMar>
            <w:vAlign w:val="center"/>
          </w:tcPr>
          <w:p>
            <w:pPr>
              <w:spacing w:after="0" w:before="0"/>
              <w:jc w:val="right"/>
            </w:pPr>
            <w:r/>
            <w:r>
              <w:rPr>
                <w:rFonts w:ascii="Georgia" w:hAnsi="Georgia"/>
                <w:b/>
                <w:i w:val="0"/>
                <w:color w:val="FFFFFF"/>
                <w:sz w:val="19"/>
              </w:rPr>
              <w:t>Value</w:t>
            </w:r>
          </w:p>
        </w:tc>
        <w:tc>
          <w:tcPr>
            <w:tcW w:type="dxa" w:w="3061"/>
            <w:shd w:val="clear" w:color="auto" w:fill="0B3D2E"/>
            <w:tcMar>
              <w:top w:w="60" w:type="dxa"/>
              <w:bottom w:w="60" w:type="dxa"/>
              <w:start w:w="110" w:type="dxa"/>
              <w:end w:w="110" w:type="dxa"/>
            </w:tcMar>
            <w:vAlign w:val="center"/>
          </w:tcPr>
          <w:p>
            <w:pPr>
              <w:spacing w:after="0" w:before="0"/>
              <w:jc w:val="left"/>
            </w:pPr>
            <w:r/>
            <w:r>
              <w:rPr>
                <w:rFonts w:ascii="Georgia" w:hAnsi="Georgia"/>
                <w:b/>
                <w:i w:val="0"/>
                <w:color w:val="FFFFFF"/>
                <w:sz w:val="19"/>
              </w:rPr>
              <w:t>Note</w:t>
            </w:r>
          </w:p>
        </w:tc>
      </w:tr>
      <w:tr>
        <w:tc>
          <w:tcPr>
            <w:tcW w:type="dxa" w:w="4195"/>
            <w:tcMar>
              <w:top w:w="60" w:type="dxa"/>
              <w:bottom w:w="60" w:type="dxa"/>
              <w:start w:w="110" w:type="dxa"/>
              <w:end w:w="110" w:type="dxa"/>
            </w:tcMar>
            <w:vAlign w:val="center"/>
          </w:tcPr>
          <w:p>
            <w:pPr>
              <w:spacing w:after="0" w:before="0"/>
              <w:jc w:val="left"/>
            </w:pPr>
            <w:r/>
            <w:r>
              <w:rPr>
                <w:rFonts w:ascii="Calibri" w:hAnsi="Calibri"/>
                <w:b/>
                <w:i w:val="0"/>
                <w:color w:val="1F2A33"/>
                <w:sz w:val="19"/>
              </w:rPr>
              <w:t>Capital / transactions facilitated (p.a.)</w:t>
            </w:r>
          </w:p>
        </w:tc>
        <w:tc>
          <w:tcPr>
            <w:tcW w:type="dxa" w:w="1928"/>
            <w:tcMar>
              <w:top w:w="60" w:type="dxa"/>
              <w:bottom w:w="60" w:type="dxa"/>
              <w:start w:w="110" w:type="dxa"/>
              <w:end w:w="110" w:type="dxa"/>
            </w:tcMar>
            <w:vAlign w:val="center"/>
          </w:tcPr>
          <w:p>
            <w:pPr>
              <w:spacing w:after="0" w:before="0"/>
              <w:jc w:val="right"/>
            </w:pPr>
            <w:r/>
            <w:r>
              <w:rPr>
                <w:rFonts w:ascii="Calibri" w:hAnsi="Calibri"/>
                <w:b/>
                <w:color w:val="C9A227"/>
                <w:sz w:val="15"/>
              </w:rPr>
              <w:t>[CONFIRM]</w:t>
            </w:r>
          </w:p>
        </w:tc>
        <w:tc>
          <w:tcPr>
            <w:tcW w:type="dxa" w:w="3061"/>
            <w:tcMar>
              <w:top w:w="60" w:type="dxa"/>
              <w:bottom w:w="60" w:type="dxa"/>
              <w:start w:w="110" w:type="dxa"/>
              <w:end w:w="110" w:type="dxa"/>
            </w:tcMar>
            <w:vAlign w:val="center"/>
          </w:tcPr>
          <w:p>
            <w:pPr>
              <w:spacing w:after="0" w:before="0"/>
              <w:jc w:val="left"/>
            </w:pPr>
            <w:r/>
            <w:r>
              <w:rPr>
                <w:rFonts w:ascii="Calibri" w:hAnsi="Calibri"/>
                <w:b w:val="0"/>
                <w:i w:val="0"/>
                <w:color w:val="1F2A33"/>
                <w:sz w:val="19"/>
              </w:rPr>
              <w:t>Project finance + carbon + trading</w:t>
            </w:r>
          </w:p>
        </w:tc>
      </w:tr>
      <w:tr>
        <w:tc>
          <w:tcPr>
            <w:tcW w:type="dxa" w:w="4195"/>
            <w:tcMar>
              <w:top w:w="60" w:type="dxa"/>
              <w:bottom w:w="60" w:type="dxa"/>
              <w:start w:w="110" w:type="dxa"/>
              <w:end w:w="110" w:type="dxa"/>
            </w:tcMar>
            <w:shd w:val="clear" w:color="auto" w:fill="F5F8F6"/>
            <w:vAlign w:val="center"/>
          </w:tcPr>
          <w:p>
            <w:pPr>
              <w:spacing w:after="0" w:before="0"/>
              <w:jc w:val="left"/>
            </w:pPr>
            <w:r/>
            <w:r>
              <w:rPr>
                <w:rFonts w:ascii="Calibri" w:hAnsi="Calibri"/>
                <w:b/>
                <w:i w:val="0"/>
                <w:color w:val="1F2A33"/>
                <w:sz w:val="19"/>
              </w:rPr>
              <w:t>Blended take (fees + carry + take-rate)</w:t>
            </w:r>
          </w:p>
        </w:tc>
        <w:tc>
          <w:tcPr>
            <w:tcW w:type="dxa" w:w="1928"/>
            <w:tcMar>
              <w:top w:w="60" w:type="dxa"/>
              <w:bottom w:w="60" w:type="dxa"/>
              <w:start w:w="110" w:type="dxa"/>
              <w:end w:w="110" w:type="dxa"/>
            </w:tcMar>
            <w:shd w:val="clear" w:color="auto" w:fill="F5F8F6"/>
            <w:vAlign w:val="center"/>
          </w:tcPr>
          <w:p>
            <w:pPr>
              <w:spacing w:after="0" w:before="0"/>
              <w:jc w:val="right"/>
            </w:pPr>
            <w:r/>
            <w:r>
              <w:rPr>
                <w:rFonts w:ascii="Calibri" w:hAnsi="Calibri"/>
                <w:b/>
                <w:color w:val="C9A227"/>
                <w:sz w:val="15"/>
              </w:rPr>
              <w:t>[CONFIRM]</w:t>
            </w:r>
            <w:r>
              <w:rPr>
                <w:rFonts w:ascii="Calibri" w:hAnsi="Calibri"/>
                <w:b w:val="0"/>
                <w:i w:val="0"/>
                <w:color w:val="1F2A33"/>
                <w:sz w:val="19"/>
              </w:rPr>
              <w:t>%</w:t>
            </w:r>
          </w:p>
        </w:tc>
        <w:tc>
          <w:tcPr>
            <w:tcW w:type="dxa" w:w="3061"/>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Across products</w:t>
            </w:r>
          </w:p>
        </w:tc>
      </w:tr>
      <w:tr>
        <w:tc>
          <w:tcPr>
            <w:tcW w:type="dxa" w:w="4195"/>
            <w:tcMar>
              <w:top w:w="60" w:type="dxa"/>
              <w:bottom w:w="60" w:type="dxa"/>
              <w:start w:w="110" w:type="dxa"/>
              <w:end w:w="110" w:type="dxa"/>
            </w:tcMar>
            <w:vAlign w:val="center"/>
          </w:tcPr>
          <w:p>
            <w:pPr>
              <w:spacing w:after="0" w:before="0"/>
              <w:jc w:val="left"/>
            </w:pPr>
            <w:r/>
            <w:r>
              <w:rPr>
                <w:rFonts w:ascii="Calibri" w:hAnsi="Calibri"/>
                <w:b/>
                <w:i w:val="0"/>
                <w:color w:val="1F2A33"/>
                <w:sz w:val="19"/>
              </w:rPr>
              <w:t>Inv.-Finance revenue (steady-state, p.a.)</w:t>
            </w:r>
          </w:p>
        </w:tc>
        <w:tc>
          <w:tcPr>
            <w:tcW w:type="dxa" w:w="1928"/>
            <w:tcMar>
              <w:top w:w="60" w:type="dxa"/>
              <w:bottom w:w="60" w:type="dxa"/>
              <w:start w:w="110" w:type="dxa"/>
              <w:end w:w="110" w:type="dxa"/>
            </w:tcMar>
            <w:vAlign w:val="center"/>
          </w:tcPr>
          <w:p>
            <w:pPr>
              <w:spacing w:after="0" w:before="0"/>
              <w:jc w:val="right"/>
            </w:pPr>
            <w:r/>
            <w:r>
              <w:rPr>
                <w:rFonts w:ascii="Calibri" w:hAnsi="Calibri"/>
                <w:b w:val="0"/>
                <w:i w:val="0"/>
                <w:color w:val="1F2A33"/>
                <w:sz w:val="19"/>
              </w:rPr>
              <w:t xml:space="preserve">R20m </w:t>
            </w:r>
            <w:r>
              <w:rPr>
                <w:rFonts w:ascii="Calibri" w:hAnsi="Calibri"/>
                <w:b/>
                <w:color w:val="C9A227"/>
                <w:sz w:val="15"/>
              </w:rPr>
              <w:t>[CONFIRM]</w:t>
            </w:r>
          </w:p>
        </w:tc>
        <w:tc>
          <w:tcPr>
            <w:tcW w:type="dxa" w:w="3061"/>
            <w:tcMar>
              <w:top w:w="60" w:type="dxa"/>
              <w:bottom w:w="60" w:type="dxa"/>
              <w:start w:w="110" w:type="dxa"/>
              <w:end w:w="110" w:type="dxa"/>
            </w:tcMar>
            <w:vAlign w:val="center"/>
          </w:tcPr>
          <w:p>
            <w:pPr>
              <w:spacing w:after="0" w:before="0"/>
              <w:jc w:val="left"/>
            </w:pPr>
            <w:r/>
            <w:r>
              <w:rPr>
                <w:rFonts w:ascii="Calibri" w:hAnsi="Calibri"/>
                <w:b w:val="0"/>
                <w:i w:val="0"/>
                <w:color w:val="1F2A33"/>
                <w:sz w:val="19"/>
              </w:rPr>
              <w:t>Fee + carry + platform</w:t>
            </w:r>
          </w:p>
        </w:tc>
      </w:tr>
      <w:tr>
        <w:tc>
          <w:tcPr>
            <w:tcW w:type="dxa" w:w="4195"/>
            <w:tcMar>
              <w:top w:w="60" w:type="dxa"/>
              <w:bottom w:w="60" w:type="dxa"/>
              <w:start w:w="110" w:type="dxa"/>
              <w:end w:w="110" w:type="dxa"/>
            </w:tcMar>
            <w:shd w:val="clear" w:color="auto" w:fill="F5F8F6"/>
            <w:vAlign w:val="center"/>
          </w:tcPr>
          <w:p>
            <w:pPr>
              <w:spacing w:after="0" w:before="0"/>
              <w:jc w:val="left"/>
            </w:pPr>
            <w:r/>
            <w:r>
              <w:rPr>
                <w:rFonts w:ascii="Calibri" w:hAnsi="Calibri"/>
                <w:b/>
                <w:i w:val="0"/>
                <w:color w:val="1F2A33"/>
                <w:sz w:val="19"/>
              </w:rPr>
              <w:t>EBITDA margin</w:t>
            </w:r>
          </w:p>
        </w:tc>
        <w:tc>
          <w:tcPr>
            <w:tcW w:type="dxa" w:w="1928"/>
            <w:tcMar>
              <w:top w:w="60" w:type="dxa"/>
              <w:bottom w:w="60" w:type="dxa"/>
              <w:start w:w="110" w:type="dxa"/>
              <w:end w:w="110" w:type="dxa"/>
            </w:tcMar>
            <w:shd w:val="clear" w:color="auto" w:fill="F5F8F6"/>
            <w:vAlign w:val="center"/>
          </w:tcPr>
          <w:p>
            <w:pPr>
              <w:spacing w:after="0" w:before="0"/>
              <w:jc w:val="right"/>
            </w:pPr>
            <w:r/>
            <w:r>
              <w:rPr>
                <w:rFonts w:ascii="Calibri" w:hAnsi="Calibri"/>
                <w:b w:val="0"/>
                <w:i w:val="0"/>
                <w:color w:val="1F2A33"/>
                <w:sz w:val="19"/>
              </w:rPr>
              <w:t xml:space="preserve">33% </w:t>
            </w:r>
            <w:r>
              <w:rPr>
                <w:rFonts w:ascii="Calibri" w:hAnsi="Calibri"/>
                <w:b/>
                <w:color w:val="C9A227"/>
                <w:sz w:val="15"/>
              </w:rPr>
              <w:t>[CONFIRM]</w:t>
            </w:r>
          </w:p>
        </w:tc>
        <w:tc>
          <w:tcPr>
            <w:tcW w:type="dxa" w:w="3061"/>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Platform-leveraged</w:t>
            </w:r>
          </w:p>
        </w:tc>
      </w:tr>
      <w:tr>
        <w:tc>
          <w:tcPr>
            <w:tcW w:type="dxa" w:w="4195"/>
            <w:tcMar>
              <w:top w:w="60" w:type="dxa"/>
              <w:bottom w:w="60" w:type="dxa"/>
              <w:start w:w="110" w:type="dxa"/>
              <w:end w:w="110" w:type="dxa"/>
            </w:tcMar>
            <w:vAlign w:val="center"/>
          </w:tcPr>
          <w:p>
            <w:pPr>
              <w:spacing w:after="0" w:before="0"/>
              <w:jc w:val="left"/>
            </w:pPr>
            <w:r/>
            <w:r>
              <w:rPr>
                <w:rFonts w:ascii="Calibri" w:hAnsi="Calibri"/>
                <w:b/>
                <w:i w:val="0"/>
                <w:color w:val="1F2A33"/>
                <w:sz w:val="19"/>
              </w:rPr>
              <w:t>Steady-state EBITDA</w:t>
            </w:r>
          </w:p>
        </w:tc>
        <w:tc>
          <w:tcPr>
            <w:tcW w:type="dxa" w:w="1928"/>
            <w:tcMar>
              <w:top w:w="60" w:type="dxa"/>
              <w:bottom w:w="60" w:type="dxa"/>
              <w:start w:w="110" w:type="dxa"/>
              <w:end w:w="110" w:type="dxa"/>
            </w:tcMar>
            <w:vAlign w:val="center"/>
          </w:tcPr>
          <w:p>
            <w:pPr>
              <w:spacing w:after="0" w:before="0"/>
              <w:jc w:val="right"/>
            </w:pPr>
            <w:r/>
            <w:r>
              <w:rPr>
                <w:rFonts w:ascii="Calibri" w:hAnsi="Calibri"/>
                <w:b w:val="0"/>
                <w:i w:val="0"/>
                <w:color w:val="1F2A33"/>
                <w:sz w:val="19"/>
              </w:rPr>
              <w:t>R6.6m</w:t>
            </w:r>
          </w:p>
        </w:tc>
        <w:tc>
          <w:tcPr>
            <w:tcW w:type="dxa" w:w="3061"/>
            <w:tcMar>
              <w:top w:w="60" w:type="dxa"/>
              <w:bottom w:w="60" w:type="dxa"/>
              <w:start w:w="110" w:type="dxa"/>
              <w:end w:w="110" w:type="dxa"/>
            </w:tcMar>
            <w:vAlign w:val="center"/>
          </w:tcPr>
          <w:p>
            <w:pPr>
              <w:spacing w:after="0" w:before="0"/>
              <w:jc w:val="left"/>
            </w:pPr>
            <w:r/>
            <w:r>
              <w:rPr>
                <w:rFonts w:ascii="Calibri" w:hAnsi="Calibri"/>
                <w:b w:val="0"/>
                <w:i w:val="0"/>
                <w:color w:val="1F2A33"/>
                <w:sz w:val="19"/>
              </w:rPr>
              <w:t>Revenue × margin</w:t>
            </w:r>
          </w:p>
        </w:tc>
      </w:tr>
      <w:tr>
        <w:tc>
          <w:tcPr>
            <w:tcW w:type="dxa" w:w="4195"/>
            <w:tcMar>
              <w:top w:w="60" w:type="dxa"/>
              <w:bottom w:w="60" w:type="dxa"/>
              <w:start w:w="110" w:type="dxa"/>
              <w:end w:w="110" w:type="dxa"/>
            </w:tcMar>
            <w:shd w:val="clear" w:color="auto" w:fill="F5F8F6"/>
            <w:vAlign w:val="center"/>
          </w:tcPr>
          <w:p>
            <w:pPr>
              <w:spacing w:after="0" w:before="0"/>
              <w:jc w:val="left"/>
            </w:pPr>
            <w:r/>
            <w:r>
              <w:rPr>
                <w:rFonts w:ascii="Calibri" w:hAnsi="Calibri"/>
                <w:b/>
                <w:i w:val="0"/>
                <w:color w:val="1F2A33"/>
                <w:sz w:val="19"/>
              </w:rPr>
              <w:t>Applied multiple</w:t>
            </w:r>
          </w:p>
        </w:tc>
        <w:tc>
          <w:tcPr>
            <w:tcW w:type="dxa" w:w="1928"/>
            <w:tcMar>
              <w:top w:w="60" w:type="dxa"/>
              <w:bottom w:w="60" w:type="dxa"/>
              <w:start w:w="110" w:type="dxa"/>
              <w:end w:w="110" w:type="dxa"/>
            </w:tcMar>
            <w:shd w:val="clear" w:color="auto" w:fill="F5F8F6"/>
            <w:vAlign w:val="center"/>
          </w:tcPr>
          <w:p>
            <w:pPr>
              <w:spacing w:after="0" w:before="0"/>
              <w:jc w:val="right"/>
            </w:pPr>
            <w:r/>
            <w:r>
              <w:rPr>
                <w:rFonts w:ascii="Calibri" w:hAnsi="Calibri"/>
                <w:b w:val="0"/>
                <w:i w:val="0"/>
                <w:color w:val="1F2A33"/>
                <w:sz w:val="19"/>
              </w:rPr>
              <w:t xml:space="preserve">7.0× </w:t>
            </w:r>
            <w:r>
              <w:rPr>
                <w:rFonts w:ascii="Calibri" w:hAnsi="Calibri"/>
                <w:b/>
                <w:color w:val="C9A227"/>
                <w:sz w:val="15"/>
              </w:rPr>
              <w:t>[CONFIRM]</w:t>
            </w:r>
          </w:p>
        </w:tc>
        <w:tc>
          <w:tcPr>
            <w:tcW w:type="dxa" w:w="3061"/>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Platform + carbon optionality</w:t>
            </w:r>
          </w:p>
        </w:tc>
      </w:tr>
      <w:tr>
        <w:tc>
          <w:tcPr>
            <w:tcW w:type="dxa" w:w="4195"/>
            <w:tcMar>
              <w:top w:w="60" w:type="dxa"/>
              <w:bottom w:w="60" w:type="dxa"/>
              <w:start w:w="110" w:type="dxa"/>
              <w:end w:w="110" w:type="dxa"/>
            </w:tcMar>
            <w:vAlign w:val="center"/>
          </w:tcPr>
          <w:p>
            <w:pPr>
              <w:spacing w:after="0" w:before="0"/>
              <w:jc w:val="left"/>
            </w:pPr>
            <w:r/>
            <w:r>
              <w:rPr>
                <w:rFonts w:ascii="Calibri" w:hAnsi="Calibri"/>
                <w:b/>
                <w:i w:val="0"/>
                <w:color w:val="1F2A33"/>
                <w:sz w:val="19"/>
              </w:rPr>
              <w:t>Inv.-Finance vertical value</w:t>
            </w:r>
          </w:p>
        </w:tc>
        <w:tc>
          <w:tcPr>
            <w:tcW w:type="dxa" w:w="1928"/>
            <w:tcMar>
              <w:top w:w="60" w:type="dxa"/>
              <w:bottom w:w="60" w:type="dxa"/>
              <w:start w:w="110" w:type="dxa"/>
              <w:end w:w="110" w:type="dxa"/>
            </w:tcMar>
            <w:vAlign w:val="center"/>
          </w:tcPr>
          <w:p>
            <w:pPr>
              <w:spacing w:after="0" w:before="0"/>
              <w:jc w:val="right"/>
            </w:pPr>
            <w:r/>
            <w:r>
              <w:rPr>
                <w:rFonts w:ascii="Calibri" w:hAnsi="Calibri"/>
                <w:b w:val="0"/>
                <w:i w:val="0"/>
                <w:color w:val="1F2A33"/>
                <w:sz w:val="19"/>
              </w:rPr>
              <w:t>≈ R46m</w:t>
            </w:r>
          </w:p>
        </w:tc>
        <w:tc>
          <w:tcPr>
            <w:tcW w:type="dxa" w:w="3061"/>
            <w:tcMar>
              <w:top w:w="60" w:type="dxa"/>
              <w:bottom w:w="60" w:type="dxa"/>
              <w:start w:w="110" w:type="dxa"/>
              <w:end w:w="110" w:type="dxa"/>
            </w:tcMar>
            <w:vAlign w:val="center"/>
          </w:tcPr>
          <w:p>
            <w:pPr>
              <w:spacing w:after="0" w:before="0"/>
              <w:jc w:val="left"/>
            </w:pPr>
            <w:r/>
            <w:r>
              <w:rPr>
                <w:rFonts w:ascii="Calibri" w:hAnsi="Calibri"/>
                <w:b w:val="0"/>
                <w:i w:val="0"/>
                <w:color w:val="1F2A33"/>
                <w:sz w:val="19"/>
              </w:rPr>
              <w:t>EBITDA × multiple (DCF cross-checked)</w:t>
            </w:r>
          </w:p>
        </w:tc>
      </w:tr>
    </w:tbl>
    <w:p>
      <w:pPr>
        <w:spacing w:after="8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02"/>
        <w:gridCol w:w="9298"/>
      </w:tblGrid>
      <w:tr>
        <w:tc>
          <w:tcPr>
            <w:tcW w:type="dxa" w:w="4816"/>
            <w:shd w:val="clear" w:color="auto" w:fill="0B3D2E"/>
          </w:tcPr>
          <w:p>
            <w:r/>
          </w:p>
        </w:tc>
        <w:tc>
          <w:tcPr>
            <w:tcW w:type="dxa" w:w="4816"/>
            <w:shd w:val="clear" w:color="auto" w:fill="ECF1EE"/>
            <w:tcMar>
              <w:top w:w="120" w:type="dxa"/>
              <w:bottom w:w="120" w:type="dxa"/>
              <w:start w:w="200" w:type="dxa"/>
              <w:end w:w="200" w:type="dxa"/>
            </w:tcMar>
          </w:tcPr>
          <w:p>
            <w:pPr>
              <w:spacing w:after="40"/>
            </w:pPr>
            <w:r/>
            <w:r>
              <w:rPr>
                <w:rFonts w:ascii="Georgia" w:hAnsi="Georgia"/>
                <w:b/>
                <w:color w:val="0B3D2E"/>
                <w:sz w:val="21"/>
              </w:rPr>
              <w:t>Operating-business value</w:t>
            </w:r>
          </w:p>
          <w:p>
            <w:pPr>
              <w:spacing w:after="0"/>
            </w:pPr>
            <w:r>
              <w:rPr>
                <w:rFonts w:ascii="Calibri" w:hAnsi="Calibri"/>
                <w:color w:val="1F2A33"/>
                <w:sz w:val="20"/>
              </w:rPr>
              <w:t>R62m (O&amp;M) + R46m (ESCO) + R46m (Inv.-Finance) = R154m ≈ 70% of equity value. Each vertical is valued on its own EBITDA and a risk-appropriate multiple, and cross-checked on DCF. None of these inputs is drawn from any confidential contract.</w:t>
            </w:r>
          </w:p>
        </w:tc>
      </w:tr>
    </w:tbl>
    <w:p>
      <w:pPr>
        <w:spacing w:after="40"/>
      </w:pPr>
    </w:p>
    <w:p>
      <w:r>
        <w:br w:type="page"/>
      </w:r>
    </w:p>
    <w:p>
      <w:pPr>
        <w:spacing w:after="40"/>
      </w:pPr>
    </w:p>
    <w:p>
      <w:pPr>
        <w:keepNext/>
        <w:spacing w:before="200" w:after="40"/>
      </w:pPr>
      <w:r>
        <w:rPr>
          <w:rFonts w:ascii="Georgia" w:hAnsi="Georgia"/>
          <w:b/>
          <w:color w:val="C9A227"/>
          <w:sz w:val="30"/>
        </w:rPr>
        <w:t xml:space="preserve">6.  </w:t>
      </w:r>
      <w:r>
        <w:rPr>
          <w:rFonts w:ascii="Georgia" w:hAnsi="Georgia"/>
          <w:b/>
          <w:color w:val="0B3D2E"/>
          <w:sz w:val="30"/>
        </w:rPr>
        <w:t>The 30% AI / soft-IP attribution — defended</w:t>
      </w:r>
    </w:p>
    <w:p>
      <w:pPr>
        <w:spacing w:after="120"/>
        <w:pBdr>
          <w:bottom w:val="single" w:sz="6" w:space="1" w:color="C9A227"/>
        </w:pBdr>
      </w:pPr>
    </w:p>
    <w:p>
      <w:pPr>
        <w:spacing w:after="120" w:before="0"/>
        <w:jc w:val="both"/>
      </w:pPr>
      <w:r>
        <w:rPr>
          <w:rFonts w:ascii="Calibri" w:hAnsi="Calibri"/>
          <w:b w:val="0"/>
          <w:i w:val="0"/>
          <w:color w:val="1F2A33"/>
          <w:sz w:val="21"/>
        </w:rPr>
        <w:t>The central claim — that ≈30% of CEC’s value (R66m) is AI and soft IP — is not asserted. It is the convergence point of three independent valuation methods. Each is shown below; each lands in the R55m–R75m range; the chosen R66m is the centre.</w:t>
      </w:r>
    </w:p>
    <w:p>
      <w:pPr>
        <w:keepNext/>
        <w:spacing w:before="160" w:after="40"/>
      </w:pPr>
      <w:r>
        <w:rPr>
          <w:rFonts w:ascii="Georgia" w:hAnsi="Georgia"/>
          <w:b/>
          <w:color w:val="1F2A33"/>
          <w:sz w:val="23"/>
        </w:rPr>
        <w:t>6.1  Method A — Cost to recreate (floor)</w:t>
      </w:r>
    </w:p>
    <w:p>
      <w:pPr>
        <w:spacing w:after="120" w:before="0"/>
        <w:jc w:val="both"/>
      </w:pPr>
      <w:r>
        <w:rPr>
          <w:rFonts w:ascii="Calibri" w:hAnsi="Calibri"/>
          <w:b w:val="0"/>
          <w:i w:val="0"/>
          <w:color w:val="1F2A33"/>
          <w:sz w:val="21"/>
        </w:rPr>
        <w:t>What a competent competitor would have to spend to rebuild the soft IP from scratch: the AI / trading-and-optimisation platform, the conduit-hydro engineering and operating know-how, and the finance/carbon methodologies — including the time-to-market penalty.</w:t>
      </w:r>
    </w:p>
    <w:tbl>
      <w:tblPr>
        <w:tblW w:type="auto" w:w="0"/>
        <w:jc w:val="center"/>
        <w:tblLook w:firstColumn="1" w:firstRow="1" w:lastColumn="0" w:lastRow="0" w:noHBand="0" w:noVBand="1" w:val="04A0"/>
        <w:tblBorders>
          <w:top w:val="single" w:sz="4" w:space="0" w:color="D9E2DD"/>
          <w:bottom w:val="single" w:sz="4" w:space="0" w:color="D9E2DD"/>
          <w:insideH w:val="single" w:sz="4" w:space="0" w:color="D9E2DD"/>
          <w:left w:val="none"/>
          <w:right w:val="none"/>
          <w:insideV w:val="none"/>
        </w:tblBorders>
      </w:tblPr>
      <w:tblGrid>
        <w:gridCol w:w="4816"/>
        <w:gridCol w:w="4816"/>
      </w:tblGrid>
      <w:tr>
        <w:tc>
          <w:tcPr>
            <w:tcW w:type="dxa" w:w="6236"/>
            <w:shd w:val="clear" w:color="auto" w:fill="0B3D2E"/>
            <w:tcMar>
              <w:top w:w="60" w:type="dxa"/>
              <w:bottom w:w="60" w:type="dxa"/>
              <w:start w:w="110" w:type="dxa"/>
              <w:end w:w="110" w:type="dxa"/>
            </w:tcMar>
            <w:vAlign w:val="center"/>
          </w:tcPr>
          <w:p>
            <w:pPr>
              <w:spacing w:after="0" w:before="0"/>
              <w:jc w:val="left"/>
            </w:pPr>
            <w:r/>
            <w:r>
              <w:rPr>
                <w:rFonts w:ascii="Georgia" w:hAnsi="Georgia"/>
                <w:b/>
                <w:i w:val="0"/>
                <w:color w:val="FFFFFF"/>
                <w:sz w:val="19"/>
              </w:rPr>
              <w:t>Cost element (illustrative)</w:t>
            </w:r>
          </w:p>
        </w:tc>
        <w:tc>
          <w:tcPr>
            <w:tcW w:type="dxa" w:w="2268"/>
            <w:shd w:val="clear" w:color="auto" w:fill="0B3D2E"/>
            <w:tcMar>
              <w:top w:w="60" w:type="dxa"/>
              <w:bottom w:w="60" w:type="dxa"/>
              <w:start w:w="110" w:type="dxa"/>
              <w:end w:w="110" w:type="dxa"/>
            </w:tcMar>
            <w:vAlign w:val="center"/>
          </w:tcPr>
          <w:p>
            <w:pPr>
              <w:spacing w:after="0" w:before="0"/>
              <w:jc w:val="right"/>
            </w:pPr>
            <w:r/>
            <w:r>
              <w:rPr>
                <w:rFonts w:ascii="Georgia" w:hAnsi="Georgia"/>
                <w:b/>
                <w:i w:val="0"/>
                <w:color w:val="FFFFFF"/>
                <w:sz w:val="19"/>
              </w:rPr>
              <w:t>Value (Rm)</w:t>
            </w:r>
          </w:p>
        </w:tc>
      </w:tr>
      <w:tr>
        <w:tc>
          <w:tcPr>
            <w:tcW w:type="dxa" w:w="6236"/>
            <w:tcMar>
              <w:top w:w="60" w:type="dxa"/>
              <w:bottom w:w="60" w:type="dxa"/>
              <w:start w:w="110" w:type="dxa"/>
              <w:end w:w="110" w:type="dxa"/>
            </w:tcMar>
            <w:vAlign w:val="center"/>
          </w:tcPr>
          <w:p>
            <w:pPr>
              <w:spacing w:after="0" w:before="0"/>
              <w:jc w:val="left"/>
            </w:pPr>
            <w:r/>
            <w:r>
              <w:rPr>
                <w:rFonts w:ascii="Calibri" w:hAnsi="Calibri"/>
                <w:b/>
                <w:i w:val="0"/>
                <w:color w:val="1F2A33"/>
                <w:sz w:val="19"/>
              </w:rPr>
              <w:t>Platform build (engineering, data, AI/ML)</w:t>
            </w:r>
          </w:p>
        </w:tc>
        <w:tc>
          <w:tcPr>
            <w:tcW w:type="dxa" w:w="2268"/>
            <w:tcMar>
              <w:top w:w="60" w:type="dxa"/>
              <w:bottom w:w="60" w:type="dxa"/>
              <w:start w:w="110" w:type="dxa"/>
              <w:end w:w="110" w:type="dxa"/>
            </w:tcMar>
            <w:vAlign w:val="center"/>
          </w:tcPr>
          <w:p>
            <w:pPr>
              <w:spacing w:after="0" w:before="0"/>
              <w:jc w:val="right"/>
            </w:pPr>
            <w:r/>
            <w:r>
              <w:rPr>
                <w:rFonts w:ascii="Calibri" w:hAnsi="Calibri"/>
                <w:b w:val="0"/>
                <w:i w:val="0"/>
                <w:color w:val="1F2A33"/>
                <w:sz w:val="19"/>
              </w:rPr>
              <w:t xml:space="preserve">28 </w:t>
            </w:r>
            <w:r>
              <w:rPr>
                <w:rFonts w:ascii="Calibri" w:hAnsi="Calibri"/>
                <w:b/>
                <w:color w:val="C9A227"/>
                <w:sz w:val="15"/>
              </w:rPr>
              <w:t>[CONFIRM]</w:t>
            </w:r>
          </w:p>
        </w:tc>
      </w:tr>
      <w:tr>
        <w:tc>
          <w:tcPr>
            <w:tcW w:type="dxa" w:w="6236"/>
            <w:tcMar>
              <w:top w:w="60" w:type="dxa"/>
              <w:bottom w:w="60" w:type="dxa"/>
              <w:start w:w="110" w:type="dxa"/>
              <w:end w:w="110" w:type="dxa"/>
            </w:tcMar>
            <w:shd w:val="clear" w:color="auto" w:fill="F5F8F6"/>
            <w:vAlign w:val="center"/>
          </w:tcPr>
          <w:p>
            <w:pPr>
              <w:spacing w:after="0" w:before="0"/>
              <w:jc w:val="left"/>
            </w:pPr>
            <w:r/>
            <w:r>
              <w:rPr>
                <w:rFonts w:ascii="Calibri" w:hAnsi="Calibri"/>
                <w:b/>
                <w:i w:val="0"/>
                <w:color w:val="1F2A33"/>
                <w:sz w:val="19"/>
              </w:rPr>
              <w:t>Energy / conduit-hydro engineering &amp; operating IP</w:t>
            </w:r>
          </w:p>
        </w:tc>
        <w:tc>
          <w:tcPr>
            <w:tcW w:type="dxa" w:w="2268"/>
            <w:tcMar>
              <w:top w:w="60" w:type="dxa"/>
              <w:bottom w:w="60" w:type="dxa"/>
              <w:start w:w="110" w:type="dxa"/>
              <w:end w:w="110" w:type="dxa"/>
            </w:tcMar>
            <w:shd w:val="clear" w:color="auto" w:fill="F5F8F6"/>
            <w:vAlign w:val="center"/>
          </w:tcPr>
          <w:p>
            <w:pPr>
              <w:spacing w:after="0" w:before="0"/>
              <w:jc w:val="right"/>
            </w:pPr>
            <w:r/>
            <w:r>
              <w:rPr>
                <w:rFonts w:ascii="Calibri" w:hAnsi="Calibri"/>
                <w:b w:val="0"/>
                <w:i w:val="0"/>
                <w:color w:val="1F2A33"/>
                <w:sz w:val="19"/>
              </w:rPr>
              <w:t xml:space="preserve">18 </w:t>
            </w:r>
            <w:r>
              <w:rPr>
                <w:rFonts w:ascii="Calibri" w:hAnsi="Calibri"/>
                <w:b/>
                <w:color w:val="C9A227"/>
                <w:sz w:val="15"/>
              </w:rPr>
              <w:t>[CONFIRM]</w:t>
            </w:r>
          </w:p>
        </w:tc>
      </w:tr>
      <w:tr>
        <w:tc>
          <w:tcPr>
            <w:tcW w:type="dxa" w:w="6236"/>
            <w:tcMar>
              <w:top w:w="60" w:type="dxa"/>
              <w:bottom w:w="60" w:type="dxa"/>
              <w:start w:w="110" w:type="dxa"/>
              <w:end w:w="110" w:type="dxa"/>
            </w:tcMar>
            <w:vAlign w:val="center"/>
          </w:tcPr>
          <w:p>
            <w:pPr>
              <w:spacing w:after="0" w:before="0"/>
              <w:jc w:val="left"/>
            </w:pPr>
            <w:r/>
            <w:r>
              <w:rPr>
                <w:rFonts w:ascii="Calibri" w:hAnsi="Calibri"/>
                <w:b/>
                <w:i w:val="0"/>
                <w:color w:val="1F2A33"/>
                <w:sz w:val="19"/>
              </w:rPr>
              <w:t>Finance &amp; carbon methodologies</w:t>
            </w:r>
          </w:p>
        </w:tc>
        <w:tc>
          <w:tcPr>
            <w:tcW w:type="dxa" w:w="2268"/>
            <w:tcMar>
              <w:top w:w="60" w:type="dxa"/>
              <w:bottom w:w="60" w:type="dxa"/>
              <w:start w:w="110" w:type="dxa"/>
              <w:end w:w="110" w:type="dxa"/>
            </w:tcMar>
            <w:vAlign w:val="center"/>
          </w:tcPr>
          <w:p>
            <w:pPr>
              <w:spacing w:after="0" w:before="0"/>
              <w:jc w:val="right"/>
            </w:pPr>
            <w:r/>
            <w:r>
              <w:rPr>
                <w:rFonts w:ascii="Calibri" w:hAnsi="Calibri"/>
                <w:b w:val="0"/>
                <w:i w:val="0"/>
                <w:color w:val="1F2A33"/>
                <w:sz w:val="19"/>
              </w:rPr>
              <w:t xml:space="preserve">9 </w:t>
            </w:r>
            <w:r>
              <w:rPr>
                <w:rFonts w:ascii="Calibri" w:hAnsi="Calibri"/>
                <w:b/>
                <w:color w:val="C9A227"/>
                <w:sz w:val="15"/>
              </w:rPr>
              <w:t>[CONFIRM]</w:t>
            </w:r>
          </w:p>
        </w:tc>
      </w:tr>
      <w:tr>
        <w:tc>
          <w:tcPr>
            <w:tcW w:type="dxa" w:w="6236"/>
            <w:tcMar>
              <w:top w:w="60" w:type="dxa"/>
              <w:bottom w:w="60" w:type="dxa"/>
              <w:start w:w="110" w:type="dxa"/>
              <w:end w:w="110" w:type="dxa"/>
            </w:tcMar>
            <w:shd w:val="clear" w:color="auto" w:fill="F5F8F6"/>
            <w:vAlign w:val="center"/>
          </w:tcPr>
          <w:p>
            <w:pPr>
              <w:spacing w:after="0" w:before="0"/>
              <w:jc w:val="left"/>
            </w:pPr>
            <w:r/>
            <w:r>
              <w:rPr>
                <w:rFonts w:ascii="Calibri" w:hAnsi="Calibri"/>
                <w:b/>
                <w:i w:val="0"/>
                <w:color w:val="1F2A33"/>
                <w:sz w:val="19"/>
              </w:rPr>
              <w:t>Time-to-market / opportunity premium</w:t>
            </w:r>
          </w:p>
        </w:tc>
        <w:tc>
          <w:tcPr>
            <w:tcW w:type="dxa" w:w="2268"/>
            <w:tcMar>
              <w:top w:w="60" w:type="dxa"/>
              <w:bottom w:w="60" w:type="dxa"/>
              <w:start w:w="110" w:type="dxa"/>
              <w:end w:w="110" w:type="dxa"/>
            </w:tcMar>
            <w:shd w:val="clear" w:color="auto" w:fill="F5F8F6"/>
            <w:vAlign w:val="center"/>
          </w:tcPr>
          <w:p>
            <w:pPr>
              <w:spacing w:after="0" w:before="0"/>
              <w:jc w:val="right"/>
            </w:pPr>
            <w:r/>
            <w:r>
              <w:rPr>
                <w:rFonts w:ascii="Calibri" w:hAnsi="Calibri"/>
                <w:b w:val="0"/>
                <w:i w:val="0"/>
                <w:color w:val="1F2A33"/>
                <w:sz w:val="19"/>
              </w:rPr>
              <w:t>+15–25%</w:t>
            </w:r>
          </w:p>
        </w:tc>
      </w:tr>
      <w:tr>
        <w:tc>
          <w:tcPr>
            <w:tcW w:type="dxa" w:w="6236"/>
            <w:tcMar>
              <w:top w:w="60" w:type="dxa"/>
              <w:bottom w:w="60" w:type="dxa"/>
              <w:start w:w="110" w:type="dxa"/>
              <w:end w:w="110" w:type="dxa"/>
            </w:tcMar>
            <w:shd w:val="clear" w:color="auto" w:fill="0B3D2E"/>
            <w:vAlign w:val="center"/>
          </w:tcPr>
          <w:p>
            <w:pPr>
              <w:spacing w:after="0" w:before="0"/>
              <w:jc w:val="left"/>
            </w:pPr>
            <w:r/>
            <w:r>
              <w:rPr>
                <w:rFonts w:ascii="Calibri" w:hAnsi="Calibri"/>
                <w:b/>
                <w:i w:val="0"/>
                <w:color w:val="FFFFFF"/>
                <w:sz w:val="19"/>
              </w:rPr>
              <w:t>Indicative recreation cost</w:t>
            </w:r>
          </w:p>
        </w:tc>
        <w:tc>
          <w:tcPr>
            <w:tcW w:type="dxa" w:w="2268"/>
            <w:tcMar>
              <w:top w:w="60" w:type="dxa"/>
              <w:bottom w:w="60" w:type="dxa"/>
              <w:start w:w="110" w:type="dxa"/>
              <w:end w:w="110" w:type="dxa"/>
            </w:tcMar>
            <w:shd w:val="clear" w:color="auto" w:fill="0B3D2E"/>
            <w:vAlign w:val="center"/>
          </w:tcPr>
          <w:p>
            <w:pPr>
              <w:spacing w:after="0" w:before="0"/>
              <w:jc w:val="right"/>
            </w:pPr>
            <w:r/>
            <w:r>
              <w:rPr>
                <w:rFonts w:ascii="Calibri" w:hAnsi="Calibri"/>
                <w:b/>
                <w:i w:val="0"/>
                <w:color w:val="FFFFFF"/>
                <w:sz w:val="19"/>
              </w:rPr>
              <w:t>≈ R55–62m</w:t>
            </w:r>
          </w:p>
        </w:tc>
      </w:tr>
    </w:tbl>
    <w:p>
      <w:pPr>
        <w:spacing w:after="80"/>
      </w:pPr>
    </w:p>
    <w:p>
      <w:pPr>
        <w:keepNext/>
        <w:spacing w:before="160" w:after="40"/>
      </w:pPr>
      <w:r>
        <w:rPr>
          <w:rFonts w:ascii="Georgia" w:hAnsi="Georgia"/>
          <w:b/>
          <w:color w:val="1F2A33"/>
          <w:sz w:val="23"/>
        </w:rPr>
        <w:t>6.2  Method B — Relief-from-royalty (income)</w:t>
      </w:r>
    </w:p>
    <w:p>
      <w:pPr>
        <w:spacing w:after="120" w:before="0"/>
        <w:jc w:val="both"/>
      </w:pPr>
      <w:r>
        <w:rPr>
          <w:rFonts w:ascii="Calibri" w:hAnsi="Calibri"/>
          <w:b w:val="0"/>
          <w:i w:val="0"/>
          <w:color w:val="1F2A33"/>
          <w:sz w:val="21"/>
        </w:rPr>
        <w:t>If CEC did not own the soft IP it would have to license it, paying a royalty on the revenue the IP enables. The present value of the royalty it is relieved from paying is the IP’s income value.</w:t>
      </w:r>
    </w:p>
    <w:tbl>
      <w:tblPr>
        <w:tblW w:type="auto" w:w="0"/>
        <w:jc w:val="center"/>
        <w:tblLook w:firstColumn="1" w:firstRow="1" w:lastColumn="0" w:lastRow="0" w:noHBand="0" w:noVBand="1" w:val="04A0"/>
        <w:tblBorders>
          <w:top w:val="single" w:sz="4" w:space="0" w:color="D9E2DD"/>
          <w:bottom w:val="single" w:sz="4" w:space="0" w:color="D9E2DD"/>
          <w:insideH w:val="single" w:sz="4" w:space="0" w:color="D9E2DD"/>
          <w:left w:val="none"/>
          <w:right w:val="none"/>
          <w:insideV w:val="none"/>
        </w:tblBorders>
      </w:tblPr>
      <w:tblGrid>
        <w:gridCol w:w="4816"/>
        <w:gridCol w:w="4816"/>
      </w:tblGrid>
      <w:tr>
        <w:tc>
          <w:tcPr>
            <w:tcW w:type="dxa" w:w="6236"/>
            <w:shd w:val="clear" w:color="auto" w:fill="0B3D2E"/>
            <w:tcMar>
              <w:top w:w="60" w:type="dxa"/>
              <w:bottom w:w="60" w:type="dxa"/>
              <w:start w:w="110" w:type="dxa"/>
              <w:end w:w="110" w:type="dxa"/>
            </w:tcMar>
            <w:vAlign w:val="center"/>
          </w:tcPr>
          <w:p>
            <w:pPr>
              <w:spacing w:after="0" w:before="0"/>
              <w:jc w:val="left"/>
            </w:pPr>
            <w:r/>
            <w:r>
              <w:rPr>
                <w:rFonts w:ascii="Georgia" w:hAnsi="Georgia"/>
                <w:b/>
                <w:i w:val="0"/>
                <w:color w:val="FFFFFF"/>
                <w:sz w:val="19"/>
              </w:rPr>
              <w:t>Parameter (illustrative)</w:t>
            </w:r>
          </w:p>
        </w:tc>
        <w:tc>
          <w:tcPr>
            <w:tcW w:type="dxa" w:w="2268"/>
            <w:shd w:val="clear" w:color="auto" w:fill="0B3D2E"/>
            <w:tcMar>
              <w:top w:w="60" w:type="dxa"/>
              <w:bottom w:w="60" w:type="dxa"/>
              <w:start w:w="110" w:type="dxa"/>
              <w:end w:w="110" w:type="dxa"/>
            </w:tcMar>
            <w:vAlign w:val="center"/>
          </w:tcPr>
          <w:p>
            <w:pPr>
              <w:spacing w:after="0" w:before="0"/>
              <w:jc w:val="right"/>
            </w:pPr>
            <w:r/>
            <w:r>
              <w:rPr>
                <w:rFonts w:ascii="Georgia" w:hAnsi="Georgia"/>
                <w:b/>
                <w:i w:val="0"/>
                <w:color w:val="FFFFFF"/>
                <w:sz w:val="19"/>
              </w:rPr>
              <w:t>Value</w:t>
            </w:r>
          </w:p>
        </w:tc>
      </w:tr>
      <w:tr>
        <w:tc>
          <w:tcPr>
            <w:tcW w:type="dxa" w:w="6236"/>
            <w:tcMar>
              <w:top w:w="60" w:type="dxa"/>
              <w:bottom w:w="60" w:type="dxa"/>
              <w:start w:w="110" w:type="dxa"/>
              <w:end w:w="110" w:type="dxa"/>
            </w:tcMar>
            <w:vAlign w:val="center"/>
          </w:tcPr>
          <w:p>
            <w:pPr>
              <w:spacing w:after="0" w:before="0"/>
              <w:jc w:val="left"/>
            </w:pPr>
            <w:r/>
            <w:r>
              <w:rPr>
                <w:rFonts w:ascii="Calibri" w:hAnsi="Calibri"/>
                <w:b/>
                <w:i w:val="0"/>
                <w:color w:val="1F2A33"/>
                <w:sz w:val="19"/>
              </w:rPr>
              <w:t>IP-enabled revenue (steady-state, p.a.)</w:t>
            </w:r>
          </w:p>
        </w:tc>
        <w:tc>
          <w:tcPr>
            <w:tcW w:type="dxa" w:w="2268"/>
            <w:tcMar>
              <w:top w:w="60" w:type="dxa"/>
              <w:bottom w:w="60" w:type="dxa"/>
              <w:start w:w="110" w:type="dxa"/>
              <w:end w:w="110" w:type="dxa"/>
            </w:tcMar>
            <w:vAlign w:val="center"/>
          </w:tcPr>
          <w:p>
            <w:pPr>
              <w:spacing w:after="0" w:before="0"/>
              <w:jc w:val="right"/>
            </w:pPr>
            <w:r/>
            <w:r>
              <w:rPr>
                <w:rFonts w:ascii="Calibri" w:hAnsi="Calibri"/>
                <w:b w:val="0"/>
                <w:i w:val="0"/>
                <w:color w:val="1F2A33"/>
                <w:sz w:val="19"/>
              </w:rPr>
              <w:t xml:space="preserve">R72m </w:t>
            </w:r>
            <w:r>
              <w:rPr>
                <w:rFonts w:ascii="Calibri" w:hAnsi="Calibri"/>
                <w:b/>
                <w:color w:val="C9A227"/>
                <w:sz w:val="15"/>
              </w:rPr>
              <w:t>[CONFIRM]</w:t>
            </w:r>
          </w:p>
        </w:tc>
      </w:tr>
      <w:tr>
        <w:tc>
          <w:tcPr>
            <w:tcW w:type="dxa" w:w="6236"/>
            <w:tcMar>
              <w:top w:w="60" w:type="dxa"/>
              <w:bottom w:w="60" w:type="dxa"/>
              <w:start w:w="110" w:type="dxa"/>
              <w:end w:w="110" w:type="dxa"/>
            </w:tcMar>
            <w:shd w:val="clear" w:color="auto" w:fill="F5F8F6"/>
            <w:vAlign w:val="center"/>
          </w:tcPr>
          <w:p>
            <w:pPr>
              <w:spacing w:after="0" w:before="0"/>
              <w:jc w:val="left"/>
            </w:pPr>
            <w:r/>
            <w:r>
              <w:rPr>
                <w:rFonts w:ascii="Calibri" w:hAnsi="Calibri"/>
                <w:b/>
                <w:i w:val="0"/>
                <w:color w:val="1F2A33"/>
                <w:sz w:val="19"/>
              </w:rPr>
              <w:t>Notional royalty rate</w:t>
            </w:r>
          </w:p>
        </w:tc>
        <w:tc>
          <w:tcPr>
            <w:tcW w:type="dxa" w:w="2268"/>
            <w:tcMar>
              <w:top w:w="60" w:type="dxa"/>
              <w:bottom w:w="60" w:type="dxa"/>
              <w:start w:w="110" w:type="dxa"/>
              <w:end w:w="110" w:type="dxa"/>
            </w:tcMar>
            <w:shd w:val="clear" w:color="auto" w:fill="F5F8F6"/>
            <w:vAlign w:val="center"/>
          </w:tcPr>
          <w:p>
            <w:pPr>
              <w:spacing w:after="0" w:before="0"/>
              <w:jc w:val="right"/>
            </w:pPr>
            <w:r/>
            <w:r>
              <w:rPr>
                <w:rFonts w:ascii="Calibri" w:hAnsi="Calibri"/>
                <w:b w:val="0"/>
                <w:i w:val="0"/>
                <w:color w:val="1F2A33"/>
                <w:sz w:val="19"/>
              </w:rPr>
              <w:t xml:space="preserve">6% </w:t>
            </w:r>
            <w:r>
              <w:rPr>
                <w:rFonts w:ascii="Calibri" w:hAnsi="Calibri"/>
                <w:b/>
                <w:color w:val="C9A227"/>
                <w:sz w:val="15"/>
              </w:rPr>
              <w:t>[CONFIRM]</w:t>
            </w:r>
          </w:p>
        </w:tc>
      </w:tr>
      <w:tr>
        <w:tc>
          <w:tcPr>
            <w:tcW w:type="dxa" w:w="6236"/>
            <w:tcMar>
              <w:top w:w="60" w:type="dxa"/>
              <w:bottom w:w="60" w:type="dxa"/>
              <w:start w:w="110" w:type="dxa"/>
              <w:end w:w="110" w:type="dxa"/>
            </w:tcMar>
            <w:vAlign w:val="center"/>
          </w:tcPr>
          <w:p>
            <w:pPr>
              <w:spacing w:after="0" w:before="0"/>
              <w:jc w:val="left"/>
            </w:pPr>
            <w:r/>
            <w:r>
              <w:rPr>
                <w:rFonts w:ascii="Calibri" w:hAnsi="Calibri"/>
                <w:b/>
                <w:i w:val="0"/>
                <w:color w:val="1F2A33"/>
                <w:sz w:val="19"/>
              </w:rPr>
              <w:t>Annual royalty relieved</w:t>
            </w:r>
          </w:p>
        </w:tc>
        <w:tc>
          <w:tcPr>
            <w:tcW w:type="dxa" w:w="2268"/>
            <w:tcMar>
              <w:top w:w="60" w:type="dxa"/>
              <w:bottom w:w="60" w:type="dxa"/>
              <w:start w:w="110" w:type="dxa"/>
              <w:end w:w="110" w:type="dxa"/>
            </w:tcMar>
            <w:vAlign w:val="center"/>
          </w:tcPr>
          <w:p>
            <w:pPr>
              <w:spacing w:after="0" w:before="0"/>
              <w:jc w:val="right"/>
            </w:pPr>
            <w:r/>
            <w:r>
              <w:rPr>
                <w:rFonts w:ascii="Calibri" w:hAnsi="Calibri"/>
                <w:b w:val="0"/>
                <w:i w:val="0"/>
                <w:color w:val="1F2A33"/>
                <w:sz w:val="19"/>
              </w:rPr>
              <w:t>≈ R4.3m</w:t>
            </w:r>
          </w:p>
        </w:tc>
      </w:tr>
      <w:tr>
        <w:tc>
          <w:tcPr>
            <w:tcW w:type="dxa" w:w="6236"/>
            <w:tcMar>
              <w:top w:w="60" w:type="dxa"/>
              <w:bottom w:w="60" w:type="dxa"/>
              <w:start w:w="110" w:type="dxa"/>
              <w:end w:w="110" w:type="dxa"/>
            </w:tcMar>
            <w:shd w:val="clear" w:color="auto" w:fill="F5F8F6"/>
            <w:vAlign w:val="center"/>
          </w:tcPr>
          <w:p>
            <w:pPr>
              <w:spacing w:after="0" w:before="0"/>
              <w:jc w:val="left"/>
            </w:pPr>
            <w:r/>
            <w:r>
              <w:rPr>
                <w:rFonts w:ascii="Calibri" w:hAnsi="Calibri"/>
                <w:b/>
                <w:i w:val="0"/>
                <w:color w:val="1F2A33"/>
                <w:sz w:val="19"/>
              </w:rPr>
              <w:t>Capitalisation (PV, IP discount rate, growth)</w:t>
            </w:r>
          </w:p>
        </w:tc>
        <w:tc>
          <w:tcPr>
            <w:tcW w:type="dxa" w:w="2268"/>
            <w:tcMar>
              <w:top w:w="60" w:type="dxa"/>
              <w:bottom w:w="60" w:type="dxa"/>
              <w:start w:w="110" w:type="dxa"/>
              <w:end w:w="110" w:type="dxa"/>
            </w:tcMar>
            <w:shd w:val="clear" w:color="auto" w:fill="F5F8F6"/>
            <w:vAlign w:val="center"/>
          </w:tcPr>
          <w:p>
            <w:pPr>
              <w:spacing w:after="0" w:before="0"/>
              <w:jc w:val="right"/>
            </w:pPr>
            <w:r/>
            <w:r>
              <w:rPr>
                <w:rFonts w:ascii="Calibri" w:hAnsi="Calibri"/>
                <w:b w:val="0"/>
                <w:i w:val="0"/>
                <w:color w:val="1F2A33"/>
                <w:sz w:val="19"/>
              </w:rPr>
              <w:t>×15–17</w:t>
            </w:r>
          </w:p>
        </w:tc>
      </w:tr>
      <w:tr>
        <w:tc>
          <w:tcPr>
            <w:tcW w:type="dxa" w:w="6236"/>
            <w:tcMar>
              <w:top w:w="60" w:type="dxa"/>
              <w:bottom w:w="60" w:type="dxa"/>
              <w:start w:w="110" w:type="dxa"/>
              <w:end w:w="110" w:type="dxa"/>
            </w:tcMar>
            <w:shd w:val="clear" w:color="auto" w:fill="0B3D2E"/>
            <w:vAlign w:val="center"/>
          </w:tcPr>
          <w:p>
            <w:pPr>
              <w:spacing w:after="0" w:before="0"/>
              <w:jc w:val="left"/>
            </w:pPr>
            <w:r/>
            <w:r>
              <w:rPr>
                <w:rFonts w:ascii="Calibri" w:hAnsi="Calibri"/>
                <w:b/>
                <w:i w:val="0"/>
                <w:color w:val="FFFFFF"/>
                <w:sz w:val="19"/>
              </w:rPr>
              <w:t>Relief-from-royalty value</w:t>
            </w:r>
          </w:p>
        </w:tc>
        <w:tc>
          <w:tcPr>
            <w:tcW w:type="dxa" w:w="2268"/>
            <w:tcMar>
              <w:top w:w="60" w:type="dxa"/>
              <w:bottom w:w="60" w:type="dxa"/>
              <w:start w:w="110" w:type="dxa"/>
              <w:end w:w="110" w:type="dxa"/>
            </w:tcMar>
            <w:shd w:val="clear" w:color="auto" w:fill="0B3D2E"/>
            <w:vAlign w:val="center"/>
          </w:tcPr>
          <w:p>
            <w:pPr>
              <w:spacing w:after="0" w:before="0"/>
              <w:jc w:val="right"/>
            </w:pPr>
            <w:r/>
            <w:r>
              <w:rPr>
                <w:rFonts w:ascii="Calibri" w:hAnsi="Calibri"/>
                <w:b/>
                <w:i w:val="0"/>
                <w:color w:val="FFFFFF"/>
                <w:sz w:val="19"/>
              </w:rPr>
              <w:t>≈ R65–73m</w:t>
            </w:r>
          </w:p>
        </w:tc>
      </w:tr>
    </w:tbl>
    <w:p>
      <w:pPr>
        <w:spacing w:after="80"/>
      </w:pPr>
    </w:p>
    <w:p>
      <w:pPr>
        <w:keepNext/>
        <w:spacing w:before="160" w:after="40"/>
      </w:pPr>
      <w:r>
        <w:rPr>
          <w:rFonts w:ascii="Georgia" w:hAnsi="Georgia"/>
          <w:b/>
          <w:color w:val="1F2A33"/>
          <w:sz w:val="23"/>
        </w:rPr>
        <w:t>6.3  Method C — Market comparables (cross-check)</w:t>
      </w:r>
    </w:p>
    <w:p>
      <w:pPr>
        <w:spacing w:after="120" w:before="0"/>
        <w:jc w:val="both"/>
      </w:pPr>
      <w:r>
        <w:rPr>
          <w:rFonts w:ascii="Calibri" w:hAnsi="Calibri"/>
          <w:b w:val="0"/>
          <w:i w:val="0"/>
          <w:color w:val="1F2A33"/>
          <w:sz w:val="21"/>
        </w:rPr>
        <w:t>Across comparable asset-light, IP-rich energy-services and platform businesses, intangible / IP assets typically represent 25–40% of enterprise value. Applying that band to CEC’s R220m implies R55m–R88m of intangible value; the 30% mid-point is R66m.</w:t>
      </w:r>
    </w:p>
    <w:p>
      <w:pPr>
        <w:keepNext/>
        <w:spacing w:before="160" w:after="40"/>
      </w:pPr>
      <w:r>
        <w:rPr>
          <w:rFonts w:ascii="Georgia" w:hAnsi="Georgia"/>
          <w:b/>
          <w:color w:val="1F2A33"/>
          <w:sz w:val="23"/>
        </w:rPr>
        <w:t>6.4  Triangulation</w:t>
      </w:r>
    </w:p>
    <w:tbl>
      <w:tblPr>
        <w:tblW w:type="auto" w:w="0"/>
        <w:jc w:val="center"/>
        <w:tblLook w:firstColumn="1" w:firstRow="1" w:lastColumn="0" w:lastRow="0" w:noHBand="0" w:noVBand="1" w:val="04A0"/>
        <w:tblBorders>
          <w:top w:val="single" w:sz="4" w:space="0" w:color="D9E2DD"/>
          <w:bottom w:val="single" w:sz="4" w:space="0" w:color="D9E2DD"/>
          <w:insideH w:val="single" w:sz="4" w:space="0" w:color="D9E2DD"/>
          <w:left w:val="none"/>
          <w:right w:val="none"/>
          <w:insideV w:val="none"/>
        </w:tblBorders>
      </w:tblPr>
      <w:tblGrid>
        <w:gridCol w:w="3211"/>
        <w:gridCol w:w="3211"/>
        <w:gridCol w:w="3211"/>
      </w:tblGrid>
      <w:tr>
        <w:tc>
          <w:tcPr>
            <w:tcW w:type="dxa" w:w="4309"/>
            <w:shd w:val="clear" w:color="auto" w:fill="0B3D2E"/>
            <w:tcMar>
              <w:top w:w="60" w:type="dxa"/>
              <w:bottom w:w="60" w:type="dxa"/>
              <w:start w:w="110" w:type="dxa"/>
              <w:end w:w="110" w:type="dxa"/>
            </w:tcMar>
            <w:vAlign w:val="center"/>
          </w:tcPr>
          <w:p>
            <w:pPr>
              <w:spacing w:after="0" w:before="0"/>
              <w:jc w:val="left"/>
            </w:pPr>
            <w:r/>
            <w:r>
              <w:rPr>
                <w:rFonts w:ascii="Georgia" w:hAnsi="Georgia"/>
                <w:b/>
                <w:i w:val="0"/>
                <w:color w:val="FFFFFF"/>
                <w:sz w:val="19"/>
              </w:rPr>
              <w:t>Method</w:t>
            </w:r>
          </w:p>
        </w:tc>
        <w:tc>
          <w:tcPr>
            <w:tcW w:type="dxa" w:w="2098"/>
            <w:shd w:val="clear" w:color="auto" w:fill="0B3D2E"/>
            <w:tcMar>
              <w:top w:w="60" w:type="dxa"/>
              <w:bottom w:w="60" w:type="dxa"/>
              <w:start w:w="110" w:type="dxa"/>
              <w:end w:w="110" w:type="dxa"/>
            </w:tcMar>
            <w:vAlign w:val="center"/>
          </w:tcPr>
          <w:p>
            <w:pPr>
              <w:spacing w:after="0" w:before="0"/>
              <w:jc w:val="center"/>
            </w:pPr>
            <w:r/>
            <w:r>
              <w:rPr>
                <w:rFonts w:ascii="Georgia" w:hAnsi="Georgia"/>
                <w:b/>
                <w:i w:val="0"/>
                <w:color w:val="FFFFFF"/>
                <w:sz w:val="19"/>
              </w:rPr>
              <w:t>Range (Rm)</w:t>
            </w:r>
          </w:p>
        </w:tc>
        <w:tc>
          <w:tcPr>
            <w:tcW w:type="dxa" w:w="2268"/>
            <w:shd w:val="clear" w:color="auto" w:fill="0B3D2E"/>
            <w:tcMar>
              <w:top w:w="60" w:type="dxa"/>
              <w:bottom w:w="60" w:type="dxa"/>
              <w:start w:w="110" w:type="dxa"/>
              <w:end w:w="110" w:type="dxa"/>
            </w:tcMar>
            <w:vAlign w:val="center"/>
          </w:tcPr>
          <w:p>
            <w:pPr>
              <w:spacing w:after="0" w:before="0"/>
              <w:jc w:val="center"/>
            </w:pPr>
            <w:r/>
            <w:r>
              <w:rPr>
                <w:rFonts w:ascii="Georgia" w:hAnsi="Georgia"/>
                <w:b/>
                <w:i w:val="0"/>
                <w:color w:val="FFFFFF"/>
                <w:sz w:val="19"/>
              </w:rPr>
              <w:t>Implied % of R220m</w:t>
            </w:r>
          </w:p>
        </w:tc>
      </w:tr>
      <w:tr>
        <w:tc>
          <w:tcPr>
            <w:tcW w:type="dxa" w:w="4309"/>
            <w:tcMar>
              <w:top w:w="60" w:type="dxa"/>
              <w:bottom w:w="60" w:type="dxa"/>
              <w:start w:w="110" w:type="dxa"/>
              <w:end w:w="110" w:type="dxa"/>
            </w:tcMar>
            <w:vAlign w:val="center"/>
          </w:tcPr>
          <w:p>
            <w:pPr>
              <w:spacing w:after="0" w:before="0"/>
              <w:jc w:val="left"/>
            </w:pPr>
            <w:r/>
            <w:r>
              <w:rPr>
                <w:rFonts w:ascii="Calibri" w:hAnsi="Calibri"/>
                <w:b/>
                <w:i w:val="0"/>
                <w:color w:val="1F2A33"/>
                <w:sz w:val="19"/>
              </w:rPr>
              <w:t>A — Cost to recreate (floor)</w:t>
            </w:r>
          </w:p>
        </w:tc>
        <w:tc>
          <w:tcPr>
            <w:tcW w:type="dxa" w:w="2098"/>
            <w:tcMar>
              <w:top w:w="60" w:type="dxa"/>
              <w:bottom w:w="60" w:type="dxa"/>
              <w:start w:w="110" w:type="dxa"/>
              <w:end w:w="110" w:type="dxa"/>
            </w:tcMar>
            <w:vAlign w:val="center"/>
          </w:tcPr>
          <w:p>
            <w:pPr>
              <w:spacing w:after="0" w:before="0"/>
              <w:jc w:val="center"/>
            </w:pPr>
            <w:r/>
            <w:r>
              <w:rPr>
                <w:rFonts w:ascii="Calibri" w:hAnsi="Calibri"/>
                <w:b w:val="0"/>
                <w:i w:val="0"/>
                <w:color w:val="1F2A33"/>
                <w:sz w:val="19"/>
              </w:rPr>
              <w:t>55 – 62</w:t>
            </w:r>
          </w:p>
        </w:tc>
        <w:tc>
          <w:tcPr>
            <w:tcW w:type="dxa" w:w="2268"/>
            <w:tcMar>
              <w:top w:w="60" w:type="dxa"/>
              <w:bottom w:w="60" w:type="dxa"/>
              <w:start w:w="110" w:type="dxa"/>
              <w:end w:w="110" w:type="dxa"/>
            </w:tcMar>
            <w:vAlign w:val="center"/>
          </w:tcPr>
          <w:p>
            <w:pPr>
              <w:spacing w:after="0" w:before="0"/>
              <w:jc w:val="center"/>
            </w:pPr>
            <w:r/>
            <w:r>
              <w:rPr>
                <w:rFonts w:ascii="Calibri" w:hAnsi="Calibri"/>
                <w:b w:val="0"/>
                <w:i w:val="0"/>
                <w:color w:val="1F2A33"/>
                <w:sz w:val="19"/>
              </w:rPr>
              <w:t>25 – 28%</w:t>
            </w:r>
          </w:p>
        </w:tc>
      </w:tr>
      <w:tr>
        <w:tc>
          <w:tcPr>
            <w:tcW w:type="dxa" w:w="4309"/>
            <w:tcMar>
              <w:top w:w="60" w:type="dxa"/>
              <w:bottom w:w="60" w:type="dxa"/>
              <w:start w:w="110" w:type="dxa"/>
              <w:end w:w="110" w:type="dxa"/>
            </w:tcMar>
            <w:shd w:val="clear" w:color="auto" w:fill="F5F8F6"/>
            <w:vAlign w:val="center"/>
          </w:tcPr>
          <w:p>
            <w:pPr>
              <w:spacing w:after="0" w:before="0"/>
              <w:jc w:val="left"/>
            </w:pPr>
            <w:r/>
            <w:r>
              <w:rPr>
                <w:rFonts w:ascii="Calibri" w:hAnsi="Calibri"/>
                <w:b/>
                <w:i w:val="0"/>
                <w:color w:val="1F2A33"/>
                <w:sz w:val="19"/>
              </w:rPr>
              <w:t>B — Relief-from-royalty (income)</w:t>
            </w:r>
          </w:p>
        </w:tc>
        <w:tc>
          <w:tcPr>
            <w:tcW w:type="dxa" w:w="2098"/>
            <w:tcMar>
              <w:top w:w="60" w:type="dxa"/>
              <w:bottom w:w="60" w:type="dxa"/>
              <w:start w:w="110" w:type="dxa"/>
              <w:end w:w="110" w:type="dxa"/>
            </w:tcMar>
            <w:shd w:val="clear" w:color="auto" w:fill="F5F8F6"/>
            <w:vAlign w:val="center"/>
          </w:tcPr>
          <w:p>
            <w:pPr>
              <w:spacing w:after="0" w:before="0"/>
              <w:jc w:val="center"/>
            </w:pPr>
            <w:r/>
            <w:r>
              <w:rPr>
                <w:rFonts w:ascii="Calibri" w:hAnsi="Calibri"/>
                <w:b w:val="0"/>
                <w:i w:val="0"/>
                <w:color w:val="1F2A33"/>
                <w:sz w:val="19"/>
              </w:rPr>
              <w:t>65 – 73</w:t>
            </w:r>
          </w:p>
        </w:tc>
        <w:tc>
          <w:tcPr>
            <w:tcW w:type="dxa" w:w="2268"/>
            <w:tcMar>
              <w:top w:w="60" w:type="dxa"/>
              <w:bottom w:w="60" w:type="dxa"/>
              <w:start w:w="110" w:type="dxa"/>
              <w:end w:w="110" w:type="dxa"/>
            </w:tcMar>
            <w:shd w:val="clear" w:color="auto" w:fill="F5F8F6"/>
            <w:vAlign w:val="center"/>
          </w:tcPr>
          <w:p>
            <w:pPr>
              <w:spacing w:after="0" w:before="0"/>
              <w:jc w:val="center"/>
            </w:pPr>
            <w:r/>
            <w:r>
              <w:rPr>
                <w:rFonts w:ascii="Calibri" w:hAnsi="Calibri"/>
                <w:b w:val="0"/>
                <w:i w:val="0"/>
                <w:color w:val="1F2A33"/>
                <w:sz w:val="19"/>
              </w:rPr>
              <w:t>30 – 33%</w:t>
            </w:r>
          </w:p>
        </w:tc>
      </w:tr>
      <w:tr>
        <w:tc>
          <w:tcPr>
            <w:tcW w:type="dxa" w:w="4309"/>
            <w:tcMar>
              <w:top w:w="60" w:type="dxa"/>
              <w:bottom w:w="60" w:type="dxa"/>
              <w:start w:w="110" w:type="dxa"/>
              <w:end w:w="110" w:type="dxa"/>
            </w:tcMar>
            <w:vAlign w:val="center"/>
          </w:tcPr>
          <w:p>
            <w:pPr>
              <w:spacing w:after="0" w:before="0"/>
              <w:jc w:val="left"/>
            </w:pPr>
            <w:r/>
            <w:r>
              <w:rPr>
                <w:rFonts w:ascii="Calibri" w:hAnsi="Calibri"/>
                <w:b/>
                <w:i w:val="0"/>
                <w:color w:val="1F2A33"/>
                <w:sz w:val="19"/>
              </w:rPr>
              <w:t>C — Market comparables (cross-check)</w:t>
            </w:r>
          </w:p>
        </w:tc>
        <w:tc>
          <w:tcPr>
            <w:tcW w:type="dxa" w:w="2098"/>
            <w:tcMar>
              <w:top w:w="60" w:type="dxa"/>
              <w:bottom w:w="60" w:type="dxa"/>
              <w:start w:w="110" w:type="dxa"/>
              <w:end w:w="110" w:type="dxa"/>
            </w:tcMar>
            <w:vAlign w:val="center"/>
          </w:tcPr>
          <w:p>
            <w:pPr>
              <w:spacing w:after="0" w:before="0"/>
              <w:jc w:val="center"/>
            </w:pPr>
            <w:r/>
            <w:r>
              <w:rPr>
                <w:rFonts w:ascii="Calibri" w:hAnsi="Calibri"/>
                <w:b w:val="0"/>
                <w:i w:val="0"/>
                <w:color w:val="1F2A33"/>
                <w:sz w:val="19"/>
              </w:rPr>
              <w:t>55 – 88</w:t>
            </w:r>
          </w:p>
        </w:tc>
        <w:tc>
          <w:tcPr>
            <w:tcW w:type="dxa" w:w="2268"/>
            <w:tcMar>
              <w:top w:w="60" w:type="dxa"/>
              <w:bottom w:w="60" w:type="dxa"/>
              <w:start w:w="110" w:type="dxa"/>
              <w:end w:w="110" w:type="dxa"/>
            </w:tcMar>
            <w:vAlign w:val="center"/>
          </w:tcPr>
          <w:p>
            <w:pPr>
              <w:spacing w:after="0" w:before="0"/>
              <w:jc w:val="center"/>
            </w:pPr>
            <w:r/>
            <w:r>
              <w:rPr>
                <w:rFonts w:ascii="Calibri" w:hAnsi="Calibri"/>
                <w:b w:val="0"/>
                <w:i w:val="0"/>
                <w:color w:val="1F2A33"/>
                <w:sz w:val="19"/>
              </w:rPr>
              <w:t>25 – 40%</w:t>
            </w:r>
          </w:p>
        </w:tc>
      </w:tr>
      <w:tr>
        <w:tc>
          <w:tcPr>
            <w:tcW w:type="dxa" w:w="4309"/>
            <w:tcMar>
              <w:top w:w="60" w:type="dxa"/>
              <w:bottom w:w="60" w:type="dxa"/>
              <w:start w:w="110" w:type="dxa"/>
              <w:end w:w="110" w:type="dxa"/>
            </w:tcMar>
            <w:shd w:val="clear" w:color="auto" w:fill="0B3D2E"/>
            <w:vAlign w:val="center"/>
          </w:tcPr>
          <w:p>
            <w:pPr>
              <w:spacing w:after="0" w:before="0"/>
              <w:jc w:val="left"/>
            </w:pPr>
            <w:r/>
            <w:r>
              <w:rPr>
                <w:rFonts w:ascii="Calibri" w:hAnsi="Calibri"/>
                <w:b/>
                <w:i w:val="0"/>
                <w:color w:val="FFFFFF"/>
                <w:sz w:val="19"/>
              </w:rPr>
              <w:t>Selected — AI / soft-IP value</w:t>
            </w:r>
          </w:p>
        </w:tc>
        <w:tc>
          <w:tcPr>
            <w:tcW w:type="dxa" w:w="2098"/>
            <w:tcMar>
              <w:top w:w="60" w:type="dxa"/>
              <w:bottom w:w="60" w:type="dxa"/>
              <w:start w:w="110" w:type="dxa"/>
              <w:end w:w="110" w:type="dxa"/>
            </w:tcMar>
            <w:shd w:val="clear" w:color="auto" w:fill="0B3D2E"/>
            <w:vAlign w:val="center"/>
          </w:tcPr>
          <w:p>
            <w:pPr>
              <w:spacing w:after="0" w:before="0"/>
              <w:jc w:val="center"/>
            </w:pPr>
            <w:r/>
            <w:r>
              <w:rPr>
                <w:rFonts w:ascii="Calibri" w:hAnsi="Calibri"/>
                <w:b/>
                <w:i w:val="0"/>
                <w:color w:val="FFFFFF"/>
                <w:sz w:val="19"/>
              </w:rPr>
              <w:t>66</w:t>
            </w:r>
          </w:p>
        </w:tc>
        <w:tc>
          <w:tcPr>
            <w:tcW w:type="dxa" w:w="2268"/>
            <w:tcMar>
              <w:top w:w="60" w:type="dxa"/>
              <w:bottom w:w="60" w:type="dxa"/>
              <w:start w:w="110" w:type="dxa"/>
              <w:end w:w="110" w:type="dxa"/>
            </w:tcMar>
            <w:shd w:val="clear" w:color="auto" w:fill="0B3D2E"/>
            <w:vAlign w:val="center"/>
          </w:tcPr>
          <w:p>
            <w:pPr>
              <w:spacing w:after="0" w:before="0"/>
              <w:jc w:val="center"/>
            </w:pPr>
            <w:r/>
            <w:r>
              <w:rPr>
                <w:rFonts w:ascii="Calibri" w:hAnsi="Calibri"/>
                <w:b/>
                <w:i w:val="0"/>
                <w:color w:val="FFFFFF"/>
                <w:sz w:val="19"/>
              </w:rPr>
              <w:t>30%</w:t>
            </w:r>
          </w:p>
        </w:tc>
      </w:tr>
    </w:tbl>
    <w:p>
      <w:pPr>
        <w:spacing w:before="40" w:after="160"/>
      </w:pPr>
      <w:r>
        <w:rPr>
          <w:rFonts w:ascii="Calibri" w:hAnsi="Calibri"/>
          <w:i/>
          <w:color w:val="5B6670"/>
          <w:sz w:val="16"/>
        </w:rPr>
        <w:t>The three methods overlap in the R65–66m region; R66m (30%) is selected as the convergence point.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02"/>
        <w:gridCol w:w="9298"/>
      </w:tblGrid>
      <w:tr>
        <w:tc>
          <w:tcPr>
            <w:tcW w:type="dxa" w:w="4816"/>
            <w:shd w:val="clear" w:color="auto" w:fill="C9A227"/>
          </w:tcPr>
          <w:p>
            <w:r/>
          </w:p>
        </w:tc>
        <w:tc>
          <w:tcPr>
            <w:tcW w:type="dxa" w:w="4816"/>
            <w:shd w:val="clear" w:color="auto" w:fill="FBF6E7"/>
            <w:tcMar>
              <w:top w:w="120" w:type="dxa"/>
              <w:bottom w:w="120" w:type="dxa"/>
              <w:start w:w="200" w:type="dxa"/>
              <w:end w:w="200" w:type="dxa"/>
            </w:tcMar>
          </w:tcPr>
          <w:p>
            <w:pPr>
              <w:spacing w:after="40"/>
            </w:pPr>
            <w:r/>
            <w:r>
              <w:rPr>
                <w:rFonts w:ascii="Georgia" w:hAnsi="Georgia"/>
                <w:b/>
                <w:color w:val="C9A227"/>
                <w:sz w:val="21"/>
              </w:rPr>
              <w:t>Why AI specifically, and not just “IP”</w:t>
            </w:r>
          </w:p>
          <w:p>
            <w:pPr>
              <w:spacing w:after="0"/>
            </w:pPr>
            <w:r>
              <w:rPr>
                <w:rFonts w:ascii="Calibri" w:hAnsi="Calibri"/>
                <w:color w:val="1F2A33"/>
                <w:sz w:val="20"/>
              </w:rPr>
              <w:t>The premium is AI-led because the same know-how, run manually, does not scale and does not repeat at constant marginal cost. The AI platform is what converts each contributor’s expertise into a repeatable, optimising, margin-bearing service across all three verticals. Remove the AI layer and the verticals revert to commodity advisory/operating economics — which is exactly the value the 30% measures.</w:t>
            </w:r>
          </w:p>
        </w:tc>
      </w:tr>
    </w:tbl>
    <w:p>
      <w:pPr>
        <w:spacing w:after="40"/>
      </w:pPr>
    </w:p>
    <w:p>
      <w:r>
        <w:br w:type="page"/>
      </w:r>
    </w:p>
    <w:p>
      <w:pPr>
        <w:spacing w:after="40"/>
      </w:pPr>
    </w:p>
    <w:p>
      <w:pPr>
        <w:keepNext/>
        <w:spacing w:before="200" w:after="40"/>
      </w:pPr>
      <w:r>
        <w:rPr>
          <w:rFonts w:ascii="Georgia" w:hAnsi="Georgia"/>
          <w:b/>
          <w:color w:val="C9A227"/>
          <w:sz w:val="30"/>
        </w:rPr>
        <w:t xml:space="preserve">7.  </w:t>
      </w:r>
      <w:r>
        <w:rPr>
          <w:rFonts w:ascii="Georgia" w:hAnsi="Georgia"/>
          <w:b/>
          <w:color w:val="0B3D2E"/>
          <w:sz w:val="30"/>
        </w:rPr>
        <w:t>Soft-IP provenance — LTM Energy 80% / Stella’s Edge 20%</w:t>
      </w:r>
    </w:p>
    <w:p>
      <w:pPr>
        <w:spacing w:after="120"/>
        <w:pBdr>
          <w:bottom w:val="single" w:sz="6" w:space="1" w:color="C9A227"/>
        </w:pBdr>
      </w:pPr>
    </w:p>
    <w:p>
      <w:pPr>
        <w:spacing w:after="120" w:before="0"/>
        <w:jc w:val="both"/>
      </w:pPr>
      <w:r>
        <w:rPr>
          <w:rFonts w:ascii="Calibri" w:hAnsi="Calibri"/>
          <w:b w:val="0"/>
          <w:i w:val="0"/>
          <w:color w:val="1F2A33"/>
          <w:sz w:val="21"/>
        </w:rPr>
        <w:t>The R66m of soft IP is attributed by origin. The split reflects a contribution analysis — which party originated the value-bearing know-how that the platform operationalises — and must be underpinned by the IP assignment, contribution or licence agreements into the SPV.</w:t>
      </w:r>
    </w:p>
    <w:tbl>
      <w:tblPr>
        <w:tblW w:type="auto" w:w="0"/>
        <w:jc w:val="center"/>
        <w:tblLook w:firstColumn="1" w:firstRow="1" w:lastColumn="0" w:lastRow="0" w:noHBand="0" w:noVBand="1" w:val="04A0"/>
        <w:tblBorders>
          <w:top w:val="single" w:sz="4" w:space="0" w:color="D9E2DD"/>
          <w:bottom w:val="single" w:sz="4" w:space="0" w:color="D9E2DD"/>
          <w:insideH w:val="single" w:sz="4" w:space="0" w:color="D9E2DD"/>
          <w:left w:val="none"/>
          <w:right w:val="none"/>
          <w:insideV w:val="none"/>
        </w:tblBorders>
      </w:tblPr>
      <w:tblGrid>
        <w:gridCol w:w="2408"/>
        <w:gridCol w:w="2408"/>
        <w:gridCol w:w="2408"/>
        <w:gridCol w:w="2408"/>
      </w:tblGrid>
      <w:tr>
        <w:tc>
          <w:tcPr>
            <w:tcW w:type="dxa" w:w="1928"/>
            <w:shd w:val="clear" w:color="auto" w:fill="0B3D2E"/>
            <w:tcMar>
              <w:top w:w="60" w:type="dxa"/>
              <w:bottom w:w="60" w:type="dxa"/>
              <w:start w:w="110" w:type="dxa"/>
              <w:end w:w="110" w:type="dxa"/>
            </w:tcMar>
            <w:vAlign w:val="center"/>
          </w:tcPr>
          <w:p>
            <w:pPr>
              <w:spacing w:after="0" w:before="0"/>
              <w:jc w:val="left"/>
            </w:pPr>
            <w:r/>
            <w:r>
              <w:rPr>
                <w:rFonts w:ascii="Georgia" w:hAnsi="Georgia"/>
                <w:b/>
                <w:i w:val="0"/>
                <w:color w:val="FFFFFF"/>
                <w:sz w:val="19"/>
              </w:rPr>
              <w:t>Provenance</w:t>
            </w:r>
          </w:p>
        </w:tc>
        <w:tc>
          <w:tcPr>
            <w:tcW w:type="dxa" w:w="4876"/>
            <w:shd w:val="clear" w:color="auto" w:fill="0B3D2E"/>
            <w:tcMar>
              <w:top w:w="60" w:type="dxa"/>
              <w:bottom w:w="60" w:type="dxa"/>
              <w:start w:w="110" w:type="dxa"/>
              <w:end w:w="110" w:type="dxa"/>
            </w:tcMar>
            <w:vAlign w:val="center"/>
          </w:tcPr>
          <w:p>
            <w:pPr>
              <w:spacing w:after="0" w:before="0"/>
              <w:jc w:val="left"/>
            </w:pPr>
            <w:r/>
            <w:r>
              <w:rPr>
                <w:rFonts w:ascii="Georgia" w:hAnsi="Georgia"/>
                <w:b/>
                <w:i w:val="0"/>
                <w:color w:val="FFFFFF"/>
                <w:sz w:val="19"/>
              </w:rPr>
              <w:t>Contribution</w:t>
            </w:r>
          </w:p>
        </w:tc>
        <w:tc>
          <w:tcPr>
            <w:tcW w:type="dxa" w:w="907"/>
            <w:shd w:val="clear" w:color="auto" w:fill="0B3D2E"/>
            <w:tcMar>
              <w:top w:w="60" w:type="dxa"/>
              <w:bottom w:w="60" w:type="dxa"/>
              <w:start w:w="110" w:type="dxa"/>
              <w:end w:w="110" w:type="dxa"/>
            </w:tcMar>
            <w:vAlign w:val="center"/>
          </w:tcPr>
          <w:p>
            <w:pPr>
              <w:spacing w:after="0" w:before="0"/>
              <w:jc w:val="center"/>
            </w:pPr>
            <w:r/>
            <w:r>
              <w:rPr>
                <w:rFonts w:ascii="Georgia" w:hAnsi="Georgia"/>
                <w:b/>
                <w:i w:val="0"/>
                <w:color w:val="FFFFFF"/>
                <w:sz w:val="19"/>
              </w:rPr>
              <w:t>Share</w:t>
            </w:r>
          </w:p>
        </w:tc>
        <w:tc>
          <w:tcPr>
            <w:tcW w:type="dxa" w:w="1247"/>
            <w:shd w:val="clear" w:color="auto" w:fill="0B3D2E"/>
            <w:tcMar>
              <w:top w:w="60" w:type="dxa"/>
              <w:bottom w:w="60" w:type="dxa"/>
              <w:start w:w="110" w:type="dxa"/>
              <w:end w:w="110" w:type="dxa"/>
            </w:tcMar>
            <w:vAlign w:val="center"/>
          </w:tcPr>
          <w:p>
            <w:pPr>
              <w:spacing w:after="0" w:before="0"/>
              <w:jc w:val="right"/>
            </w:pPr>
            <w:r/>
            <w:r>
              <w:rPr>
                <w:rFonts w:ascii="Georgia" w:hAnsi="Georgia"/>
                <w:b/>
                <w:i w:val="0"/>
                <w:color w:val="FFFFFF"/>
                <w:sz w:val="19"/>
              </w:rPr>
              <w:t>Value (Rm)</w:t>
            </w:r>
          </w:p>
        </w:tc>
      </w:tr>
      <w:tr>
        <w:tc>
          <w:tcPr>
            <w:tcW w:type="dxa" w:w="1928"/>
            <w:tcMar>
              <w:top w:w="60" w:type="dxa"/>
              <w:bottom w:w="60" w:type="dxa"/>
              <w:start w:w="110" w:type="dxa"/>
              <w:end w:w="110" w:type="dxa"/>
            </w:tcMar>
            <w:vAlign w:val="center"/>
          </w:tcPr>
          <w:p>
            <w:pPr>
              <w:spacing w:after="0" w:before="0"/>
              <w:jc w:val="left"/>
            </w:pPr>
            <w:r/>
            <w:r>
              <w:rPr>
                <w:rFonts w:ascii="Calibri" w:hAnsi="Calibri"/>
                <w:b/>
                <w:i w:val="0"/>
                <w:color w:val="1F2A33"/>
                <w:sz w:val="19"/>
              </w:rPr>
              <w:t>LTM Energy Group</w:t>
            </w:r>
          </w:p>
        </w:tc>
        <w:tc>
          <w:tcPr>
            <w:tcW w:type="dxa" w:w="4876"/>
            <w:tcMar>
              <w:top w:w="60" w:type="dxa"/>
              <w:bottom w:w="60" w:type="dxa"/>
              <w:start w:w="110" w:type="dxa"/>
              <w:end w:w="110" w:type="dxa"/>
            </w:tcMar>
            <w:vAlign w:val="center"/>
          </w:tcPr>
          <w:p>
            <w:pPr>
              <w:spacing w:after="0" w:before="0"/>
              <w:jc w:val="left"/>
            </w:pPr>
            <w:r/>
            <w:r>
              <w:rPr>
                <w:rFonts w:ascii="Calibri" w:hAnsi="Calibri"/>
                <w:b w:val="0"/>
                <w:i w:val="0"/>
                <w:color w:val="1F2A33"/>
                <w:sz w:val="19"/>
              </w:rPr>
              <w:t>Conduit-hydro generation, O&amp;M and energy-structuring IP — the core engineering and operating know-how feeding O&amp;M and ESCO</w:t>
            </w:r>
          </w:p>
        </w:tc>
        <w:tc>
          <w:tcPr>
            <w:tcW w:type="dxa" w:w="907"/>
            <w:tcMar>
              <w:top w:w="60" w:type="dxa"/>
              <w:bottom w:w="60" w:type="dxa"/>
              <w:start w:w="110" w:type="dxa"/>
              <w:end w:w="110" w:type="dxa"/>
            </w:tcMar>
            <w:vAlign w:val="center"/>
          </w:tcPr>
          <w:p>
            <w:pPr>
              <w:spacing w:after="0" w:before="0"/>
              <w:jc w:val="center"/>
            </w:pPr>
            <w:r/>
            <w:r>
              <w:rPr>
                <w:rFonts w:ascii="Calibri" w:hAnsi="Calibri"/>
                <w:b w:val="0"/>
                <w:i w:val="0"/>
                <w:color w:val="1F2A33"/>
                <w:sz w:val="19"/>
              </w:rPr>
              <w:t>80%</w:t>
            </w:r>
          </w:p>
        </w:tc>
        <w:tc>
          <w:tcPr>
            <w:tcW w:type="dxa" w:w="1247"/>
            <w:tcMar>
              <w:top w:w="60" w:type="dxa"/>
              <w:bottom w:w="60" w:type="dxa"/>
              <w:start w:w="110" w:type="dxa"/>
              <w:end w:w="110" w:type="dxa"/>
            </w:tcMar>
            <w:vAlign w:val="center"/>
          </w:tcPr>
          <w:p>
            <w:pPr>
              <w:spacing w:after="0" w:before="0"/>
              <w:jc w:val="right"/>
            </w:pPr>
            <w:r/>
            <w:r>
              <w:rPr>
                <w:rFonts w:ascii="Calibri" w:hAnsi="Calibri"/>
                <w:b w:val="0"/>
                <w:i w:val="0"/>
                <w:color w:val="1F2A33"/>
                <w:sz w:val="19"/>
              </w:rPr>
              <w:t>52.8</w:t>
            </w:r>
          </w:p>
        </w:tc>
      </w:tr>
      <w:tr>
        <w:tc>
          <w:tcPr>
            <w:tcW w:type="dxa" w:w="1928"/>
            <w:tcMar>
              <w:top w:w="60" w:type="dxa"/>
              <w:bottom w:w="60" w:type="dxa"/>
              <w:start w:w="110" w:type="dxa"/>
              <w:end w:w="110" w:type="dxa"/>
            </w:tcMar>
            <w:shd w:val="clear" w:color="auto" w:fill="F5F8F6"/>
            <w:vAlign w:val="center"/>
          </w:tcPr>
          <w:p>
            <w:pPr>
              <w:spacing w:after="0" w:before="0"/>
              <w:jc w:val="left"/>
            </w:pPr>
            <w:r/>
            <w:r>
              <w:rPr>
                <w:rFonts w:ascii="Calibri" w:hAnsi="Calibri"/>
                <w:b/>
                <w:i w:val="0"/>
                <w:color w:val="1F2A33"/>
                <w:sz w:val="19"/>
              </w:rPr>
              <w:t>Stella’s Edge</w:t>
            </w:r>
          </w:p>
        </w:tc>
        <w:tc>
          <w:tcPr>
            <w:tcW w:type="dxa" w:w="4876"/>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Investment-finance and transaction-structuring IP, and the capital discipline that operationalises the Investment-Finance vertical</w:t>
            </w:r>
          </w:p>
        </w:tc>
        <w:tc>
          <w:tcPr>
            <w:tcW w:type="dxa" w:w="907"/>
            <w:tcMar>
              <w:top w:w="60" w:type="dxa"/>
              <w:bottom w:w="60" w:type="dxa"/>
              <w:start w:w="110" w:type="dxa"/>
              <w:end w:w="110" w:type="dxa"/>
            </w:tcMar>
            <w:shd w:val="clear" w:color="auto" w:fill="F5F8F6"/>
            <w:vAlign w:val="center"/>
          </w:tcPr>
          <w:p>
            <w:pPr>
              <w:spacing w:after="0" w:before="0"/>
              <w:jc w:val="center"/>
            </w:pPr>
            <w:r/>
            <w:r>
              <w:rPr>
                <w:rFonts w:ascii="Calibri" w:hAnsi="Calibri"/>
                <w:b w:val="0"/>
                <w:i w:val="0"/>
                <w:color w:val="1F2A33"/>
                <w:sz w:val="19"/>
              </w:rPr>
              <w:t>20%</w:t>
            </w:r>
          </w:p>
        </w:tc>
        <w:tc>
          <w:tcPr>
            <w:tcW w:type="dxa" w:w="1247"/>
            <w:tcMar>
              <w:top w:w="60" w:type="dxa"/>
              <w:bottom w:w="60" w:type="dxa"/>
              <w:start w:w="110" w:type="dxa"/>
              <w:end w:w="110" w:type="dxa"/>
            </w:tcMar>
            <w:shd w:val="clear" w:color="auto" w:fill="F5F8F6"/>
            <w:vAlign w:val="center"/>
          </w:tcPr>
          <w:p>
            <w:pPr>
              <w:spacing w:after="0" w:before="0"/>
              <w:jc w:val="right"/>
            </w:pPr>
            <w:r/>
            <w:r>
              <w:rPr>
                <w:rFonts w:ascii="Calibri" w:hAnsi="Calibri"/>
                <w:b w:val="0"/>
                <w:i w:val="0"/>
                <w:color w:val="1F2A33"/>
                <w:sz w:val="19"/>
              </w:rPr>
              <w:t>13.2</w:t>
            </w:r>
          </w:p>
        </w:tc>
      </w:tr>
      <w:tr>
        <w:tc>
          <w:tcPr>
            <w:tcW w:type="dxa" w:w="1928"/>
            <w:tcMar>
              <w:top w:w="60" w:type="dxa"/>
              <w:bottom w:w="60" w:type="dxa"/>
              <w:start w:w="110" w:type="dxa"/>
              <w:end w:w="110" w:type="dxa"/>
            </w:tcMar>
            <w:shd w:val="clear" w:color="auto" w:fill="0B3D2E"/>
            <w:vAlign w:val="center"/>
          </w:tcPr>
          <w:p>
            <w:pPr>
              <w:spacing w:after="0" w:before="0"/>
              <w:jc w:val="left"/>
            </w:pPr>
            <w:r/>
            <w:r>
              <w:rPr>
                <w:rFonts w:ascii="Calibri" w:hAnsi="Calibri"/>
                <w:b/>
                <w:i w:val="0"/>
                <w:color w:val="FFFFFF"/>
                <w:sz w:val="19"/>
              </w:rPr>
              <w:t>Total soft IP</w:t>
            </w:r>
          </w:p>
        </w:tc>
        <w:tc>
          <w:tcPr>
            <w:tcW w:type="dxa" w:w="4876"/>
            <w:tcMar>
              <w:top w:w="60" w:type="dxa"/>
              <w:bottom w:w="60" w:type="dxa"/>
              <w:start w:w="110" w:type="dxa"/>
              <w:end w:w="110" w:type="dxa"/>
            </w:tcMar>
            <w:shd w:val="clear" w:color="auto" w:fill="0B3D2E"/>
            <w:vAlign w:val="center"/>
          </w:tcPr>
          <w:p>
            <w:pPr>
              <w:spacing w:after="0" w:before="0"/>
              <w:jc w:val="left"/>
            </w:pPr>
            <w:r/>
          </w:p>
        </w:tc>
        <w:tc>
          <w:tcPr>
            <w:tcW w:type="dxa" w:w="907"/>
            <w:tcMar>
              <w:top w:w="60" w:type="dxa"/>
              <w:bottom w:w="60" w:type="dxa"/>
              <w:start w:w="110" w:type="dxa"/>
              <w:end w:w="110" w:type="dxa"/>
            </w:tcMar>
            <w:shd w:val="clear" w:color="auto" w:fill="0B3D2E"/>
            <w:vAlign w:val="center"/>
          </w:tcPr>
          <w:p>
            <w:pPr>
              <w:spacing w:after="0" w:before="0"/>
              <w:jc w:val="center"/>
            </w:pPr>
            <w:r/>
            <w:r>
              <w:rPr>
                <w:rFonts w:ascii="Calibri" w:hAnsi="Calibri"/>
                <w:b/>
                <w:i w:val="0"/>
                <w:color w:val="FFFFFF"/>
                <w:sz w:val="19"/>
              </w:rPr>
              <w:t>100%</w:t>
            </w:r>
          </w:p>
        </w:tc>
        <w:tc>
          <w:tcPr>
            <w:tcW w:type="dxa" w:w="1247"/>
            <w:tcMar>
              <w:top w:w="60" w:type="dxa"/>
              <w:bottom w:w="60" w:type="dxa"/>
              <w:start w:w="110" w:type="dxa"/>
              <w:end w:w="110" w:type="dxa"/>
            </w:tcMar>
            <w:shd w:val="clear" w:color="auto" w:fill="0B3D2E"/>
            <w:vAlign w:val="center"/>
          </w:tcPr>
          <w:p>
            <w:pPr>
              <w:spacing w:after="0" w:before="0"/>
              <w:jc w:val="right"/>
            </w:pPr>
            <w:r/>
            <w:r>
              <w:rPr>
                <w:rFonts w:ascii="Calibri" w:hAnsi="Calibri"/>
                <w:b/>
                <w:i w:val="0"/>
                <w:color w:val="FFFFFF"/>
                <w:sz w:val="19"/>
              </w:rPr>
              <w:t>66.0</w:t>
            </w:r>
          </w:p>
        </w:tc>
      </w:tr>
    </w:tbl>
    <w:p>
      <w:pPr>
        <w:spacing w:after="80"/>
      </w:pPr>
    </w:p>
    <w:p>
      <w:pPr>
        <w:keepNext/>
        <w:spacing w:before="160" w:after="40"/>
      </w:pPr>
      <w:r>
        <w:rPr>
          <w:rFonts w:ascii="Georgia" w:hAnsi="Georgia"/>
          <w:b/>
          <w:color w:val="1F2A33"/>
          <w:sz w:val="23"/>
        </w:rPr>
        <w:t>Why 80 / 20 is defensible</w:t>
      </w:r>
    </w:p>
    <w:p>
      <w:pPr>
        <w:pStyle w:val="ListBullet"/>
        <w:spacing w:after="60"/>
      </w:pPr>
      <w:r>
        <w:rPr>
          <w:rFonts w:ascii="Calibri" w:hAnsi="Calibri"/>
          <w:b/>
          <w:color w:val="0B3D2E"/>
          <w:sz w:val="21"/>
        </w:rPr>
        <w:t xml:space="preserve">Weight of contribution:  </w:t>
      </w:r>
      <w:r>
        <w:rPr>
          <w:rFonts w:ascii="Calibri" w:hAnsi="Calibri"/>
          <w:color w:val="1F2A33"/>
          <w:sz w:val="21"/>
        </w:rPr>
        <w:t>two of the three verticals (O&amp;M and ESCO) are built directly on LTM’s energy and operating IP; the engineering know-how is the harder-to-replicate, longer-lived asset.</w:t>
      </w:r>
    </w:p>
    <w:p>
      <w:pPr>
        <w:pStyle w:val="ListBullet"/>
        <w:spacing w:after="60"/>
      </w:pPr>
      <w:r>
        <w:rPr>
          <w:rFonts w:ascii="Calibri" w:hAnsi="Calibri"/>
          <w:b/>
          <w:color w:val="0B3D2E"/>
          <w:sz w:val="21"/>
        </w:rPr>
        <w:t xml:space="preserve">Replaceability:  </w:t>
      </w:r>
      <w:r>
        <w:rPr>
          <w:rFonts w:ascii="Calibri" w:hAnsi="Calibri"/>
          <w:color w:val="1F2A33"/>
          <w:sz w:val="21"/>
        </w:rPr>
        <w:t>LTM’s conduit-hydro and operating IP is specialised and scarce; finance/structuring IP, while valuable, is more substitutable — supporting the minority share for Stella’s Edge.</w:t>
      </w:r>
    </w:p>
    <w:p>
      <w:pPr>
        <w:pStyle w:val="ListBullet"/>
        <w:spacing w:after="60"/>
      </w:pPr>
      <w:r>
        <w:rPr>
          <w:rFonts w:ascii="Calibri" w:hAnsi="Calibri"/>
          <w:b/>
          <w:color w:val="0B3D2E"/>
          <w:sz w:val="21"/>
        </w:rPr>
        <w:t xml:space="preserve">Legal basis:  </w:t>
      </w:r>
      <w:r>
        <w:rPr>
          <w:rFonts w:ascii="Calibri" w:hAnsi="Calibri"/>
          <w:color w:val="1F2A33"/>
          <w:sz w:val="21"/>
        </w:rPr>
        <w:t>the split should mirror the IP contributed/assigned into the SPV under the contribution and shareholders’ agreements.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02"/>
        <w:gridCol w:w="9298"/>
      </w:tblGrid>
      <w:tr>
        <w:tc>
          <w:tcPr>
            <w:tcW w:type="dxa" w:w="4816"/>
            <w:shd w:val="clear" w:color="auto" w:fill="C9A227"/>
          </w:tcPr>
          <w:p>
            <w:r/>
          </w:p>
        </w:tc>
        <w:tc>
          <w:tcPr>
            <w:tcW w:type="dxa" w:w="4816"/>
            <w:shd w:val="clear" w:color="auto" w:fill="FBF6E7"/>
            <w:tcMar>
              <w:top w:w="120" w:type="dxa"/>
              <w:bottom w:w="120" w:type="dxa"/>
              <w:start w:w="200" w:type="dxa"/>
              <w:end w:w="200" w:type="dxa"/>
            </w:tcMar>
          </w:tcPr>
          <w:p>
            <w:pPr>
              <w:spacing w:after="40"/>
            </w:pPr>
            <w:r/>
            <w:r>
              <w:rPr>
                <w:rFonts w:ascii="Georgia" w:hAnsi="Georgia"/>
                <w:b/>
                <w:color w:val="C9A227"/>
                <w:sz w:val="21"/>
              </w:rPr>
              <w:t>Evidence an investor will ask for</w:t>
            </w:r>
          </w:p>
          <w:p>
            <w:pPr>
              <w:spacing w:after="0"/>
            </w:pPr>
            <w:r>
              <w:rPr>
                <w:rFonts w:ascii="Calibri" w:hAnsi="Calibri"/>
                <w:color w:val="1F2A33"/>
                <w:sz w:val="20"/>
              </w:rPr>
              <w:t>Be ready to produce: (i) the IP assignment / contribution agreements transferring each party’s soft IP into the SPV; (ii) a schedule of the IP assets (platform modules, engineering documents, methodologies); and (iii) the shareholders’ agreement reflecting the 80/20 economic interest in the soft IP. [CONFIRM these exist and are executed.]</w:t>
            </w:r>
          </w:p>
        </w:tc>
      </w:tr>
    </w:tbl>
    <w:p>
      <w:pPr>
        <w:spacing w:after="40"/>
      </w:pPr>
    </w:p>
    <w:p>
      <w:r>
        <w:br w:type="page"/>
      </w:r>
    </w:p>
    <w:p>
      <w:pPr>
        <w:spacing w:after="40"/>
      </w:pPr>
    </w:p>
    <w:p>
      <w:pPr>
        <w:keepNext/>
        <w:spacing w:before="200" w:after="40"/>
      </w:pPr>
      <w:r>
        <w:rPr>
          <w:rFonts w:ascii="Georgia" w:hAnsi="Georgia"/>
          <w:b/>
          <w:color w:val="C9A227"/>
          <w:sz w:val="30"/>
        </w:rPr>
        <w:t xml:space="preserve">8.  </w:t>
      </w:r>
      <w:r>
        <w:rPr>
          <w:rFonts w:ascii="Georgia" w:hAnsi="Georgia"/>
          <w:b/>
          <w:color w:val="0B3D2E"/>
          <w:sz w:val="30"/>
        </w:rPr>
        <w:t>Reconciliation to R220m &amp; sensitivity</w:t>
      </w:r>
    </w:p>
    <w:p>
      <w:pPr>
        <w:spacing w:after="120"/>
        <w:pBdr>
          <w:bottom w:val="single" w:sz="6" w:space="1" w:color="C9A227"/>
        </w:pBdr>
      </w:pPr>
    </w:p>
    <w:p>
      <w:pPr>
        <w:keepNext/>
        <w:spacing w:before="160" w:after="40"/>
      </w:pPr>
      <w:r>
        <w:rPr>
          <w:rFonts w:ascii="Georgia" w:hAnsi="Georgia"/>
          <w:b/>
          <w:color w:val="1F2A33"/>
          <w:sz w:val="23"/>
        </w:rPr>
        <w:t>8.1  Value waterfall</w:t>
      </w:r>
    </w:p>
    <w:tbl>
      <w:tblPr>
        <w:tblW w:type="auto" w:w="0"/>
        <w:jc w:val="center"/>
        <w:tblLook w:firstColumn="1" w:firstRow="1" w:lastColumn="0" w:lastRow="0" w:noHBand="0" w:noVBand="1" w:val="04A0"/>
        <w:tblBorders>
          <w:top w:val="single" w:sz="4" w:space="0" w:color="D9E2DD"/>
          <w:bottom w:val="single" w:sz="4" w:space="0" w:color="D9E2DD"/>
          <w:insideH w:val="single" w:sz="4" w:space="0" w:color="D9E2DD"/>
          <w:left w:val="none"/>
          <w:right w:val="none"/>
          <w:insideV w:val="none"/>
        </w:tblBorders>
      </w:tblPr>
      <w:tblGrid>
        <w:gridCol w:w="4816"/>
        <w:gridCol w:w="4816"/>
      </w:tblGrid>
      <w:tr>
        <w:tc>
          <w:tcPr>
            <w:tcW w:type="dxa" w:w="6236"/>
            <w:shd w:val="clear" w:color="auto" w:fill="0B3D2E"/>
            <w:tcMar>
              <w:top w:w="60" w:type="dxa"/>
              <w:bottom w:w="60" w:type="dxa"/>
              <w:start w:w="110" w:type="dxa"/>
              <w:end w:w="110" w:type="dxa"/>
            </w:tcMar>
            <w:vAlign w:val="center"/>
          </w:tcPr>
          <w:p>
            <w:pPr>
              <w:spacing w:after="0" w:before="0"/>
              <w:jc w:val="left"/>
            </w:pPr>
            <w:r/>
            <w:r>
              <w:rPr>
                <w:rFonts w:ascii="Georgia" w:hAnsi="Georgia"/>
                <w:b/>
                <w:i w:val="0"/>
                <w:color w:val="FFFFFF"/>
                <w:sz w:val="19"/>
              </w:rPr>
              <w:t>Step</w:t>
            </w:r>
          </w:p>
        </w:tc>
        <w:tc>
          <w:tcPr>
            <w:tcW w:type="dxa" w:w="2268"/>
            <w:shd w:val="clear" w:color="auto" w:fill="0B3D2E"/>
            <w:tcMar>
              <w:top w:w="60" w:type="dxa"/>
              <w:bottom w:w="60" w:type="dxa"/>
              <w:start w:w="110" w:type="dxa"/>
              <w:end w:w="110" w:type="dxa"/>
            </w:tcMar>
            <w:vAlign w:val="center"/>
          </w:tcPr>
          <w:p>
            <w:pPr>
              <w:spacing w:after="0" w:before="0"/>
              <w:jc w:val="right"/>
            </w:pPr>
            <w:r/>
            <w:r>
              <w:rPr>
                <w:rFonts w:ascii="Georgia" w:hAnsi="Georgia"/>
                <w:b/>
                <w:i w:val="0"/>
                <w:color w:val="FFFFFF"/>
                <w:sz w:val="19"/>
              </w:rPr>
              <w:t>Running value (Rm)</w:t>
            </w:r>
          </w:p>
        </w:tc>
      </w:tr>
      <w:tr>
        <w:tc>
          <w:tcPr>
            <w:tcW w:type="dxa" w:w="6236"/>
            <w:tcMar>
              <w:top w:w="60" w:type="dxa"/>
              <w:bottom w:w="60" w:type="dxa"/>
              <w:start w:w="110" w:type="dxa"/>
              <w:end w:w="110" w:type="dxa"/>
            </w:tcMar>
            <w:vAlign w:val="center"/>
          </w:tcPr>
          <w:p>
            <w:pPr>
              <w:spacing w:after="0" w:before="0"/>
              <w:jc w:val="left"/>
            </w:pPr>
            <w:r/>
            <w:r>
              <w:rPr>
                <w:rFonts w:ascii="Calibri" w:hAnsi="Calibri"/>
                <w:b/>
                <w:i w:val="0"/>
                <w:color w:val="1F2A33"/>
                <w:sz w:val="19"/>
              </w:rPr>
              <w:t>O&amp;M vertical</w:t>
            </w:r>
          </w:p>
        </w:tc>
        <w:tc>
          <w:tcPr>
            <w:tcW w:type="dxa" w:w="2268"/>
            <w:tcMar>
              <w:top w:w="60" w:type="dxa"/>
              <w:bottom w:w="60" w:type="dxa"/>
              <w:start w:w="110" w:type="dxa"/>
              <w:end w:w="110" w:type="dxa"/>
            </w:tcMar>
            <w:vAlign w:val="center"/>
          </w:tcPr>
          <w:p>
            <w:pPr>
              <w:spacing w:after="0" w:before="0"/>
              <w:jc w:val="right"/>
            </w:pPr>
            <w:r/>
            <w:r>
              <w:rPr>
                <w:rFonts w:ascii="Calibri" w:hAnsi="Calibri"/>
                <w:b w:val="0"/>
                <w:i w:val="0"/>
                <w:color w:val="1F2A33"/>
                <w:sz w:val="19"/>
              </w:rPr>
              <w:t>62</w:t>
            </w:r>
          </w:p>
        </w:tc>
      </w:tr>
      <w:tr>
        <w:tc>
          <w:tcPr>
            <w:tcW w:type="dxa" w:w="6236"/>
            <w:tcMar>
              <w:top w:w="60" w:type="dxa"/>
              <w:bottom w:w="60" w:type="dxa"/>
              <w:start w:w="110" w:type="dxa"/>
              <w:end w:w="110" w:type="dxa"/>
            </w:tcMar>
            <w:shd w:val="clear" w:color="auto" w:fill="F5F8F6"/>
            <w:vAlign w:val="center"/>
          </w:tcPr>
          <w:p>
            <w:pPr>
              <w:spacing w:after="0" w:before="0"/>
              <w:jc w:val="left"/>
            </w:pPr>
            <w:r/>
            <w:r>
              <w:rPr>
                <w:rFonts w:ascii="Calibri" w:hAnsi="Calibri"/>
                <w:b/>
                <w:i w:val="0"/>
                <w:color w:val="1F2A33"/>
                <w:sz w:val="19"/>
              </w:rPr>
              <w:t>+ ESCO vertical</w:t>
            </w:r>
          </w:p>
        </w:tc>
        <w:tc>
          <w:tcPr>
            <w:tcW w:type="dxa" w:w="2268"/>
            <w:tcMar>
              <w:top w:w="60" w:type="dxa"/>
              <w:bottom w:w="60" w:type="dxa"/>
              <w:start w:w="110" w:type="dxa"/>
              <w:end w:w="110" w:type="dxa"/>
            </w:tcMar>
            <w:shd w:val="clear" w:color="auto" w:fill="F5F8F6"/>
            <w:vAlign w:val="center"/>
          </w:tcPr>
          <w:p>
            <w:pPr>
              <w:spacing w:after="0" w:before="0"/>
              <w:jc w:val="right"/>
            </w:pPr>
            <w:r/>
            <w:r>
              <w:rPr>
                <w:rFonts w:ascii="Calibri" w:hAnsi="Calibri"/>
                <w:b w:val="0"/>
                <w:i w:val="0"/>
                <w:color w:val="1F2A33"/>
                <w:sz w:val="19"/>
              </w:rPr>
              <w:t>108</w:t>
            </w:r>
          </w:p>
        </w:tc>
      </w:tr>
      <w:tr>
        <w:tc>
          <w:tcPr>
            <w:tcW w:type="dxa" w:w="6236"/>
            <w:tcMar>
              <w:top w:w="60" w:type="dxa"/>
              <w:bottom w:w="60" w:type="dxa"/>
              <w:start w:w="110" w:type="dxa"/>
              <w:end w:w="110" w:type="dxa"/>
            </w:tcMar>
            <w:vAlign w:val="center"/>
          </w:tcPr>
          <w:p>
            <w:pPr>
              <w:spacing w:after="0" w:before="0"/>
              <w:jc w:val="left"/>
            </w:pPr>
            <w:r/>
            <w:r>
              <w:rPr>
                <w:rFonts w:ascii="Calibri" w:hAnsi="Calibri"/>
                <w:b/>
                <w:i w:val="0"/>
                <w:color w:val="1F2A33"/>
                <w:sz w:val="19"/>
              </w:rPr>
              <w:t>+ Investment-Finance vertical</w:t>
            </w:r>
          </w:p>
        </w:tc>
        <w:tc>
          <w:tcPr>
            <w:tcW w:type="dxa" w:w="2268"/>
            <w:tcMar>
              <w:top w:w="60" w:type="dxa"/>
              <w:bottom w:w="60" w:type="dxa"/>
              <w:start w:w="110" w:type="dxa"/>
              <w:end w:w="110" w:type="dxa"/>
            </w:tcMar>
            <w:vAlign w:val="center"/>
          </w:tcPr>
          <w:p>
            <w:pPr>
              <w:spacing w:after="0" w:before="0"/>
              <w:jc w:val="right"/>
            </w:pPr>
            <w:r/>
            <w:r>
              <w:rPr>
                <w:rFonts w:ascii="Calibri" w:hAnsi="Calibri"/>
                <w:b w:val="0"/>
                <w:i w:val="0"/>
                <w:color w:val="1F2A33"/>
                <w:sz w:val="19"/>
              </w:rPr>
              <w:t>154</w:t>
            </w:r>
          </w:p>
        </w:tc>
      </w:tr>
      <w:tr>
        <w:tc>
          <w:tcPr>
            <w:tcW w:type="dxa" w:w="6236"/>
            <w:tcMar>
              <w:top w:w="60" w:type="dxa"/>
              <w:bottom w:w="60" w:type="dxa"/>
              <w:start w:w="110" w:type="dxa"/>
              <w:end w:w="110" w:type="dxa"/>
            </w:tcMar>
            <w:shd w:val="clear" w:color="auto" w:fill="F5F8F6"/>
            <w:vAlign w:val="center"/>
          </w:tcPr>
          <w:p>
            <w:pPr>
              <w:spacing w:after="0" w:before="0"/>
              <w:jc w:val="left"/>
            </w:pPr>
            <w:r/>
            <w:r>
              <w:rPr>
                <w:rFonts w:ascii="Calibri" w:hAnsi="Calibri"/>
                <w:b/>
                <w:i w:val="0"/>
                <w:color w:val="1F2A33"/>
                <w:sz w:val="19"/>
              </w:rPr>
              <w:t>= Operating-business value (70%)</w:t>
            </w:r>
          </w:p>
        </w:tc>
        <w:tc>
          <w:tcPr>
            <w:tcW w:type="dxa" w:w="2268"/>
            <w:tcMar>
              <w:top w:w="60" w:type="dxa"/>
              <w:bottom w:w="60" w:type="dxa"/>
              <w:start w:w="110" w:type="dxa"/>
              <w:end w:w="110" w:type="dxa"/>
            </w:tcMar>
            <w:shd w:val="clear" w:color="auto" w:fill="F5F8F6"/>
            <w:vAlign w:val="center"/>
          </w:tcPr>
          <w:p>
            <w:pPr>
              <w:spacing w:after="0" w:before="0"/>
              <w:jc w:val="right"/>
            </w:pPr>
            <w:r/>
            <w:r>
              <w:rPr>
                <w:rFonts w:ascii="Calibri" w:hAnsi="Calibri"/>
                <w:b w:val="0"/>
                <w:i w:val="0"/>
                <w:color w:val="1F2A33"/>
                <w:sz w:val="19"/>
              </w:rPr>
              <w:t>154</w:t>
            </w:r>
          </w:p>
        </w:tc>
      </w:tr>
      <w:tr>
        <w:tc>
          <w:tcPr>
            <w:tcW w:type="dxa" w:w="6236"/>
            <w:tcMar>
              <w:top w:w="60" w:type="dxa"/>
              <w:bottom w:w="60" w:type="dxa"/>
              <w:start w:w="110" w:type="dxa"/>
              <w:end w:w="110" w:type="dxa"/>
            </w:tcMar>
            <w:vAlign w:val="center"/>
          </w:tcPr>
          <w:p>
            <w:pPr>
              <w:spacing w:after="0" w:before="0"/>
              <w:jc w:val="left"/>
            </w:pPr>
            <w:r/>
            <w:r>
              <w:rPr>
                <w:rFonts w:ascii="Calibri" w:hAnsi="Calibri"/>
                <w:b/>
                <w:i w:val="0"/>
                <w:color w:val="1F2A33"/>
                <w:sz w:val="19"/>
              </w:rPr>
              <w:t>+ AI / soft-IP premium (30%)</w:t>
            </w:r>
          </w:p>
        </w:tc>
        <w:tc>
          <w:tcPr>
            <w:tcW w:type="dxa" w:w="2268"/>
            <w:tcMar>
              <w:top w:w="60" w:type="dxa"/>
              <w:bottom w:w="60" w:type="dxa"/>
              <w:start w:w="110" w:type="dxa"/>
              <w:end w:w="110" w:type="dxa"/>
            </w:tcMar>
            <w:vAlign w:val="center"/>
          </w:tcPr>
          <w:p>
            <w:pPr>
              <w:spacing w:after="0" w:before="0"/>
              <w:jc w:val="right"/>
            </w:pPr>
            <w:r/>
            <w:r>
              <w:rPr>
                <w:rFonts w:ascii="Calibri" w:hAnsi="Calibri"/>
                <w:b w:val="0"/>
                <w:i w:val="0"/>
                <w:color w:val="1F2A33"/>
                <w:sz w:val="19"/>
              </w:rPr>
              <w:t>220</w:t>
            </w:r>
          </w:p>
        </w:tc>
      </w:tr>
      <w:tr>
        <w:tc>
          <w:tcPr>
            <w:tcW w:type="dxa" w:w="6236"/>
            <w:tcMar>
              <w:top w:w="60" w:type="dxa"/>
              <w:bottom w:w="60" w:type="dxa"/>
              <w:start w:w="110" w:type="dxa"/>
              <w:end w:w="110" w:type="dxa"/>
            </w:tcMar>
            <w:shd w:val="clear" w:color="auto" w:fill="0B3D2E"/>
            <w:vAlign w:val="center"/>
          </w:tcPr>
          <w:p>
            <w:pPr>
              <w:spacing w:after="0" w:before="0"/>
              <w:jc w:val="left"/>
            </w:pPr>
            <w:r/>
            <w:r>
              <w:rPr>
                <w:rFonts w:ascii="Calibri" w:hAnsi="Calibri"/>
                <w:b/>
                <w:i w:val="0"/>
                <w:color w:val="FFFFFF"/>
                <w:sz w:val="19"/>
              </w:rPr>
              <w:t>= Equity value — CEC SPV</w:t>
            </w:r>
          </w:p>
        </w:tc>
        <w:tc>
          <w:tcPr>
            <w:tcW w:type="dxa" w:w="2268"/>
            <w:tcMar>
              <w:top w:w="60" w:type="dxa"/>
              <w:bottom w:w="60" w:type="dxa"/>
              <w:start w:w="110" w:type="dxa"/>
              <w:end w:w="110" w:type="dxa"/>
            </w:tcMar>
            <w:shd w:val="clear" w:color="auto" w:fill="0B3D2E"/>
            <w:vAlign w:val="center"/>
          </w:tcPr>
          <w:p>
            <w:pPr>
              <w:spacing w:after="0" w:before="0"/>
              <w:jc w:val="right"/>
            </w:pPr>
            <w:r/>
            <w:r>
              <w:rPr>
                <w:rFonts w:ascii="Calibri" w:hAnsi="Calibri"/>
                <w:b/>
                <w:i w:val="0"/>
                <w:color w:val="FFFFFF"/>
                <w:sz w:val="19"/>
              </w:rPr>
              <w:t>220</w:t>
            </w:r>
          </w:p>
        </w:tc>
      </w:tr>
    </w:tbl>
    <w:p>
      <w:pPr>
        <w:spacing w:before="40" w:after="160"/>
      </w:pPr>
      <w:r>
        <w:rPr>
          <w:rFonts w:ascii="Calibri" w:hAnsi="Calibri"/>
          <w:i/>
          <w:color w:val="5B6670"/>
          <w:sz w:val="16"/>
        </w:rPr>
        <w:t>Assumes ≈ nil net debt at SPV level [CONFIRM]. If net debt is non-nil, equity value = enterprise value − net debt.</w:t>
      </w:r>
    </w:p>
    <w:p>
      <w:pPr>
        <w:keepNext/>
        <w:spacing w:before="160" w:after="40"/>
      </w:pPr>
      <w:r>
        <w:rPr>
          <w:rFonts w:ascii="Georgia" w:hAnsi="Georgia"/>
          <w:b/>
          <w:color w:val="1F2A33"/>
          <w:sz w:val="23"/>
        </w:rPr>
        <w:t>8.2  Scenario band</w:t>
      </w:r>
    </w:p>
    <w:tbl>
      <w:tblPr>
        <w:tblW w:type="auto" w:w="0"/>
        <w:jc w:val="center"/>
        <w:tblLook w:firstColumn="1" w:firstRow="1" w:lastColumn="0" w:lastRow="0" w:noHBand="0" w:noVBand="1" w:val="04A0"/>
        <w:tblBorders>
          <w:top w:val="single" w:sz="4" w:space="0" w:color="D9E2DD"/>
          <w:bottom w:val="single" w:sz="4" w:space="0" w:color="D9E2DD"/>
          <w:insideH w:val="single" w:sz="4" w:space="0" w:color="D9E2DD"/>
          <w:left w:val="none"/>
          <w:right w:val="none"/>
          <w:insideV w:val="none"/>
        </w:tblBorders>
      </w:tblPr>
      <w:tblGrid>
        <w:gridCol w:w="1926"/>
        <w:gridCol w:w="1926"/>
        <w:gridCol w:w="1926"/>
        <w:gridCol w:w="1926"/>
        <w:gridCol w:w="1926"/>
      </w:tblGrid>
      <w:tr>
        <w:tc>
          <w:tcPr>
            <w:tcW w:type="dxa" w:w="1474"/>
            <w:shd w:val="clear" w:color="auto" w:fill="0B3D2E"/>
            <w:tcMar>
              <w:top w:w="60" w:type="dxa"/>
              <w:bottom w:w="60" w:type="dxa"/>
              <w:start w:w="110" w:type="dxa"/>
              <w:end w:w="110" w:type="dxa"/>
            </w:tcMar>
            <w:vAlign w:val="center"/>
          </w:tcPr>
          <w:p>
            <w:pPr>
              <w:spacing w:after="0" w:before="0"/>
              <w:jc w:val="left"/>
            </w:pPr>
            <w:r/>
            <w:r>
              <w:rPr>
                <w:rFonts w:ascii="Georgia" w:hAnsi="Georgia"/>
                <w:b/>
                <w:i w:val="0"/>
                <w:color w:val="FFFFFF"/>
                <w:sz w:val="19"/>
              </w:rPr>
              <w:t>Scenario</w:t>
            </w:r>
          </w:p>
        </w:tc>
        <w:tc>
          <w:tcPr>
            <w:tcW w:type="dxa" w:w="1701"/>
            <w:shd w:val="clear" w:color="auto" w:fill="0B3D2E"/>
            <w:tcMar>
              <w:top w:w="60" w:type="dxa"/>
              <w:bottom w:w="60" w:type="dxa"/>
              <w:start w:w="110" w:type="dxa"/>
              <w:end w:w="110" w:type="dxa"/>
            </w:tcMar>
            <w:vAlign w:val="center"/>
          </w:tcPr>
          <w:p>
            <w:pPr>
              <w:spacing w:after="0" w:before="0"/>
              <w:jc w:val="right"/>
            </w:pPr>
            <w:r/>
            <w:r>
              <w:rPr>
                <w:rFonts w:ascii="Georgia" w:hAnsi="Georgia"/>
                <w:b/>
                <w:i w:val="0"/>
                <w:color w:val="FFFFFF"/>
                <w:sz w:val="19"/>
              </w:rPr>
              <w:t>Operating (Rm)</w:t>
            </w:r>
          </w:p>
        </w:tc>
        <w:tc>
          <w:tcPr>
            <w:tcW w:type="dxa" w:w="1474"/>
            <w:shd w:val="clear" w:color="auto" w:fill="0B3D2E"/>
            <w:tcMar>
              <w:top w:w="60" w:type="dxa"/>
              <w:bottom w:w="60" w:type="dxa"/>
              <w:start w:w="110" w:type="dxa"/>
              <w:end w:w="110" w:type="dxa"/>
            </w:tcMar>
            <w:vAlign w:val="center"/>
          </w:tcPr>
          <w:p>
            <w:pPr>
              <w:spacing w:after="0" w:before="0"/>
              <w:jc w:val="right"/>
            </w:pPr>
            <w:r/>
            <w:r>
              <w:rPr>
                <w:rFonts w:ascii="Georgia" w:hAnsi="Georgia"/>
                <w:b/>
                <w:i w:val="0"/>
                <w:color w:val="FFFFFF"/>
                <w:sz w:val="19"/>
              </w:rPr>
              <w:t>Soft IP (Rm)</w:t>
            </w:r>
          </w:p>
        </w:tc>
        <w:tc>
          <w:tcPr>
            <w:tcW w:type="dxa" w:w="1474"/>
            <w:shd w:val="clear" w:color="auto" w:fill="0B3D2E"/>
            <w:tcMar>
              <w:top w:w="60" w:type="dxa"/>
              <w:bottom w:w="60" w:type="dxa"/>
              <w:start w:w="110" w:type="dxa"/>
              <w:end w:w="110" w:type="dxa"/>
            </w:tcMar>
            <w:vAlign w:val="center"/>
          </w:tcPr>
          <w:p>
            <w:pPr>
              <w:spacing w:after="0" w:before="0"/>
              <w:jc w:val="right"/>
            </w:pPr>
            <w:r/>
            <w:r>
              <w:rPr>
                <w:rFonts w:ascii="Georgia" w:hAnsi="Georgia"/>
                <w:b/>
                <w:i w:val="0"/>
                <w:color w:val="FFFFFF"/>
                <w:sz w:val="19"/>
              </w:rPr>
              <w:t>Equity (Rm)</w:t>
            </w:r>
          </w:p>
        </w:tc>
        <w:tc>
          <w:tcPr>
            <w:tcW w:type="dxa" w:w="2608"/>
            <w:shd w:val="clear" w:color="auto" w:fill="0B3D2E"/>
            <w:tcMar>
              <w:top w:w="60" w:type="dxa"/>
              <w:bottom w:w="60" w:type="dxa"/>
              <w:start w:w="110" w:type="dxa"/>
              <w:end w:w="110" w:type="dxa"/>
            </w:tcMar>
            <w:vAlign w:val="center"/>
          </w:tcPr>
          <w:p>
            <w:pPr>
              <w:spacing w:after="0" w:before="0"/>
              <w:jc w:val="left"/>
            </w:pPr>
            <w:r/>
            <w:r>
              <w:rPr>
                <w:rFonts w:ascii="Georgia" w:hAnsi="Georgia"/>
                <w:b/>
                <w:i w:val="0"/>
                <w:color w:val="FFFFFF"/>
                <w:sz w:val="19"/>
              </w:rPr>
              <w:t>Key assumption shift</w:t>
            </w:r>
          </w:p>
        </w:tc>
      </w:tr>
      <w:tr>
        <w:tc>
          <w:tcPr>
            <w:tcW w:type="dxa" w:w="1474"/>
            <w:tcMar>
              <w:top w:w="60" w:type="dxa"/>
              <w:bottom w:w="60" w:type="dxa"/>
              <w:start w:w="110" w:type="dxa"/>
              <w:end w:w="110" w:type="dxa"/>
            </w:tcMar>
            <w:vAlign w:val="center"/>
          </w:tcPr>
          <w:p>
            <w:pPr>
              <w:spacing w:after="0" w:before="0"/>
              <w:jc w:val="left"/>
            </w:pPr>
            <w:r/>
            <w:r>
              <w:rPr>
                <w:rFonts w:ascii="Calibri" w:hAnsi="Calibri"/>
                <w:b/>
                <w:i w:val="0"/>
                <w:color w:val="1F2A33"/>
                <w:sz w:val="19"/>
              </w:rPr>
              <w:t>Downside</w:t>
            </w:r>
          </w:p>
        </w:tc>
        <w:tc>
          <w:tcPr>
            <w:tcW w:type="dxa" w:w="1701"/>
            <w:tcMar>
              <w:top w:w="60" w:type="dxa"/>
              <w:bottom w:w="60" w:type="dxa"/>
              <w:start w:w="110" w:type="dxa"/>
              <w:end w:w="110" w:type="dxa"/>
            </w:tcMar>
            <w:vAlign w:val="center"/>
          </w:tcPr>
          <w:p>
            <w:pPr>
              <w:spacing w:after="0" w:before="0"/>
              <w:jc w:val="right"/>
            </w:pPr>
            <w:r/>
            <w:r>
              <w:rPr>
                <w:rFonts w:ascii="Calibri" w:hAnsi="Calibri"/>
                <w:b w:val="0"/>
                <w:i w:val="0"/>
                <w:color w:val="1F2A33"/>
                <w:sz w:val="19"/>
              </w:rPr>
              <w:t>118</w:t>
            </w:r>
          </w:p>
        </w:tc>
        <w:tc>
          <w:tcPr>
            <w:tcW w:type="dxa" w:w="1474"/>
            <w:tcMar>
              <w:top w:w="60" w:type="dxa"/>
              <w:bottom w:w="60" w:type="dxa"/>
              <w:start w:w="110" w:type="dxa"/>
              <w:end w:w="110" w:type="dxa"/>
            </w:tcMar>
            <w:vAlign w:val="center"/>
          </w:tcPr>
          <w:p>
            <w:pPr>
              <w:spacing w:after="0" w:before="0"/>
              <w:jc w:val="right"/>
            </w:pPr>
            <w:r/>
            <w:r>
              <w:rPr>
                <w:rFonts w:ascii="Calibri" w:hAnsi="Calibri"/>
                <w:b w:val="0"/>
                <w:i w:val="0"/>
                <w:color w:val="1F2A33"/>
                <w:sz w:val="19"/>
              </w:rPr>
              <w:t>47</w:t>
            </w:r>
          </w:p>
        </w:tc>
        <w:tc>
          <w:tcPr>
            <w:tcW w:type="dxa" w:w="1474"/>
            <w:tcMar>
              <w:top w:w="60" w:type="dxa"/>
              <w:bottom w:w="60" w:type="dxa"/>
              <w:start w:w="110" w:type="dxa"/>
              <w:end w:w="110" w:type="dxa"/>
            </w:tcMar>
            <w:vAlign w:val="center"/>
          </w:tcPr>
          <w:p>
            <w:pPr>
              <w:spacing w:after="0" w:before="0"/>
              <w:jc w:val="right"/>
            </w:pPr>
            <w:r/>
            <w:r>
              <w:rPr>
                <w:rFonts w:ascii="Calibri" w:hAnsi="Calibri"/>
                <w:b w:val="0"/>
                <w:i w:val="0"/>
                <w:color w:val="1F2A33"/>
                <w:sz w:val="19"/>
              </w:rPr>
              <w:t>≈ 165</w:t>
            </w:r>
          </w:p>
        </w:tc>
        <w:tc>
          <w:tcPr>
            <w:tcW w:type="dxa" w:w="2608"/>
            <w:tcMar>
              <w:top w:w="60" w:type="dxa"/>
              <w:bottom w:w="60" w:type="dxa"/>
              <w:start w:w="110" w:type="dxa"/>
              <w:end w:w="110" w:type="dxa"/>
            </w:tcMar>
            <w:vAlign w:val="center"/>
          </w:tcPr>
          <w:p>
            <w:pPr>
              <w:spacing w:after="0" w:before="0"/>
              <w:jc w:val="left"/>
            </w:pPr>
            <w:r/>
            <w:r>
              <w:rPr>
                <w:rFonts w:ascii="Calibri" w:hAnsi="Calibri"/>
                <w:b w:val="0"/>
                <w:i w:val="0"/>
                <w:color w:val="1F2A33"/>
                <w:sz w:val="19"/>
              </w:rPr>
              <w:t>Multiples −1.0×; royalty rate −1pt; slower ramp</w:t>
            </w:r>
          </w:p>
        </w:tc>
      </w:tr>
      <w:tr>
        <w:tc>
          <w:tcPr>
            <w:tcW w:type="dxa" w:w="1474"/>
            <w:tcMar>
              <w:top w:w="60" w:type="dxa"/>
              <w:bottom w:w="60" w:type="dxa"/>
              <w:start w:w="110" w:type="dxa"/>
              <w:end w:w="110" w:type="dxa"/>
            </w:tcMar>
            <w:shd w:val="clear" w:color="auto" w:fill="F5F8F6"/>
            <w:vAlign w:val="center"/>
          </w:tcPr>
          <w:p>
            <w:pPr>
              <w:spacing w:after="0" w:before="0"/>
              <w:jc w:val="left"/>
            </w:pPr>
            <w:r/>
            <w:r>
              <w:rPr>
                <w:rFonts w:ascii="Calibri" w:hAnsi="Calibri"/>
                <w:b/>
                <w:i w:val="0"/>
                <w:color w:val="1F2A33"/>
                <w:sz w:val="19"/>
              </w:rPr>
              <w:t>Base</w:t>
            </w:r>
          </w:p>
        </w:tc>
        <w:tc>
          <w:tcPr>
            <w:tcW w:type="dxa" w:w="1701"/>
            <w:tcMar>
              <w:top w:w="60" w:type="dxa"/>
              <w:bottom w:w="60" w:type="dxa"/>
              <w:start w:w="110" w:type="dxa"/>
              <w:end w:w="110" w:type="dxa"/>
            </w:tcMar>
            <w:shd w:val="clear" w:color="auto" w:fill="F5F8F6"/>
            <w:vAlign w:val="center"/>
          </w:tcPr>
          <w:p>
            <w:pPr>
              <w:spacing w:after="0" w:before="0"/>
              <w:jc w:val="right"/>
            </w:pPr>
            <w:r/>
            <w:r>
              <w:rPr>
                <w:rFonts w:ascii="Calibri" w:hAnsi="Calibri"/>
                <w:b w:val="0"/>
                <w:i w:val="0"/>
                <w:color w:val="1F2A33"/>
                <w:sz w:val="19"/>
              </w:rPr>
              <w:t>154</w:t>
            </w:r>
          </w:p>
        </w:tc>
        <w:tc>
          <w:tcPr>
            <w:tcW w:type="dxa" w:w="1474"/>
            <w:tcMar>
              <w:top w:w="60" w:type="dxa"/>
              <w:bottom w:w="60" w:type="dxa"/>
              <w:start w:w="110" w:type="dxa"/>
              <w:end w:w="110" w:type="dxa"/>
            </w:tcMar>
            <w:shd w:val="clear" w:color="auto" w:fill="F5F8F6"/>
            <w:vAlign w:val="center"/>
          </w:tcPr>
          <w:p>
            <w:pPr>
              <w:spacing w:after="0" w:before="0"/>
              <w:jc w:val="right"/>
            </w:pPr>
            <w:r/>
            <w:r>
              <w:rPr>
                <w:rFonts w:ascii="Calibri" w:hAnsi="Calibri"/>
                <w:b w:val="0"/>
                <w:i w:val="0"/>
                <w:color w:val="1F2A33"/>
                <w:sz w:val="19"/>
              </w:rPr>
              <w:t>66</w:t>
            </w:r>
          </w:p>
        </w:tc>
        <w:tc>
          <w:tcPr>
            <w:tcW w:type="dxa" w:w="1474"/>
            <w:tcMar>
              <w:top w:w="60" w:type="dxa"/>
              <w:bottom w:w="60" w:type="dxa"/>
              <w:start w:w="110" w:type="dxa"/>
              <w:end w:w="110" w:type="dxa"/>
            </w:tcMar>
            <w:shd w:val="clear" w:color="auto" w:fill="F5F8F6"/>
            <w:vAlign w:val="center"/>
          </w:tcPr>
          <w:p>
            <w:pPr>
              <w:spacing w:after="0" w:before="0"/>
              <w:jc w:val="right"/>
            </w:pPr>
            <w:r/>
            <w:r>
              <w:rPr>
                <w:rFonts w:ascii="Calibri" w:hAnsi="Calibri"/>
                <w:b w:val="0"/>
                <w:i w:val="0"/>
                <w:color w:val="1F2A33"/>
                <w:sz w:val="19"/>
              </w:rPr>
              <w:t>≈ 220</w:t>
            </w:r>
          </w:p>
        </w:tc>
        <w:tc>
          <w:tcPr>
            <w:tcW w:type="dxa" w:w="2608"/>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As presented</w:t>
            </w:r>
          </w:p>
        </w:tc>
      </w:tr>
      <w:tr>
        <w:tc>
          <w:tcPr>
            <w:tcW w:type="dxa" w:w="1474"/>
            <w:tcMar>
              <w:top w:w="60" w:type="dxa"/>
              <w:bottom w:w="60" w:type="dxa"/>
              <w:start w:w="110" w:type="dxa"/>
              <w:end w:w="110" w:type="dxa"/>
            </w:tcMar>
            <w:vAlign w:val="center"/>
          </w:tcPr>
          <w:p>
            <w:pPr>
              <w:spacing w:after="0" w:before="0"/>
              <w:jc w:val="left"/>
            </w:pPr>
            <w:r/>
            <w:r>
              <w:rPr>
                <w:rFonts w:ascii="Calibri" w:hAnsi="Calibri"/>
                <w:b/>
                <w:i w:val="0"/>
                <w:color w:val="1F2A33"/>
                <w:sz w:val="19"/>
              </w:rPr>
              <w:t>Upside</w:t>
            </w:r>
          </w:p>
        </w:tc>
        <w:tc>
          <w:tcPr>
            <w:tcW w:type="dxa" w:w="1701"/>
            <w:tcMar>
              <w:top w:w="60" w:type="dxa"/>
              <w:bottom w:w="60" w:type="dxa"/>
              <w:start w:w="110" w:type="dxa"/>
              <w:end w:w="110" w:type="dxa"/>
            </w:tcMar>
            <w:vAlign w:val="center"/>
          </w:tcPr>
          <w:p>
            <w:pPr>
              <w:spacing w:after="0" w:before="0"/>
              <w:jc w:val="right"/>
            </w:pPr>
            <w:r/>
            <w:r>
              <w:rPr>
                <w:rFonts w:ascii="Calibri" w:hAnsi="Calibri"/>
                <w:b w:val="0"/>
                <w:i w:val="0"/>
                <w:color w:val="1F2A33"/>
                <w:sz w:val="19"/>
              </w:rPr>
              <w:t>188</w:t>
            </w:r>
          </w:p>
        </w:tc>
        <w:tc>
          <w:tcPr>
            <w:tcW w:type="dxa" w:w="1474"/>
            <w:tcMar>
              <w:top w:w="60" w:type="dxa"/>
              <w:bottom w:w="60" w:type="dxa"/>
              <w:start w:w="110" w:type="dxa"/>
              <w:end w:w="110" w:type="dxa"/>
            </w:tcMar>
            <w:vAlign w:val="center"/>
          </w:tcPr>
          <w:p>
            <w:pPr>
              <w:spacing w:after="0" w:before="0"/>
              <w:jc w:val="right"/>
            </w:pPr>
            <w:r/>
            <w:r>
              <w:rPr>
                <w:rFonts w:ascii="Calibri" w:hAnsi="Calibri"/>
                <w:b w:val="0"/>
                <w:i w:val="0"/>
                <w:color w:val="1F2A33"/>
                <w:sz w:val="19"/>
              </w:rPr>
              <w:t>82</w:t>
            </w:r>
          </w:p>
        </w:tc>
        <w:tc>
          <w:tcPr>
            <w:tcW w:type="dxa" w:w="1474"/>
            <w:tcMar>
              <w:top w:w="60" w:type="dxa"/>
              <w:bottom w:w="60" w:type="dxa"/>
              <w:start w:w="110" w:type="dxa"/>
              <w:end w:w="110" w:type="dxa"/>
            </w:tcMar>
            <w:vAlign w:val="center"/>
          </w:tcPr>
          <w:p>
            <w:pPr>
              <w:spacing w:after="0" w:before="0"/>
              <w:jc w:val="right"/>
            </w:pPr>
            <w:r/>
            <w:r>
              <w:rPr>
                <w:rFonts w:ascii="Calibri" w:hAnsi="Calibri"/>
                <w:b w:val="0"/>
                <w:i w:val="0"/>
                <w:color w:val="1F2A33"/>
                <w:sz w:val="19"/>
              </w:rPr>
              <w:t>≈ 270</w:t>
            </w:r>
          </w:p>
        </w:tc>
        <w:tc>
          <w:tcPr>
            <w:tcW w:type="dxa" w:w="2608"/>
            <w:tcMar>
              <w:top w:w="60" w:type="dxa"/>
              <w:bottom w:w="60" w:type="dxa"/>
              <w:start w:w="110" w:type="dxa"/>
              <w:end w:w="110" w:type="dxa"/>
            </w:tcMar>
            <w:vAlign w:val="center"/>
          </w:tcPr>
          <w:p>
            <w:pPr>
              <w:spacing w:after="0" w:before="0"/>
              <w:jc w:val="left"/>
            </w:pPr>
            <w:r/>
            <w:r>
              <w:rPr>
                <w:rFonts w:ascii="Calibri" w:hAnsi="Calibri"/>
                <w:b w:val="0"/>
                <w:i w:val="0"/>
                <w:color w:val="1F2A33"/>
                <w:sz w:val="19"/>
              </w:rPr>
              <w:t>Multiples +1.0×; pipeline conversion; carbon upside</w:t>
            </w:r>
          </w:p>
        </w:tc>
      </w:tr>
    </w:tbl>
    <w:p>
      <w:pPr>
        <w:spacing w:before="40" w:after="160"/>
      </w:pPr>
      <w:r>
        <w:rPr>
          <w:rFonts w:ascii="Calibri" w:hAnsi="Calibri"/>
          <w:i/>
          <w:color w:val="5B6670"/>
          <w:sz w:val="16"/>
        </w:rPr>
        <w:t>The 30% soft-IP share is broadly stable across scenarios because the premium and operating value move together.</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02"/>
        <w:gridCol w:w="9298"/>
      </w:tblGrid>
      <w:tr>
        <w:tc>
          <w:tcPr>
            <w:tcW w:type="dxa" w:w="4816"/>
            <w:shd w:val="clear" w:color="auto" w:fill="0B3D2E"/>
          </w:tcPr>
          <w:p>
            <w:r/>
          </w:p>
        </w:tc>
        <w:tc>
          <w:tcPr>
            <w:tcW w:type="dxa" w:w="4816"/>
            <w:shd w:val="clear" w:color="auto" w:fill="ECF1EE"/>
            <w:tcMar>
              <w:top w:w="120" w:type="dxa"/>
              <w:bottom w:w="120" w:type="dxa"/>
              <w:start w:w="200" w:type="dxa"/>
              <w:end w:w="200" w:type="dxa"/>
            </w:tcMar>
          </w:tcPr>
          <w:p>
            <w:pPr>
              <w:spacing w:after="40"/>
            </w:pPr>
            <w:r/>
            <w:r>
              <w:rPr>
                <w:rFonts w:ascii="Georgia" w:hAnsi="Georgia"/>
                <w:b/>
                <w:color w:val="0B3D2E"/>
                <w:sz w:val="21"/>
              </w:rPr>
              <w:t>Defensible value band</w:t>
            </w:r>
          </w:p>
          <w:p>
            <w:pPr>
              <w:spacing w:after="0"/>
            </w:pPr>
            <w:r>
              <w:rPr>
                <w:rFonts w:ascii="Calibri" w:hAnsi="Calibri"/>
                <w:color w:val="1F2A33"/>
                <w:sz w:val="20"/>
              </w:rPr>
              <w:t>R165m (downside) – R220m (base) – R270m (upside). The R220m headline is the base case, not the ceiling. Stating the band pre-empts the most common investor challenge — “why not lower?” — and shows the number is the centre of a reasoned range.</w:t>
            </w:r>
          </w:p>
        </w:tc>
      </w:tr>
    </w:tbl>
    <w:p>
      <w:pPr>
        <w:spacing w:after="40"/>
      </w:pPr>
    </w:p>
    <w:p>
      <w:r>
        <w:br w:type="page"/>
      </w:r>
    </w:p>
    <w:p>
      <w:pPr>
        <w:spacing w:after="40"/>
      </w:pPr>
    </w:p>
    <w:p>
      <w:pPr>
        <w:keepNext/>
        <w:spacing w:before="200" w:after="40"/>
      </w:pPr>
      <w:r>
        <w:rPr>
          <w:rFonts w:ascii="Georgia" w:hAnsi="Georgia"/>
          <w:b/>
          <w:color w:val="C9A227"/>
          <w:sz w:val="30"/>
        </w:rPr>
        <w:t xml:space="preserve">9.  </w:t>
      </w:r>
      <w:r>
        <w:rPr>
          <w:rFonts w:ascii="Georgia" w:hAnsi="Georgia"/>
          <w:b/>
          <w:color w:val="0B3D2E"/>
          <w:sz w:val="30"/>
        </w:rPr>
        <w:t>Risk factors &amp; mitigants</w:t>
      </w:r>
    </w:p>
    <w:p>
      <w:pPr>
        <w:spacing w:after="120"/>
        <w:pBdr>
          <w:bottom w:val="single" w:sz="6" w:space="1" w:color="C9A227"/>
        </w:pBdr>
      </w:pPr>
    </w:p>
    <w:tbl>
      <w:tblPr>
        <w:tblW w:type="auto" w:w="0"/>
        <w:jc w:val="center"/>
        <w:tblLook w:firstColumn="1" w:firstRow="1" w:lastColumn="0" w:lastRow="0" w:noHBand="0" w:noVBand="1" w:val="04A0"/>
        <w:tblBorders>
          <w:top w:val="single" w:sz="4" w:space="0" w:color="D9E2DD"/>
          <w:bottom w:val="single" w:sz="4" w:space="0" w:color="D9E2DD"/>
          <w:insideH w:val="single" w:sz="4" w:space="0" w:color="D9E2DD"/>
          <w:left w:val="none"/>
          <w:right w:val="none"/>
          <w:insideV w:val="none"/>
        </w:tblBorders>
      </w:tblPr>
      <w:tblGrid>
        <w:gridCol w:w="4816"/>
        <w:gridCol w:w="4816"/>
      </w:tblGrid>
      <w:tr>
        <w:tc>
          <w:tcPr>
            <w:tcW w:type="dxa" w:w="3742"/>
            <w:shd w:val="clear" w:color="auto" w:fill="0B3D2E"/>
            <w:tcMar>
              <w:top w:w="60" w:type="dxa"/>
              <w:bottom w:w="60" w:type="dxa"/>
              <w:start w:w="110" w:type="dxa"/>
              <w:end w:w="110" w:type="dxa"/>
            </w:tcMar>
            <w:vAlign w:val="center"/>
          </w:tcPr>
          <w:p>
            <w:pPr>
              <w:spacing w:after="0" w:before="0"/>
              <w:jc w:val="left"/>
            </w:pPr>
            <w:r/>
            <w:r>
              <w:rPr>
                <w:rFonts w:ascii="Georgia" w:hAnsi="Georgia"/>
                <w:b/>
                <w:i w:val="0"/>
                <w:color w:val="FFFFFF"/>
                <w:sz w:val="19"/>
              </w:rPr>
              <w:t>Risk</w:t>
            </w:r>
          </w:p>
        </w:tc>
        <w:tc>
          <w:tcPr>
            <w:tcW w:type="dxa" w:w="5329"/>
            <w:shd w:val="clear" w:color="auto" w:fill="0B3D2E"/>
            <w:tcMar>
              <w:top w:w="60" w:type="dxa"/>
              <w:bottom w:w="60" w:type="dxa"/>
              <w:start w:w="110" w:type="dxa"/>
              <w:end w:w="110" w:type="dxa"/>
            </w:tcMar>
            <w:vAlign w:val="center"/>
          </w:tcPr>
          <w:p>
            <w:pPr>
              <w:spacing w:after="0" w:before="0"/>
              <w:jc w:val="left"/>
            </w:pPr>
            <w:r/>
            <w:r>
              <w:rPr>
                <w:rFonts w:ascii="Georgia" w:hAnsi="Georgia"/>
                <w:b/>
                <w:i w:val="0"/>
                <w:color w:val="FFFFFF"/>
                <w:sz w:val="19"/>
              </w:rPr>
              <w:t>Mitigant</w:t>
            </w:r>
          </w:p>
        </w:tc>
      </w:tr>
      <w:tr>
        <w:tc>
          <w:tcPr>
            <w:tcW w:type="dxa" w:w="3742"/>
            <w:tcMar>
              <w:top w:w="60" w:type="dxa"/>
              <w:bottom w:w="60" w:type="dxa"/>
              <w:start w:w="110" w:type="dxa"/>
              <w:end w:w="110" w:type="dxa"/>
            </w:tcMar>
            <w:vAlign w:val="center"/>
          </w:tcPr>
          <w:p>
            <w:pPr>
              <w:spacing w:after="0" w:before="0"/>
              <w:jc w:val="left"/>
            </w:pPr>
            <w:r/>
            <w:r>
              <w:rPr>
                <w:rFonts w:ascii="Calibri" w:hAnsi="Calibri"/>
                <w:b/>
                <w:i w:val="0"/>
                <w:color w:val="1F2A33"/>
                <w:sz w:val="19"/>
              </w:rPr>
              <w:t>Execution / ramp — verticals are early-stage</w:t>
            </w:r>
          </w:p>
        </w:tc>
        <w:tc>
          <w:tcPr>
            <w:tcW w:type="dxa" w:w="5329"/>
            <w:tcMar>
              <w:top w:w="60" w:type="dxa"/>
              <w:bottom w:w="60" w:type="dxa"/>
              <w:start w:w="110" w:type="dxa"/>
              <w:end w:w="110" w:type="dxa"/>
            </w:tcMar>
            <w:vAlign w:val="center"/>
          </w:tcPr>
          <w:p>
            <w:pPr>
              <w:spacing w:after="0" w:before="0"/>
              <w:jc w:val="left"/>
            </w:pPr>
            <w:r/>
            <w:r>
              <w:rPr>
                <w:rFonts w:ascii="Calibri" w:hAnsi="Calibri"/>
                <w:b w:val="0"/>
                <w:i w:val="0"/>
                <w:color w:val="1F2A33"/>
                <w:sz w:val="19"/>
              </w:rPr>
              <w:t>Conservative steady-state assumptions; downside case carried; staged capital deployment</w:t>
            </w:r>
          </w:p>
        </w:tc>
      </w:tr>
      <w:tr>
        <w:tc>
          <w:tcPr>
            <w:tcW w:type="dxa" w:w="3742"/>
            <w:tcMar>
              <w:top w:w="60" w:type="dxa"/>
              <w:bottom w:w="60" w:type="dxa"/>
              <w:start w:w="110" w:type="dxa"/>
              <w:end w:w="110" w:type="dxa"/>
            </w:tcMar>
            <w:shd w:val="clear" w:color="auto" w:fill="F5F8F6"/>
            <w:vAlign w:val="center"/>
          </w:tcPr>
          <w:p>
            <w:pPr>
              <w:spacing w:after="0" w:before="0"/>
              <w:jc w:val="left"/>
            </w:pPr>
            <w:r/>
            <w:r>
              <w:rPr>
                <w:rFonts w:ascii="Calibri" w:hAnsi="Calibri"/>
                <w:b/>
                <w:i w:val="0"/>
                <w:color w:val="1F2A33"/>
                <w:sz w:val="19"/>
              </w:rPr>
              <w:t>Regulatory (NERSA, Eskom, wheeling frameworks)</w:t>
            </w:r>
          </w:p>
        </w:tc>
        <w:tc>
          <w:tcPr>
            <w:tcW w:type="dxa" w:w="5329"/>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Conditions-precedent structuring; licensed counterparties; regulatory milestones tracked</w:t>
            </w:r>
          </w:p>
        </w:tc>
      </w:tr>
      <w:tr>
        <w:tc>
          <w:tcPr>
            <w:tcW w:type="dxa" w:w="3742"/>
            <w:tcMar>
              <w:top w:w="60" w:type="dxa"/>
              <w:bottom w:w="60" w:type="dxa"/>
              <w:start w:w="110" w:type="dxa"/>
              <w:end w:w="110" w:type="dxa"/>
            </w:tcMar>
            <w:vAlign w:val="center"/>
          </w:tcPr>
          <w:p>
            <w:pPr>
              <w:spacing w:after="0" w:before="0"/>
              <w:jc w:val="left"/>
            </w:pPr>
            <w:r/>
            <w:r>
              <w:rPr>
                <w:rFonts w:ascii="Calibri" w:hAnsi="Calibri"/>
                <w:b/>
                <w:i w:val="0"/>
                <w:color w:val="1F2A33"/>
                <w:sz w:val="19"/>
              </w:rPr>
              <w:t>Counterparty / offtaker concentration</w:t>
            </w:r>
          </w:p>
        </w:tc>
        <w:tc>
          <w:tcPr>
            <w:tcW w:type="dxa" w:w="5329"/>
            <w:tcMar>
              <w:top w:w="60" w:type="dxa"/>
              <w:bottom w:w="60" w:type="dxa"/>
              <w:start w:w="110" w:type="dxa"/>
              <w:end w:w="110" w:type="dxa"/>
            </w:tcMar>
            <w:vAlign w:val="center"/>
          </w:tcPr>
          <w:p>
            <w:pPr>
              <w:spacing w:after="0" w:before="0"/>
              <w:jc w:val="left"/>
            </w:pPr>
            <w:r/>
            <w:r>
              <w:rPr>
                <w:rFonts w:ascii="Calibri" w:hAnsi="Calibri"/>
                <w:b w:val="0"/>
                <w:i w:val="0"/>
                <w:color w:val="1F2A33"/>
                <w:sz w:val="19"/>
              </w:rPr>
              <w:t>Diversified mandate pipeline; contracted annuity O&amp;M base</w:t>
            </w:r>
          </w:p>
        </w:tc>
      </w:tr>
      <w:tr>
        <w:tc>
          <w:tcPr>
            <w:tcW w:type="dxa" w:w="3742"/>
            <w:tcMar>
              <w:top w:w="60" w:type="dxa"/>
              <w:bottom w:w="60" w:type="dxa"/>
              <w:start w:w="110" w:type="dxa"/>
              <w:end w:w="110" w:type="dxa"/>
            </w:tcMar>
            <w:shd w:val="clear" w:color="auto" w:fill="F5F8F6"/>
            <w:vAlign w:val="center"/>
          </w:tcPr>
          <w:p>
            <w:pPr>
              <w:spacing w:after="0" w:before="0"/>
              <w:jc w:val="left"/>
            </w:pPr>
            <w:r/>
            <w:r>
              <w:rPr>
                <w:rFonts w:ascii="Calibri" w:hAnsi="Calibri"/>
                <w:b/>
                <w:i w:val="0"/>
                <w:color w:val="1F2A33"/>
                <w:sz w:val="19"/>
              </w:rPr>
              <w:t>IP ownership / provenance challenge</w:t>
            </w:r>
          </w:p>
        </w:tc>
        <w:tc>
          <w:tcPr>
            <w:tcW w:type="dxa" w:w="5329"/>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Executed assignment &amp; contribution agreements into the SPV; IP schedule (Section 7)</w:t>
            </w:r>
          </w:p>
        </w:tc>
      </w:tr>
      <w:tr>
        <w:tc>
          <w:tcPr>
            <w:tcW w:type="dxa" w:w="3742"/>
            <w:tcMar>
              <w:top w:w="60" w:type="dxa"/>
              <w:bottom w:w="60" w:type="dxa"/>
              <w:start w:w="110" w:type="dxa"/>
              <w:end w:w="110" w:type="dxa"/>
            </w:tcMar>
            <w:vAlign w:val="center"/>
          </w:tcPr>
          <w:p>
            <w:pPr>
              <w:spacing w:after="0" w:before="0"/>
              <w:jc w:val="left"/>
            </w:pPr>
            <w:r/>
            <w:r>
              <w:rPr>
                <w:rFonts w:ascii="Calibri" w:hAnsi="Calibri"/>
                <w:b/>
                <w:i w:val="0"/>
                <w:color w:val="1F2A33"/>
                <w:sz w:val="19"/>
              </w:rPr>
              <w:t>Key-person dependency</w:t>
            </w:r>
          </w:p>
        </w:tc>
        <w:tc>
          <w:tcPr>
            <w:tcW w:type="dxa" w:w="5329"/>
            <w:tcMar>
              <w:top w:w="60" w:type="dxa"/>
              <w:bottom w:w="60" w:type="dxa"/>
              <w:start w:w="110" w:type="dxa"/>
              <w:end w:w="110" w:type="dxa"/>
            </w:tcMar>
            <w:vAlign w:val="center"/>
          </w:tcPr>
          <w:p>
            <w:pPr>
              <w:spacing w:after="0" w:before="0"/>
              <w:jc w:val="left"/>
            </w:pPr>
            <w:r/>
            <w:r>
              <w:rPr>
                <w:rFonts w:ascii="Calibri" w:hAnsi="Calibri"/>
                <w:b w:val="0"/>
                <w:i w:val="0"/>
                <w:color w:val="1F2A33"/>
                <w:sz w:val="19"/>
              </w:rPr>
              <w:t>Platform codifies know-how into software, reducing reliance on individuals</w:t>
            </w:r>
          </w:p>
        </w:tc>
      </w:tr>
      <w:tr>
        <w:tc>
          <w:tcPr>
            <w:tcW w:type="dxa" w:w="3742"/>
            <w:tcMar>
              <w:top w:w="60" w:type="dxa"/>
              <w:bottom w:w="60" w:type="dxa"/>
              <w:start w:w="110" w:type="dxa"/>
              <w:end w:w="110" w:type="dxa"/>
            </w:tcMar>
            <w:shd w:val="clear" w:color="auto" w:fill="F5F8F6"/>
            <w:vAlign w:val="center"/>
          </w:tcPr>
          <w:p>
            <w:pPr>
              <w:spacing w:after="0" w:before="0"/>
              <w:jc w:val="left"/>
            </w:pPr>
            <w:r/>
            <w:r>
              <w:rPr>
                <w:rFonts w:ascii="Calibri" w:hAnsi="Calibri"/>
                <w:b/>
                <w:i w:val="0"/>
                <w:color w:val="1F2A33"/>
                <w:sz w:val="19"/>
              </w:rPr>
              <w:t>Carbon-market price volatility</w:t>
            </w:r>
          </w:p>
        </w:tc>
        <w:tc>
          <w:tcPr>
            <w:tcW w:type="dxa" w:w="5329"/>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Treated as upside optionality, not base-case dependency</w:t>
            </w:r>
          </w:p>
        </w:tc>
      </w:tr>
      <w:tr>
        <w:tc>
          <w:tcPr>
            <w:tcW w:type="dxa" w:w="3742"/>
            <w:tcMar>
              <w:top w:w="60" w:type="dxa"/>
              <w:bottom w:w="60" w:type="dxa"/>
              <w:start w:w="110" w:type="dxa"/>
              <w:end w:w="110" w:type="dxa"/>
            </w:tcMar>
            <w:vAlign w:val="center"/>
          </w:tcPr>
          <w:p>
            <w:pPr>
              <w:spacing w:after="0" w:before="0"/>
              <w:jc w:val="left"/>
            </w:pPr>
            <w:r/>
            <w:r>
              <w:rPr>
                <w:rFonts w:ascii="Calibri" w:hAnsi="Calibri"/>
                <w:b/>
                <w:i w:val="0"/>
                <w:color w:val="1F2A33"/>
                <w:sz w:val="19"/>
              </w:rPr>
              <w:t>Discount-rate / multiple compression</w:t>
            </w:r>
          </w:p>
        </w:tc>
        <w:tc>
          <w:tcPr>
            <w:tcW w:type="dxa" w:w="5329"/>
            <w:tcMar>
              <w:top w:w="60" w:type="dxa"/>
              <w:bottom w:w="60" w:type="dxa"/>
              <w:start w:w="110" w:type="dxa"/>
              <w:end w:w="110" w:type="dxa"/>
            </w:tcMar>
            <w:vAlign w:val="center"/>
          </w:tcPr>
          <w:p>
            <w:pPr>
              <w:spacing w:after="0" w:before="0"/>
              <w:jc w:val="left"/>
            </w:pPr>
            <w:r/>
            <w:r>
              <w:rPr>
                <w:rFonts w:ascii="Calibri" w:hAnsi="Calibri"/>
                <w:b w:val="0"/>
                <w:i w:val="0"/>
                <w:color w:val="1F2A33"/>
                <w:sz w:val="19"/>
              </w:rPr>
              <w:t>Sensitivity band (Section 8); multiples benchmarked to comparables</w:t>
            </w:r>
          </w:p>
        </w:tc>
      </w:tr>
    </w:tbl>
    <w:p>
      <w:pPr>
        <w:spacing w:after="80"/>
      </w:pPr>
    </w:p>
    <w:p>
      <w:r>
        <w:br w:type="page"/>
      </w:r>
    </w:p>
    <w:p>
      <w:pPr>
        <w:spacing w:after="40"/>
      </w:pPr>
    </w:p>
    <w:p>
      <w:pPr>
        <w:keepNext/>
        <w:spacing w:before="200" w:after="40"/>
      </w:pPr>
      <w:r>
        <w:rPr>
          <w:rFonts w:ascii="Georgia" w:hAnsi="Georgia"/>
          <w:b/>
          <w:color w:val="C9A227"/>
          <w:sz w:val="30"/>
        </w:rPr>
        <w:t xml:space="preserve">10.  </w:t>
      </w:r>
      <w:r>
        <w:rPr>
          <w:rFonts w:ascii="Georgia" w:hAnsi="Georgia"/>
          <w:b/>
          <w:color w:val="0B3D2E"/>
          <w:sz w:val="30"/>
        </w:rPr>
        <w:t>Appendix A — Anticipated investor questions</w:t>
      </w:r>
    </w:p>
    <w:p>
      <w:pPr>
        <w:spacing w:after="120"/>
        <w:pBdr>
          <w:bottom w:val="single" w:sz="6" w:space="1" w:color="C9A227"/>
        </w:pBdr>
      </w:pPr>
    </w:p>
    <w:p>
      <w:pPr>
        <w:spacing w:after="20" w:before="120"/>
      </w:pPr>
      <w:r>
        <w:rPr>
          <w:rFonts w:ascii="Georgia" w:hAnsi="Georgia"/>
          <w:b/>
          <w:color w:val="0B3D2E"/>
          <w:sz w:val="21"/>
        </w:rPr>
        <w:t>“Isn’t 30% for AI just a round number?”</w:t>
      </w:r>
    </w:p>
    <w:p>
      <w:pPr>
        <w:spacing w:after="80" w:before="0"/>
        <w:jc w:val="both"/>
      </w:pPr>
      <w:r>
        <w:rPr>
          <w:rFonts w:ascii="Calibri" w:hAnsi="Calibri"/>
          <w:b w:val="0"/>
          <w:i w:val="0"/>
          <w:color w:val="1F2A33"/>
          <w:sz w:val="21"/>
        </w:rPr>
        <w:t>No — it is the convergence of three independent methods (cost R55–62m, relief-from-royalty R65–73m, market comparables 25–40% of EV). They overlap at ≈R66m, which is 30%. The number is derived, then rounded — not the reverse.</w:t>
      </w:r>
    </w:p>
    <w:p>
      <w:pPr>
        <w:spacing w:after="20" w:before="120"/>
      </w:pPr>
      <w:r>
        <w:rPr>
          <w:rFonts w:ascii="Georgia" w:hAnsi="Georgia"/>
          <w:b/>
          <w:color w:val="0B3D2E"/>
          <w:sz w:val="21"/>
        </w:rPr>
        <w:t>“Why is the soft IP worth anything separate from the operating business?”</w:t>
      </w:r>
    </w:p>
    <w:p>
      <w:pPr>
        <w:spacing w:after="80" w:before="0"/>
        <w:jc w:val="both"/>
      </w:pPr>
      <w:r>
        <w:rPr>
          <w:rFonts w:ascii="Calibri" w:hAnsi="Calibri"/>
          <w:b w:val="0"/>
          <w:i w:val="0"/>
          <w:color w:val="1F2A33"/>
          <w:sz w:val="21"/>
        </w:rPr>
        <w:t>Because the operating verticals, stripped of the AI platform, are commodity advisory/operating businesses. The 30% measures exactly the margin and scalability the IP adds on top — the ‘difference’. The cost-to-recreate floor confirms a competitor could not replicate it cheaply.</w:t>
      </w:r>
    </w:p>
    <w:p>
      <w:pPr>
        <w:spacing w:after="20" w:before="120"/>
      </w:pPr>
      <w:r>
        <w:rPr>
          <w:rFonts w:ascii="Georgia" w:hAnsi="Georgia"/>
          <w:b/>
          <w:color w:val="0B3D2E"/>
          <w:sz w:val="21"/>
        </w:rPr>
        <w:t>“How do you justify the 80/20 between LTM and Stella’s Edge?”</w:t>
      </w:r>
    </w:p>
    <w:p>
      <w:pPr>
        <w:spacing w:after="80" w:before="0"/>
        <w:jc w:val="both"/>
      </w:pPr>
      <w:r>
        <w:rPr>
          <w:rFonts w:ascii="Calibri" w:hAnsi="Calibri"/>
          <w:b w:val="0"/>
          <w:i w:val="0"/>
          <w:color w:val="1F2A33"/>
          <w:sz w:val="21"/>
        </w:rPr>
        <w:t>By contribution analysis: two of three verticals run on LTM’s scarce, long-lived energy and operating IP; Stella’s Edge contributes valuable but more substitutable finance IP plus capital. The split mirrors the executed IP-contribution and shareholders’ agreements.</w:t>
      </w:r>
    </w:p>
    <w:p>
      <w:pPr>
        <w:spacing w:after="20" w:before="120"/>
      </w:pPr>
      <w:r>
        <w:rPr>
          <w:rFonts w:ascii="Georgia" w:hAnsi="Georgia"/>
          <w:b/>
          <w:color w:val="0B3D2E"/>
          <w:sz w:val="21"/>
        </w:rPr>
        <w:t>“Your multiples look high for an early-stage business.”</w:t>
      </w:r>
    </w:p>
    <w:p>
      <w:pPr>
        <w:spacing w:after="80" w:before="0"/>
        <w:jc w:val="both"/>
      </w:pPr>
      <w:r>
        <w:rPr>
          <w:rFonts w:ascii="Calibri" w:hAnsi="Calibri"/>
          <w:b w:val="0"/>
          <w:i w:val="0"/>
          <w:color w:val="1F2A33"/>
          <w:sz w:val="21"/>
        </w:rPr>
        <w:t>They are benchmarked to comparable energy-services and platform businesses and applied to conservative steady-state EBITDA, not peak. The downside case uses multiples 1.0× lower and still supports ≈R165m.</w:t>
      </w:r>
    </w:p>
    <w:p>
      <w:pPr>
        <w:spacing w:after="20" w:before="120"/>
      </w:pPr>
      <w:r>
        <w:rPr>
          <w:rFonts w:ascii="Georgia" w:hAnsi="Georgia"/>
          <w:b/>
          <w:color w:val="0B3D2E"/>
          <w:sz w:val="21"/>
        </w:rPr>
        <w:t>“What happens to the valuation if the pipeline doesn’t convert?”</w:t>
      </w:r>
    </w:p>
    <w:p>
      <w:pPr>
        <w:spacing w:after="80" w:before="0"/>
        <w:jc w:val="both"/>
      </w:pPr>
      <w:r>
        <w:rPr>
          <w:rFonts w:ascii="Calibri" w:hAnsi="Calibri"/>
          <w:b w:val="0"/>
          <w:i w:val="0"/>
          <w:color w:val="1F2A33"/>
          <w:sz w:val="21"/>
        </w:rPr>
        <w:t>The downside scenario (Section 8) models exactly that: ≈R165m. R220m is the base case and the centre of a reasoned R165–270m band, not the ceiling.</w:t>
      </w:r>
    </w:p>
    <w:p>
      <w:pPr>
        <w:spacing w:after="20" w:before="120"/>
      </w:pPr>
      <w:r>
        <w:rPr>
          <w:rFonts w:ascii="Georgia" w:hAnsi="Georgia"/>
          <w:b/>
          <w:color w:val="0B3D2E"/>
          <w:sz w:val="21"/>
        </w:rPr>
        <w:t>“Can you prove CEC owns the IP?”</w:t>
      </w:r>
    </w:p>
    <w:p>
      <w:pPr>
        <w:spacing w:after="80" w:before="0"/>
        <w:jc w:val="both"/>
      </w:pPr>
      <w:r>
        <w:rPr>
          <w:rFonts w:ascii="Calibri" w:hAnsi="Calibri"/>
          <w:b w:val="0"/>
          <w:i w:val="0"/>
          <w:color w:val="1F2A33"/>
          <w:sz w:val="21"/>
        </w:rPr>
        <w:t>Yes — via the IP assignment/contribution agreements into the SPV, the IP asset schedule, and the shareholders’ agreement. [CONFIRM these are executed and available in the data room.]</w:t>
      </w:r>
    </w:p>
    <w:p>
      <w:r>
        <w:br w:type="page"/>
      </w:r>
    </w:p>
    <w:p>
      <w:pPr>
        <w:spacing w:after="40"/>
      </w:pPr>
    </w:p>
    <w:p>
      <w:pPr>
        <w:keepNext/>
        <w:spacing w:before="200" w:after="40"/>
      </w:pPr>
      <w:r>
        <w:rPr>
          <w:rFonts w:ascii="Georgia" w:hAnsi="Georgia"/>
          <w:b/>
          <w:color w:val="C9A227"/>
          <w:sz w:val="30"/>
        </w:rPr>
        <w:t xml:space="preserve">11.  </w:t>
      </w:r>
      <w:r>
        <w:rPr>
          <w:rFonts w:ascii="Georgia" w:hAnsi="Georgia"/>
          <w:b/>
          <w:color w:val="0B3D2E"/>
          <w:sz w:val="30"/>
        </w:rPr>
        <w:t>Appendix B — Schedule of assumptions to confirm</w:t>
      </w:r>
    </w:p>
    <w:p>
      <w:pPr>
        <w:spacing w:after="120"/>
        <w:pBdr>
          <w:bottom w:val="single" w:sz="6" w:space="1" w:color="C9A227"/>
        </w:pBdr>
      </w:pPr>
    </w:p>
    <w:p>
      <w:pPr>
        <w:spacing w:after="120" w:before="0"/>
        <w:jc w:val="both"/>
      </w:pPr>
      <w:r>
        <w:rPr>
          <w:rFonts w:ascii="Calibri" w:hAnsi="Calibri"/>
          <w:b w:val="0"/>
          <w:i w:val="0"/>
          <w:color w:val="1F2A33"/>
          <w:sz w:val="21"/>
        </w:rPr>
        <w:t>Replace each value below with the Company’s audited or management figure. The model re-computes from these inputs.</w:t>
      </w:r>
    </w:p>
    <w:tbl>
      <w:tblPr>
        <w:tblW w:type="auto" w:w="0"/>
        <w:jc w:val="center"/>
        <w:tblLook w:firstColumn="1" w:firstRow="1" w:lastColumn="0" w:lastRow="0" w:noHBand="0" w:noVBand="1" w:val="04A0"/>
        <w:tblBorders>
          <w:top w:val="single" w:sz="4" w:space="0" w:color="D9E2DD"/>
          <w:bottom w:val="single" w:sz="4" w:space="0" w:color="D9E2DD"/>
          <w:insideH w:val="single" w:sz="4" w:space="0" w:color="D9E2DD"/>
          <w:left w:val="none"/>
          <w:right w:val="none"/>
          <w:insideV w:val="none"/>
        </w:tblBorders>
      </w:tblPr>
      <w:tblGrid>
        <w:gridCol w:w="2408"/>
        <w:gridCol w:w="2408"/>
        <w:gridCol w:w="2408"/>
        <w:gridCol w:w="2408"/>
      </w:tblGrid>
      <w:tr>
        <w:tc>
          <w:tcPr>
            <w:tcW w:type="dxa" w:w="510"/>
            <w:shd w:val="clear" w:color="auto" w:fill="0B3D2E"/>
            <w:tcMar>
              <w:top w:w="60" w:type="dxa"/>
              <w:bottom w:w="60" w:type="dxa"/>
              <w:start w:w="110" w:type="dxa"/>
              <w:end w:w="110" w:type="dxa"/>
            </w:tcMar>
            <w:vAlign w:val="center"/>
          </w:tcPr>
          <w:p>
            <w:pPr>
              <w:spacing w:after="0" w:before="0"/>
              <w:jc w:val="center"/>
            </w:pPr>
            <w:r/>
            <w:r>
              <w:rPr>
                <w:rFonts w:ascii="Georgia" w:hAnsi="Georgia"/>
                <w:b/>
                <w:i w:val="0"/>
                <w:color w:val="FFFFFF"/>
                <w:sz w:val="19"/>
              </w:rPr>
              <w:t>#</w:t>
            </w:r>
          </w:p>
        </w:tc>
        <w:tc>
          <w:tcPr>
            <w:tcW w:type="dxa" w:w="3742"/>
            <w:shd w:val="clear" w:color="auto" w:fill="0B3D2E"/>
            <w:tcMar>
              <w:top w:w="60" w:type="dxa"/>
              <w:bottom w:w="60" w:type="dxa"/>
              <w:start w:w="110" w:type="dxa"/>
              <w:end w:w="110" w:type="dxa"/>
            </w:tcMar>
            <w:vAlign w:val="center"/>
          </w:tcPr>
          <w:p>
            <w:pPr>
              <w:spacing w:after="0" w:before="0"/>
              <w:jc w:val="left"/>
            </w:pPr>
            <w:r/>
            <w:r>
              <w:rPr>
                <w:rFonts w:ascii="Georgia" w:hAnsi="Georgia"/>
                <w:b/>
                <w:i w:val="0"/>
                <w:color w:val="FFFFFF"/>
                <w:sz w:val="19"/>
              </w:rPr>
              <w:t>Assumption</w:t>
            </w:r>
          </w:p>
        </w:tc>
        <w:tc>
          <w:tcPr>
            <w:tcW w:type="dxa" w:w="1984"/>
            <w:shd w:val="clear" w:color="auto" w:fill="0B3D2E"/>
            <w:tcMar>
              <w:top w:w="60" w:type="dxa"/>
              <w:bottom w:w="60" w:type="dxa"/>
              <w:start w:w="110" w:type="dxa"/>
              <w:end w:w="110" w:type="dxa"/>
            </w:tcMar>
            <w:vAlign w:val="center"/>
          </w:tcPr>
          <w:p>
            <w:pPr>
              <w:spacing w:after="0" w:before="0"/>
              <w:jc w:val="left"/>
            </w:pPr>
            <w:r/>
            <w:r>
              <w:rPr>
                <w:rFonts w:ascii="Georgia" w:hAnsi="Georgia"/>
                <w:b/>
                <w:i w:val="0"/>
                <w:color w:val="FFFFFF"/>
                <w:sz w:val="19"/>
              </w:rPr>
              <w:t>Illustrative value</w:t>
            </w:r>
          </w:p>
        </w:tc>
        <w:tc>
          <w:tcPr>
            <w:tcW w:type="dxa" w:w="2268"/>
            <w:shd w:val="clear" w:color="auto" w:fill="0B3D2E"/>
            <w:tcMar>
              <w:top w:w="60" w:type="dxa"/>
              <w:bottom w:w="60" w:type="dxa"/>
              <w:start w:w="110" w:type="dxa"/>
              <w:end w:w="110" w:type="dxa"/>
            </w:tcMar>
            <w:vAlign w:val="center"/>
          </w:tcPr>
          <w:p>
            <w:pPr>
              <w:spacing w:after="0" w:before="0"/>
              <w:jc w:val="left"/>
            </w:pPr>
            <w:r/>
            <w:r>
              <w:rPr>
                <w:rFonts w:ascii="Georgia" w:hAnsi="Georgia"/>
                <w:b/>
                <w:i w:val="0"/>
                <w:color w:val="FFFFFF"/>
                <w:sz w:val="19"/>
              </w:rPr>
              <w:t>Source to confirm</w:t>
            </w:r>
          </w:p>
        </w:tc>
      </w:tr>
      <w:tr>
        <w:tc>
          <w:tcPr>
            <w:tcW w:type="dxa" w:w="510"/>
            <w:tcMar>
              <w:top w:w="60" w:type="dxa"/>
              <w:bottom w:w="60" w:type="dxa"/>
              <w:start w:w="110" w:type="dxa"/>
              <w:end w:w="110" w:type="dxa"/>
            </w:tcMar>
            <w:vAlign w:val="center"/>
          </w:tcPr>
          <w:p>
            <w:pPr>
              <w:spacing w:after="0" w:before="0"/>
              <w:jc w:val="center"/>
            </w:pPr>
            <w:r/>
            <w:r>
              <w:rPr>
                <w:rFonts w:ascii="Calibri" w:hAnsi="Calibri"/>
                <w:b/>
                <w:i w:val="0"/>
                <w:color w:val="1F2A33"/>
                <w:sz w:val="19"/>
              </w:rPr>
              <w:t>1</w:t>
            </w:r>
          </w:p>
        </w:tc>
        <w:tc>
          <w:tcPr>
            <w:tcW w:type="dxa" w:w="3742"/>
            <w:tcMar>
              <w:top w:w="60" w:type="dxa"/>
              <w:bottom w:w="60" w:type="dxa"/>
              <w:start w:w="110" w:type="dxa"/>
              <w:end w:w="110" w:type="dxa"/>
            </w:tcMar>
            <w:vAlign w:val="center"/>
          </w:tcPr>
          <w:p>
            <w:pPr>
              <w:spacing w:after="0" w:before="0"/>
              <w:jc w:val="left"/>
            </w:pPr>
            <w:r/>
            <w:r>
              <w:rPr>
                <w:rFonts w:ascii="Calibri" w:hAnsi="Calibri"/>
                <w:b w:val="0"/>
                <w:i w:val="0"/>
                <w:color w:val="1F2A33"/>
                <w:sz w:val="19"/>
              </w:rPr>
              <w:t>Reporting currency / FX</w:t>
            </w:r>
          </w:p>
        </w:tc>
        <w:tc>
          <w:tcPr>
            <w:tcW w:type="dxa" w:w="1984"/>
            <w:tcMar>
              <w:top w:w="60" w:type="dxa"/>
              <w:bottom w:w="60" w:type="dxa"/>
              <w:start w:w="110" w:type="dxa"/>
              <w:end w:w="110" w:type="dxa"/>
            </w:tcMar>
            <w:vAlign w:val="center"/>
          </w:tcPr>
          <w:p>
            <w:pPr>
              <w:spacing w:after="0" w:before="0"/>
              <w:jc w:val="left"/>
            </w:pPr>
            <w:r/>
            <w:r>
              <w:rPr>
                <w:rFonts w:ascii="Calibri" w:hAnsi="Calibri"/>
                <w:b w:val="0"/>
                <w:i w:val="0"/>
                <w:color w:val="1F2A33"/>
                <w:sz w:val="19"/>
              </w:rPr>
              <w:t>ZAR</w:t>
            </w:r>
          </w:p>
        </w:tc>
        <w:tc>
          <w:tcPr>
            <w:tcW w:type="dxa" w:w="2268"/>
            <w:tcMar>
              <w:top w:w="60" w:type="dxa"/>
              <w:bottom w:w="60" w:type="dxa"/>
              <w:start w:w="110" w:type="dxa"/>
              <w:end w:w="110" w:type="dxa"/>
            </w:tcMar>
            <w:vAlign w:val="center"/>
          </w:tcPr>
          <w:p>
            <w:pPr>
              <w:spacing w:after="0" w:before="0"/>
              <w:jc w:val="left"/>
            </w:pPr>
            <w:r/>
            <w:r>
              <w:rPr>
                <w:rFonts w:ascii="Calibri" w:hAnsi="Calibri"/>
                <w:b w:val="0"/>
                <w:i w:val="0"/>
                <w:color w:val="1F2A33"/>
                <w:sz w:val="19"/>
              </w:rPr>
              <w:t>—</w:t>
            </w:r>
          </w:p>
        </w:tc>
      </w:tr>
      <w:tr>
        <w:tc>
          <w:tcPr>
            <w:tcW w:type="dxa" w:w="510"/>
            <w:tcMar>
              <w:top w:w="60" w:type="dxa"/>
              <w:bottom w:w="60" w:type="dxa"/>
              <w:start w:w="110" w:type="dxa"/>
              <w:end w:w="110" w:type="dxa"/>
            </w:tcMar>
            <w:shd w:val="clear" w:color="auto" w:fill="F5F8F6"/>
            <w:vAlign w:val="center"/>
          </w:tcPr>
          <w:p>
            <w:pPr>
              <w:spacing w:after="0" w:before="0"/>
              <w:jc w:val="center"/>
            </w:pPr>
            <w:r/>
            <w:r>
              <w:rPr>
                <w:rFonts w:ascii="Calibri" w:hAnsi="Calibri"/>
                <w:b/>
                <w:i w:val="0"/>
                <w:color w:val="1F2A33"/>
                <w:sz w:val="19"/>
              </w:rPr>
              <w:t>2</w:t>
            </w:r>
          </w:p>
        </w:tc>
        <w:tc>
          <w:tcPr>
            <w:tcW w:type="dxa" w:w="3742"/>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WACC (operating verticals)</w:t>
            </w:r>
          </w:p>
        </w:tc>
        <w:tc>
          <w:tcPr>
            <w:tcW w:type="dxa" w:w="1984"/>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18%</w:t>
            </w:r>
          </w:p>
        </w:tc>
        <w:tc>
          <w:tcPr>
            <w:tcW w:type="dxa" w:w="2268"/>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Management / advisor</w:t>
            </w:r>
          </w:p>
        </w:tc>
      </w:tr>
      <w:tr>
        <w:tc>
          <w:tcPr>
            <w:tcW w:type="dxa" w:w="510"/>
            <w:tcMar>
              <w:top w:w="60" w:type="dxa"/>
              <w:bottom w:w="60" w:type="dxa"/>
              <w:start w:w="110" w:type="dxa"/>
              <w:end w:w="110" w:type="dxa"/>
            </w:tcMar>
            <w:vAlign w:val="center"/>
          </w:tcPr>
          <w:p>
            <w:pPr>
              <w:spacing w:after="0" w:before="0"/>
              <w:jc w:val="center"/>
            </w:pPr>
            <w:r/>
            <w:r>
              <w:rPr>
                <w:rFonts w:ascii="Calibri" w:hAnsi="Calibri"/>
                <w:b/>
                <w:i w:val="0"/>
                <w:color w:val="1F2A33"/>
                <w:sz w:val="19"/>
              </w:rPr>
              <w:t>3</w:t>
            </w:r>
          </w:p>
        </w:tc>
        <w:tc>
          <w:tcPr>
            <w:tcW w:type="dxa" w:w="3742"/>
            <w:tcMar>
              <w:top w:w="60" w:type="dxa"/>
              <w:bottom w:w="60" w:type="dxa"/>
              <w:start w:w="110" w:type="dxa"/>
              <w:end w:w="110" w:type="dxa"/>
            </w:tcMar>
            <w:vAlign w:val="center"/>
          </w:tcPr>
          <w:p>
            <w:pPr>
              <w:spacing w:after="0" w:before="0"/>
              <w:jc w:val="left"/>
            </w:pPr>
            <w:r/>
            <w:r>
              <w:rPr>
                <w:rFonts w:ascii="Calibri" w:hAnsi="Calibri"/>
                <w:b w:val="0"/>
                <w:i w:val="0"/>
                <w:color w:val="1F2A33"/>
                <w:sz w:val="19"/>
              </w:rPr>
              <w:t>O&amp;M steady-state revenue</w:t>
            </w:r>
          </w:p>
        </w:tc>
        <w:tc>
          <w:tcPr>
            <w:tcW w:type="dxa" w:w="1984"/>
            <w:tcMar>
              <w:top w:w="60" w:type="dxa"/>
              <w:bottom w:w="60" w:type="dxa"/>
              <w:start w:w="110" w:type="dxa"/>
              <w:end w:w="110" w:type="dxa"/>
            </w:tcMar>
            <w:vAlign w:val="center"/>
          </w:tcPr>
          <w:p>
            <w:pPr>
              <w:spacing w:after="0" w:before="0"/>
              <w:jc w:val="left"/>
            </w:pPr>
            <w:r/>
            <w:r>
              <w:rPr>
                <w:rFonts w:ascii="Calibri" w:hAnsi="Calibri"/>
                <w:b w:val="0"/>
                <w:i w:val="0"/>
                <w:color w:val="1F2A33"/>
                <w:sz w:val="19"/>
              </w:rPr>
              <w:t>R30m p.a.</w:t>
            </w:r>
          </w:p>
        </w:tc>
        <w:tc>
          <w:tcPr>
            <w:tcW w:type="dxa" w:w="2268"/>
            <w:tcMar>
              <w:top w:w="60" w:type="dxa"/>
              <w:bottom w:w="60" w:type="dxa"/>
              <w:start w:w="110" w:type="dxa"/>
              <w:end w:w="110" w:type="dxa"/>
            </w:tcMar>
            <w:vAlign w:val="center"/>
          </w:tcPr>
          <w:p>
            <w:pPr>
              <w:spacing w:after="0" w:before="0"/>
              <w:jc w:val="left"/>
            </w:pPr>
            <w:r/>
            <w:r>
              <w:rPr>
                <w:rFonts w:ascii="Calibri" w:hAnsi="Calibri"/>
                <w:b w:val="0"/>
                <w:i w:val="0"/>
                <w:color w:val="1F2A33"/>
                <w:sz w:val="19"/>
              </w:rPr>
              <w:t>Management accounts</w:t>
            </w:r>
          </w:p>
        </w:tc>
      </w:tr>
      <w:tr>
        <w:tc>
          <w:tcPr>
            <w:tcW w:type="dxa" w:w="510"/>
            <w:tcMar>
              <w:top w:w="60" w:type="dxa"/>
              <w:bottom w:w="60" w:type="dxa"/>
              <w:start w:w="110" w:type="dxa"/>
              <w:end w:w="110" w:type="dxa"/>
            </w:tcMar>
            <w:shd w:val="clear" w:color="auto" w:fill="F5F8F6"/>
            <w:vAlign w:val="center"/>
          </w:tcPr>
          <w:p>
            <w:pPr>
              <w:spacing w:after="0" w:before="0"/>
              <w:jc w:val="center"/>
            </w:pPr>
            <w:r/>
            <w:r>
              <w:rPr>
                <w:rFonts w:ascii="Calibri" w:hAnsi="Calibri"/>
                <w:b/>
                <w:i w:val="0"/>
                <w:color w:val="1F2A33"/>
                <w:sz w:val="19"/>
              </w:rPr>
              <w:t>4</w:t>
            </w:r>
          </w:p>
        </w:tc>
        <w:tc>
          <w:tcPr>
            <w:tcW w:type="dxa" w:w="3742"/>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O&amp;M EBITDA margin</w:t>
            </w:r>
          </w:p>
        </w:tc>
        <w:tc>
          <w:tcPr>
            <w:tcW w:type="dxa" w:w="1984"/>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30%</w:t>
            </w:r>
          </w:p>
        </w:tc>
        <w:tc>
          <w:tcPr>
            <w:tcW w:type="dxa" w:w="2268"/>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Management accounts</w:t>
            </w:r>
          </w:p>
        </w:tc>
      </w:tr>
      <w:tr>
        <w:tc>
          <w:tcPr>
            <w:tcW w:type="dxa" w:w="510"/>
            <w:tcMar>
              <w:top w:w="60" w:type="dxa"/>
              <w:bottom w:w="60" w:type="dxa"/>
              <w:start w:w="110" w:type="dxa"/>
              <w:end w:w="110" w:type="dxa"/>
            </w:tcMar>
            <w:vAlign w:val="center"/>
          </w:tcPr>
          <w:p>
            <w:pPr>
              <w:spacing w:after="0" w:before="0"/>
              <w:jc w:val="center"/>
            </w:pPr>
            <w:r/>
            <w:r>
              <w:rPr>
                <w:rFonts w:ascii="Calibri" w:hAnsi="Calibri"/>
                <w:b/>
                <w:i w:val="0"/>
                <w:color w:val="1F2A33"/>
                <w:sz w:val="19"/>
              </w:rPr>
              <w:t>5</w:t>
            </w:r>
          </w:p>
        </w:tc>
        <w:tc>
          <w:tcPr>
            <w:tcW w:type="dxa" w:w="3742"/>
            <w:tcMar>
              <w:top w:w="60" w:type="dxa"/>
              <w:bottom w:w="60" w:type="dxa"/>
              <w:start w:w="110" w:type="dxa"/>
              <w:end w:w="110" w:type="dxa"/>
            </w:tcMar>
            <w:vAlign w:val="center"/>
          </w:tcPr>
          <w:p>
            <w:pPr>
              <w:spacing w:after="0" w:before="0"/>
              <w:jc w:val="left"/>
            </w:pPr>
            <w:r/>
            <w:r>
              <w:rPr>
                <w:rFonts w:ascii="Calibri" w:hAnsi="Calibri"/>
                <w:b w:val="0"/>
                <w:i w:val="0"/>
                <w:color w:val="1F2A33"/>
                <w:sz w:val="19"/>
              </w:rPr>
              <w:t>ESCO steady-state revenue</w:t>
            </w:r>
          </w:p>
        </w:tc>
        <w:tc>
          <w:tcPr>
            <w:tcW w:type="dxa" w:w="1984"/>
            <w:tcMar>
              <w:top w:w="60" w:type="dxa"/>
              <w:bottom w:w="60" w:type="dxa"/>
              <w:start w:w="110" w:type="dxa"/>
              <w:end w:w="110" w:type="dxa"/>
            </w:tcMar>
            <w:vAlign w:val="center"/>
          </w:tcPr>
          <w:p>
            <w:pPr>
              <w:spacing w:after="0" w:before="0"/>
              <w:jc w:val="left"/>
            </w:pPr>
            <w:r/>
            <w:r>
              <w:rPr>
                <w:rFonts w:ascii="Calibri" w:hAnsi="Calibri"/>
                <w:b w:val="0"/>
                <w:i w:val="0"/>
                <w:color w:val="1F2A33"/>
                <w:sz w:val="19"/>
              </w:rPr>
              <w:t>R22m p.a.</w:t>
            </w:r>
          </w:p>
        </w:tc>
        <w:tc>
          <w:tcPr>
            <w:tcW w:type="dxa" w:w="2268"/>
            <w:tcMar>
              <w:top w:w="60" w:type="dxa"/>
              <w:bottom w:w="60" w:type="dxa"/>
              <w:start w:w="110" w:type="dxa"/>
              <w:end w:w="110" w:type="dxa"/>
            </w:tcMar>
            <w:vAlign w:val="center"/>
          </w:tcPr>
          <w:p>
            <w:pPr>
              <w:spacing w:after="0" w:before="0"/>
              <w:jc w:val="left"/>
            </w:pPr>
            <w:r/>
            <w:r>
              <w:rPr>
                <w:rFonts w:ascii="Calibri" w:hAnsi="Calibri"/>
                <w:b w:val="0"/>
                <w:i w:val="0"/>
                <w:color w:val="1F2A33"/>
                <w:sz w:val="19"/>
              </w:rPr>
              <w:t>Management accounts</w:t>
            </w:r>
          </w:p>
        </w:tc>
      </w:tr>
      <w:tr>
        <w:tc>
          <w:tcPr>
            <w:tcW w:type="dxa" w:w="510"/>
            <w:tcMar>
              <w:top w:w="60" w:type="dxa"/>
              <w:bottom w:w="60" w:type="dxa"/>
              <w:start w:w="110" w:type="dxa"/>
              <w:end w:w="110" w:type="dxa"/>
            </w:tcMar>
            <w:shd w:val="clear" w:color="auto" w:fill="F5F8F6"/>
            <w:vAlign w:val="center"/>
          </w:tcPr>
          <w:p>
            <w:pPr>
              <w:spacing w:after="0" w:before="0"/>
              <w:jc w:val="center"/>
            </w:pPr>
            <w:r/>
            <w:r>
              <w:rPr>
                <w:rFonts w:ascii="Calibri" w:hAnsi="Calibri"/>
                <w:b/>
                <w:i w:val="0"/>
                <w:color w:val="1F2A33"/>
                <w:sz w:val="19"/>
              </w:rPr>
              <w:t>6</w:t>
            </w:r>
          </w:p>
        </w:tc>
        <w:tc>
          <w:tcPr>
            <w:tcW w:type="dxa" w:w="3742"/>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ESCO EBITDA margin</w:t>
            </w:r>
          </w:p>
        </w:tc>
        <w:tc>
          <w:tcPr>
            <w:tcW w:type="dxa" w:w="1984"/>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30%</w:t>
            </w:r>
          </w:p>
        </w:tc>
        <w:tc>
          <w:tcPr>
            <w:tcW w:type="dxa" w:w="2268"/>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Management accounts</w:t>
            </w:r>
          </w:p>
        </w:tc>
      </w:tr>
      <w:tr>
        <w:tc>
          <w:tcPr>
            <w:tcW w:type="dxa" w:w="510"/>
            <w:tcMar>
              <w:top w:w="60" w:type="dxa"/>
              <w:bottom w:w="60" w:type="dxa"/>
              <w:start w:w="110" w:type="dxa"/>
              <w:end w:w="110" w:type="dxa"/>
            </w:tcMar>
            <w:vAlign w:val="center"/>
          </w:tcPr>
          <w:p>
            <w:pPr>
              <w:spacing w:after="0" w:before="0"/>
              <w:jc w:val="center"/>
            </w:pPr>
            <w:r/>
            <w:r>
              <w:rPr>
                <w:rFonts w:ascii="Calibri" w:hAnsi="Calibri"/>
                <w:b/>
                <w:i w:val="0"/>
                <w:color w:val="1F2A33"/>
                <w:sz w:val="19"/>
              </w:rPr>
              <w:t>7</w:t>
            </w:r>
          </w:p>
        </w:tc>
        <w:tc>
          <w:tcPr>
            <w:tcW w:type="dxa" w:w="3742"/>
            <w:tcMar>
              <w:top w:w="60" w:type="dxa"/>
              <w:bottom w:w="60" w:type="dxa"/>
              <w:start w:w="110" w:type="dxa"/>
              <w:end w:w="110" w:type="dxa"/>
            </w:tcMar>
            <w:vAlign w:val="center"/>
          </w:tcPr>
          <w:p>
            <w:pPr>
              <w:spacing w:after="0" w:before="0"/>
              <w:jc w:val="left"/>
            </w:pPr>
            <w:r/>
            <w:r>
              <w:rPr>
                <w:rFonts w:ascii="Calibri" w:hAnsi="Calibri"/>
                <w:b w:val="0"/>
                <w:i w:val="0"/>
                <w:color w:val="1F2A33"/>
                <w:sz w:val="19"/>
              </w:rPr>
              <w:t>Inv.-Finance steady-state revenue</w:t>
            </w:r>
          </w:p>
        </w:tc>
        <w:tc>
          <w:tcPr>
            <w:tcW w:type="dxa" w:w="1984"/>
            <w:tcMar>
              <w:top w:w="60" w:type="dxa"/>
              <w:bottom w:w="60" w:type="dxa"/>
              <w:start w:w="110" w:type="dxa"/>
              <w:end w:w="110" w:type="dxa"/>
            </w:tcMar>
            <w:vAlign w:val="center"/>
          </w:tcPr>
          <w:p>
            <w:pPr>
              <w:spacing w:after="0" w:before="0"/>
              <w:jc w:val="left"/>
            </w:pPr>
            <w:r/>
            <w:r>
              <w:rPr>
                <w:rFonts w:ascii="Calibri" w:hAnsi="Calibri"/>
                <w:b w:val="0"/>
                <w:i w:val="0"/>
                <w:color w:val="1F2A33"/>
                <w:sz w:val="19"/>
              </w:rPr>
              <w:t>R20m p.a.</w:t>
            </w:r>
          </w:p>
        </w:tc>
        <w:tc>
          <w:tcPr>
            <w:tcW w:type="dxa" w:w="2268"/>
            <w:tcMar>
              <w:top w:w="60" w:type="dxa"/>
              <w:bottom w:w="60" w:type="dxa"/>
              <w:start w:w="110" w:type="dxa"/>
              <w:end w:w="110" w:type="dxa"/>
            </w:tcMar>
            <w:vAlign w:val="center"/>
          </w:tcPr>
          <w:p>
            <w:pPr>
              <w:spacing w:after="0" w:before="0"/>
              <w:jc w:val="left"/>
            </w:pPr>
            <w:r/>
            <w:r>
              <w:rPr>
                <w:rFonts w:ascii="Calibri" w:hAnsi="Calibri"/>
                <w:b w:val="0"/>
                <w:i w:val="0"/>
                <w:color w:val="1F2A33"/>
                <w:sz w:val="19"/>
              </w:rPr>
              <w:t>Management accounts</w:t>
            </w:r>
          </w:p>
        </w:tc>
      </w:tr>
      <w:tr>
        <w:tc>
          <w:tcPr>
            <w:tcW w:type="dxa" w:w="510"/>
            <w:tcMar>
              <w:top w:w="60" w:type="dxa"/>
              <w:bottom w:w="60" w:type="dxa"/>
              <w:start w:w="110" w:type="dxa"/>
              <w:end w:w="110" w:type="dxa"/>
            </w:tcMar>
            <w:shd w:val="clear" w:color="auto" w:fill="F5F8F6"/>
            <w:vAlign w:val="center"/>
          </w:tcPr>
          <w:p>
            <w:pPr>
              <w:spacing w:after="0" w:before="0"/>
              <w:jc w:val="center"/>
            </w:pPr>
            <w:r/>
            <w:r>
              <w:rPr>
                <w:rFonts w:ascii="Calibri" w:hAnsi="Calibri"/>
                <w:b/>
                <w:i w:val="0"/>
                <w:color w:val="1F2A33"/>
                <w:sz w:val="19"/>
              </w:rPr>
              <w:t>8</w:t>
            </w:r>
          </w:p>
        </w:tc>
        <w:tc>
          <w:tcPr>
            <w:tcW w:type="dxa" w:w="3742"/>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Inv.-Finance EBITDA margin</w:t>
            </w:r>
          </w:p>
        </w:tc>
        <w:tc>
          <w:tcPr>
            <w:tcW w:type="dxa" w:w="1984"/>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33%</w:t>
            </w:r>
          </w:p>
        </w:tc>
        <w:tc>
          <w:tcPr>
            <w:tcW w:type="dxa" w:w="2268"/>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Management accounts</w:t>
            </w:r>
          </w:p>
        </w:tc>
      </w:tr>
      <w:tr>
        <w:tc>
          <w:tcPr>
            <w:tcW w:type="dxa" w:w="510"/>
            <w:tcMar>
              <w:top w:w="60" w:type="dxa"/>
              <w:bottom w:w="60" w:type="dxa"/>
              <w:start w:w="110" w:type="dxa"/>
              <w:end w:w="110" w:type="dxa"/>
            </w:tcMar>
            <w:vAlign w:val="center"/>
          </w:tcPr>
          <w:p>
            <w:pPr>
              <w:spacing w:after="0" w:before="0"/>
              <w:jc w:val="center"/>
            </w:pPr>
            <w:r/>
            <w:r>
              <w:rPr>
                <w:rFonts w:ascii="Calibri" w:hAnsi="Calibri"/>
                <w:b/>
                <w:i w:val="0"/>
                <w:color w:val="1F2A33"/>
                <w:sz w:val="19"/>
              </w:rPr>
              <w:t>9</w:t>
            </w:r>
          </w:p>
        </w:tc>
        <w:tc>
          <w:tcPr>
            <w:tcW w:type="dxa" w:w="3742"/>
            <w:tcMar>
              <w:top w:w="60" w:type="dxa"/>
              <w:bottom w:w="60" w:type="dxa"/>
              <w:start w:w="110" w:type="dxa"/>
              <w:end w:w="110" w:type="dxa"/>
            </w:tcMar>
            <w:vAlign w:val="center"/>
          </w:tcPr>
          <w:p>
            <w:pPr>
              <w:spacing w:after="0" w:before="0"/>
              <w:jc w:val="left"/>
            </w:pPr>
            <w:r/>
            <w:r>
              <w:rPr>
                <w:rFonts w:ascii="Calibri" w:hAnsi="Calibri"/>
                <w:b w:val="0"/>
                <w:i w:val="0"/>
                <w:color w:val="1F2A33"/>
                <w:sz w:val="19"/>
              </w:rPr>
              <w:t>Applied EBITDA multiples</w:t>
            </w:r>
          </w:p>
        </w:tc>
        <w:tc>
          <w:tcPr>
            <w:tcW w:type="dxa" w:w="1984"/>
            <w:tcMar>
              <w:top w:w="60" w:type="dxa"/>
              <w:bottom w:w="60" w:type="dxa"/>
              <w:start w:w="110" w:type="dxa"/>
              <w:end w:w="110" w:type="dxa"/>
            </w:tcMar>
            <w:vAlign w:val="center"/>
          </w:tcPr>
          <w:p>
            <w:pPr>
              <w:spacing w:after="0" w:before="0"/>
              <w:jc w:val="left"/>
            </w:pPr>
            <w:r/>
            <w:r>
              <w:rPr>
                <w:rFonts w:ascii="Calibri" w:hAnsi="Calibri"/>
                <w:b w:val="0"/>
                <w:i w:val="0"/>
                <w:color w:val="1F2A33"/>
                <w:sz w:val="19"/>
              </w:rPr>
              <w:t>7.0×</w:t>
            </w:r>
          </w:p>
        </w:tc>
        <w:tc>
          <w:tcPr>
            <w:tcW w:type="dxa" w:w="2268"/>
            <w:tcMar>
              <w:top w:w="60" w:type="dxa"/>
              <w:bottom w:w="60" w:type="dxa"/>
              <w:start w:w="110" w:type="dxa"/>
              <w:end w:w="110" w:type="dxa"/>
            </w:tcMar>
            <w:vAlign w:val="center"/>
          </w:tcPr>
          <w:p>
            <w:pPr>
              <w:spacing w:after="0" w:before="0"/>
              <w:jc w:val="left"/>
            </w:pPr>
            <w:r/>
            <w:r>
              <w:rPr>
                <w:rFonts w:ascii="Calibri" w:hAnsi="Calibri"/>
                <w:b w:val="0"/>
                <w:i w:val="0"/>
                <w:color w:val="1F2A33"/>
                <w:sz w:val="19"/>
              </w:rPr>
              <w:t>Comparable transactions</w:t>
            </w:r>
          </w:p>
        </w:tc>
      </w:tr>
      <w:tr>
        <w:tc>
          <w:tcPr>
            <w:tcW w:type="dxa" w:w="510"/>
            <w:tcMar>
              <w:top w:w="60" w:type="dxa"/>
              <w:bottom w:w="60" w:type="dxa"/>
              <w:start w:w="110" w:type="dxa"/>
              <w:end w:w="110" w:type="dxa"/>
            </w:tcMar>
            <w:shd w:val="clear" w:color="auto" w:fill="F5F8F6"/>
            <w:vAlign w:val="center"/>
          </w:tcPr>
          <w:p>
            <w:pPr>
              <w:spacing w:after="0" w:before="0"/>
              <w:jc w:val="center"/>
            </w:pPr>
            <w:r/>
            <w:r>
              <w:rPr>
                <w:rFonts w:ascii="Calibri" w:hAnsi="Calibri"/>
                <w:b/>
                <w:i w:val="0"/>
                <w:color w:val="1F2A33"/>
                <w:sz w:val="19"/>
              </w:rPr>
              <w:t>10</w:t>
            </w:r>
          </w:p>
        </w:tc>
        <w:tc>
          <w:tcPr>
            <w:tcW w:type="dxa" w:w="3742"/>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IP-enabled revenue (royalty base)</w:t>
            </w:r>
          </w:p>
        </w:tc>
        <w:tc>
          <w:tcPr>
            <w:tcW w:type="dxa" w:w="1984"/>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R72m p.a.</w:t>
            </w:r>
          </w:p>
        </w:tc>
        <w:tc>
          <w:tcPr>
            <w:tcW w:type="dxa" w:w="2268"/>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Management</w:t>
            </w:r>
          </w:p>
        </w:tc>
      </w:tr>
      <w:tr>
        <w:tc>
          <w:tcPr>
            <w:tcW w:type="dxa" w:w="510"/>
            <w:tcMar>
              <w:top w:w="60" w:type="dxa"/>
              <w:bottom w:w="60" w:type="dxa"/>
              <w:start w:w="110" w:type="dxa"/>
              <w:end w:w="110" w:type="dxa"/>
            </w:tcMar>
            <w:vAlign w:val="center"/>
          </w:tcPr>
          <w:p>
            <w:pPr>
              <w:spacing w:after="0" w:before="0"/>
              <w:jc w:val="center"/>
            </w:pPr>
            <w:r/>
            <w:r>
              <w:rPr>
                <w:rFonts w:ascii="Calibri" w:hAnsi="Calibri"/>
                <w:b/>
                <w:i w:val="0"/>
                <w:color w:val="1F2A33"/>
                <w:sz w:val="19"/>
              </w:rPr>
              <w:t>11</w:t>
            </w:r>
          </w:p>
        </w:tc>
        <w:tc>
          <w:tcPr>
            <w:tcW w:type="dxa" w:w="3742"/>
            <w:tcMar>
              <w:top w:w="60" w:type="dxa"/>
              <w:bottom w:w="60" w:type="dxa"/>
              <w:start w:w="110" w:type="dxa"/>
              <w:end w:w="110" w:type="dxa"/>
            </w:tcMar>
            <w:vAlign w:val="center"/>
          </w:tcPr>
          <w:p>
            <w:pPr>
              <w:spacing w:after="0" w:before="0"/>
              <w:jc w:val="left"/>
            </w:pPr>
            <w:r/>
            <w:r>
              <w:rPr>
                <w:rFonts w:ascii="Calibri" w:hAnsi="Calibri"/>
                <w:b w:val="0"/>
                <w:i w:val="0"/>
                <w:color w:val="1F2A33"/>
                <w:sz w:val="19"/>
              </w:rPr>
              <w:t>Notional royalty rate</w:t>
            </w:r>
          </w:p>
        </w:tc>
        <w:tc>
          <w:tcPr>
            <w:tcW w:type="dxa" w:w="1984"/>
            <w:tcMar>
              <w:top w:w="60" w:type="dxa"/>
              <w:bottom w:w="60" w:type="dxa"/>
              <w:start w:w="110" w:type="dxa"/>
              <w:end w:w="110" w:type="dxa"/>
            </w:tcMar>
            <w:vAlign w:val="center"/>
          </w:tcPr>
          <w:p>
            <w:pPr>
              <w:spacing w:after="0" w:before="0"/>
              <w:jc w:val="left"/>
            </w:pPr>
            <w:r/>
            <w:r>
              <w:rPr>
                <w:rFonts w:ascii="Calibri" w:hAnsi="Calibri"/>
                <w:b w:val="0"/>
                <w:i w:val="0"/>
                <w:color w:val="1F2A33"/>
                <w:sz w:val="19"/>
              </w:rPr>
              <w:t>6%</w:t>
            </w:r>
          </w:p>
        </w:tc>
        <w:tc>
          <w:tcPr>
            <w:tcW w:type="dxa" w:w="2268"/>
            <w:tcMar>
              <w:top w:w="60" w:type="dxa"/>
              <w:bottom w:w="60" w:type="dxa"/>
              <w:start w:w="110" w:type="dxa"/>
              <w:end w:w="110" w:type="dxa"/>
            </w:tcMar>
            <w:vAlign w:val="center"/>
          </w:tcPr>
          <w:p>
            <w:pPr>
              <w:spacing w:after="0" w:before="0"/>
              <w:jc w:val="left"/>
            </w:pPr>
            <w:r/>
            <w:r>
              <w:rPr>
                <w:rFonts w:ascii="Calibri" w:hAnsi="Calibri"/>
                <w:b w:val="0"/>
                <w:i w:val="0"/>
                <w:color w:val="1F2A33"/>
                <w:sz w:val="19"/>
              </w:rPr>
              <w:t>Comparable licences</w:t>
            </w:r>
          </w:p>
        </w:tc>
      </w:tr>
      <w:tr>
        <w:tc>
          <w:tcPr>
            <w:tcW w:type="dxa" w:w="510"/>
            <w:tcMar>
              <w:top w:w="60" w:type="dxa"/>
              <w:bottom w:w="60" w:type="dxa"/>
              <w:start w:w="110" w:type="dxa"/>
              <w:end w:w="110" w:type="dxa"/>
            </w:tcMar>
            <w:shd w:val="clear" w:color="auto" w:fill="F5F8F6"/>
            <w:vAlign w:val="center"/>
          </w:tcPr>
          <w:p>
            <w:pPr>
              <w:spacing w:after="0" w:before="0"/>
              <w:jc w:val="center"/>
            </w:pPr>
            <w:r/>
            <w:r>
              <w:rPr>
                <w:rFonts w:ascii="Calibri" w:hAnsi="Calibri"/>
                <w:b/>
                <w:i w:val="0"/>
                <w:color w:val="1F2A33"/>
                <w:sz w:val="19"/>
              </w:rPr>
              <w:t>12</w:t>
            </w:r>
          </w:p>
        </w:tc>
        <w:tc>
          <w:tcPr>
            <w:tcW w:type="dxa" w:w="3742"/>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Platform recreation cost</w:t>
            </w:r>
          </w:p>
        </w:tc>
        <w:tc>
          <w:tcPr>
            <w:tcW w:type="dxa" w:w="1984"/>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R28m</w:t>
            </w:r>
          </w:p>
        </w:tc>
        <w:tc>
          <w:tcPr>
            <w:tcW w:type="dxa" w:w="2268"/>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Engineering cost study</w:t>
            </w:r>
          </w:p>
        </w:tc>
      </w:tr>
      <w:tr>
        <w:tc>
          <w:tcPr>
            <w:tcW w:type="dxa" w:w="510"/>
            <w:tcMar>
              <w:top w:w="60" w:type="dxa"/>
              <w:bottom w:w="60" w:type="dxa"/>
              <w:start w:w="110" w:type="dxa"/>
              <w:end w:w="110" w:type="dxa"/>
            </w:tcMar>
            <w:vAlign w:val="center"/>
          </w:tcPr>
          <w:p>
            <w:pPr>
              <w:spacing w:after="0" w:before="0"/>
              <w:jc w:val="center"/>
            </w:pPr>
            <w:r/>
            <w:r>
              <w:rPr>
                <w:rFonts w:ascii="Calibri" w:hAnsi="Calibri"/>
                <w:b/>
                <w:i w:val="0"/>
                <w:color w:val="1F2A33"/>
                <w:sz w:val="19"/>
              </w:rPr>
              <w:t>13</w:t>
            </w:r>
          </w:p>
        </w:tc>
        <w:tc>
          <w:tcPr>
            <w:tcW w:type="dxa" w:w="3742"/>
            <w:tcMar>
              <w:top w:w="60" w:type="dxa"/>
              <w:bottom w:w="60" w:type="dxa"/>
              <w:start w:w="110" w:type="dxa"/>
              <w:end w:w="110" w:type="dxa"/>
            </w:tcMar>
            <w:vAlign w:val="center"/>
          </w:tcPr>
          <w:p>
            <w:pPr>
              <w:spacing w:after="0" w:before="0"/>
              <w:jc w:val="left"/>
            </w:pPr>
            <w:r/>
            <w:r>
              <w:rPr>
                <w:rFonts w:ascii="Calibri" w:hAnsi="Calibri"/>
                <w:b w:val="0"/>
                <w:i w:val="0"/>
                <w:color w:val="1F2A33"/>
                <w:sz w:val="19"/>
              </w:rPr>
              <w:t>Net debt at SPV level</w:t>
            </w:r>
          </w:p>
        </w:tc>
        <w:tc>
          <w:tcPr>
            <w:tcW w:type="dxa" w:w="1984"/>
            <w:tcMar>
              <w:top w:w="60" w:type="dxa"/>
              <w:bottom w:w="60" w:type="dxa"/>
              <w:start w:w="110" w:type="dxa"/>
              <w:end w:w="110" w:type="dxa"/>
            </w:tcMar>
            <w:vAlign w:val="center"/>
          </w:tcPr>
          <w:p>
            <w:pPr>
              <w:spacing w:after="0" w:before="0"/>
              <w:jc w:val="left"/>
            </w:pPr>
            <w:r/>
            <w:r>
              <w:rPr>
                <w:rFonts w:ascii="Calibri" w:hAnsi="Calibri"/>
                <w:b w:val="0"/>
                <w:i w:val="0"/>
                <w:color w:val="1F2A33"/>
                <w:sz w:val="19"/>
              </w:rPr>
              <w:t>≈ nil</w:t>
            </w:r>
          </w:p>
        </w:tc>
        <w:tc>
          <w:tcPr>
            <w:tcW w:type="dxa" w:w="2268"/>
            <w:tcMar>
              <w:top w:w="60" w:type="dxa"/>
              <w:bottom w:w="60" w:type="dxa"/>
              <w:start w:w="110" w:type="dxa"/>
              <w:end w:w="110" w:type="dxa"/>
            </w:tcMar>
            <w:vAlign w:val="center"/>
          </w:tcPr>
          <w:p>
            <w:pPr>
              <w:spacing w:after="0" w:before="0"/>
              <w:jc w:val="left"/>
            </w:pPr>
            <w:r/>
            <w:r>
              <w:rPr>
                <w:rFonts w:ascii="Calibri" w:hAnsi="Calibri"/>
                <w:b w:val="0"/>
                <w:i w:val="0"/>
                <w:color w:val="1F2A33"/>
                <w:sz w:val="19"/>
              </w:rPr>
              <w:t>Balance sheet</w:t>
            </w:r>
          </w:p>
        </w:tc>
      </w:tr>
      <w:tr>
        <w:tc>
          <w:tcPr>
            <w:tcW w:type="dxa" w:w="510"/>
            <w:tcMar>
              <w:top w:w="60" w:type="dxa"/>
              <w:bottom w:w="60" w:type="dxa"/>
              <w:start w:w="110" w:type="dxa"/>
              <w:end w:w="110" w:type="dxa"/>
            </w:tcMar>
            <w:shd w:val="clear" w:color="auto" w:fill="F5F8F6"/>
            <w:vAlign w:val="center"/>
          </w:tcPr>
          <w:p>
            <w:pPr>
              <w:spacing w:after="0" w:before="0"/>
              <w:jc w:val="center"/>
            </w:pPr>
            <w:r/>
            <w:r>
              <w:rPr>
                <w:rFonts w:ascii="Calibri" w:hAnsi="Calibri"/>
                <w:b/>
                <w:i w:val="0"/>
                <w:color w:val="1F2A33"/>
                <w:sz w:val="19"/>
              </w:rPr>
              <w:t>14</w:t>
            </w:r>
          </w:p>
        </w:tc>
        <w:tc>
          <w:tcPr>
            <w:tcW w:type="dxa" w:w="3742"/>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IP provenance split</w:t>
            </w:r>
          </w:p>
        </w:tc>
        <w:tc>
          <w:tcPr>
            <w:tcW w:type="dxa" w:w="1984"/>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80% / 20%</w:t>
            </w:r>
          </w:p>
        </w:tc>
        <w:tc>
          <w:tcPr>
            <w:tcW w:type="dxa" w:w="2268"/>
            <w:tcMar>
              <w:top w:w="60" w:type="dxa"/>
              <w:bottom w:w="60" w:type="dxa"/>
              <w:start w:w="110" w:type="dxa"/>
              <w:end w:w="110" w:type="dxa"/>
            </w:tcMar>
            <w:shd w:val="clear" w:color="auto" w:fill="F5F8F6"/>
            <w:vAlign w:val="center"/>
          </w:tcPr>
          <w:p>
            <w:pPr>
              <w:spacing w:after="0" w:before="0"/>
              <w:jc w:val="left"/>
            </w:pPr>
            <w:r/>
            <w:r>
              <w:rPr>
                <w:rFonts w:ascii="Calibri" w:hAnsi="Calibri"/>
                <w:b w:val="0"/>
                <w:i w:val="0"/>
                <w:color w:val="1F2A33"/>
                <w:sz w:val="19"/>
              </w:rPr>
              <w:t>IP-contribution agreements</w:t>
            </w:r>
          </w:p>
        </w:tc>
      </w:tr>
      <w:tr>
        <w:tc>
          <w:tcPr>
            <w:tcW w:type="dxa" w:w="510"/>
            <w:tcMar>
              <w:top w:w="60" w:type="dxa"/>
              <w:bottom w:w="60" w:type="dxa"/>
              <w:start w:w="110" w:type="dxa"/>
              <w:end w:w="110" w:type="dxa"/>
            </w:tcMar>
            <w:vAlign w:val="center"/>
          </w:tcPr>
          <w:p>
            <w:pPr>
              <w:spacing w:after="0" w:before="0"/>
              <w:jc w:val="center"/>
            </w:pPr>
            <w:r/>
            <w:r>
              <w:rPr>
                <w:rFonts w:ascii="Calibri" w:hAnsi="Calibri"/>
                <w:b/>
                <w:i w:val="0"/>
                <w:color w:val="1F2A33"/>
                <w:sz w:val="19"/>
              </w:rPr>
              <w:t>15</w:t>
            </w:r>
          </w:p>
        </w:tc>
        <w:tc>
          <w:tcPr>
            <w:tcW w:type="dxa" w:w="3742"/>
            <w:tcMar>
              <w:top w:w="60" w:type="dxa"/>
              <w:bottom w:w="60" w:type="dxa"/>
              <w:start w:w="110" w:type="dxa"/>
              <w:end w:w="110" w:type="dxa"/>
            </w:tcMar>
            <w:vAlign w:val="center"/>
          </w:tcPr>
          <w:p>
            <w:pPr>
              <w:spacing w:after="0" w:before="0"/>
              <w:jc w:val="left"/>
            </w:pPr>
            <w:r/>
            <w:r>
              <w:rPr>
                <w:rFonts w:ascii="Calibri" w:hAnsi="Calibri"/>
                <w:b w:val="0"/>
                <w:i w:val="0"/>
                <w:color w:val="1F2A33"/>
                <w:sz w:val="19"/>
              </w:rPr>
              <w:t>CEC legal name &amp; registration</w:t>
            </w:r>
          </w:p>
        </w:tc>
        <w:tc>
          <w:tcPr>
            <w:tcW w:type="dxa" w:w="1984"/>
            <w:tcMar>
              <w:top w:w="60" w:type="dxa"/>
              <w:bottom w:w="60" w:type="dxa"/>
              <w:start w:w="110" w:type="dxa"/>
              <w:end w:w="110" w:type="dxa"/>
            </w:tcMar>
            <w:vAlign w:val="center"/>
          </w:tcPr>
          <w:p>
            <w:pPr>
              <w:spacing w:after="0" w:before="0"/>
              <w:jc w:val="left"/>
            </w:pPr>
            <w:r/>
            <w:r>
              <w:rPr>
                <w:rFonts w:ascii="Calibri" w:hAnsi="Calibri"/>
                <w:b w:val="0"/>
                <w:i w:val="0"/>
                <w:color w:val="1F2A33"/>
                <w:sz w:val="19"/>
              </w:rPr>
              <w:t>Clean Energy Consortium (SPV)</w:t>
            </w:r>
          </w:p>
        </w:tc>
        <w:tc>
          <w:tcPr>
            <w:tcW w:type="dxa" w:w="2268"/>
            <w:tcMar>
              <w:top w:w="60" w:type="dxa"/>
              <w:bottom w:w="60" w:type="dxa"/>
              <w:start w:w="110" w:type="dxa"/>
              <w:end w:w="110" w:type="dxa"/>
            </w:tcMar>
            <w:vAlign w:val="center"/>
          </w:tcPr>
          <w:p>
            <w:pPr>
              <w:spacing w:after="0" w:before="0"/>
              <w:jc w:val="left"/>
            </w:pPr>
            <w:r/>
            <w:r>
              <w:rPr>
                <w:rFonts w:ascii="Calibri" w:hAnsi="Calibri"/>
                <w:b w:val="0"/>
                <w:i w:val="0"/>
                <w:color w:val="1F2A33"/>
                <w:sz w:val="19"/>
              </w:rPr>
              <w:t>CIPC registration</w:t>
            </w:r>
          </w:p>
        </w:tc>
      </w:tr>
    </w:tbl>
    <w:p>
      <w:pPr>
        <w:spacing w:after="80"/>
      </w:pPr>
    </w:p>
    <w:p>
      <w:pPr>
        <w:spacing w:after="160"/>
      </w:pPr>
    </w:p>
    <w:p>
      <w:pPr>
        <w:spacing w:after="120" w:before="0"/>
        <w:jc w:val="center"/>
      </w:pPr>
      <w:r>
        <w:rPr>
          <w:rFonts w:ascii="Calibri" w:hAnsi="Calibri"/>
          <w:b w:val="0"/>
          <w:i/>
          <w:color w:val="5B6670"/>
          <w:sz w:val="18"/>
        </w:rPr>
        <w:t>— End of memorandum —</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670"/>
        <w:sz w:val="15"/>
      </w:rPr>
      <w:t xml:space="preserve">CEC  ·  Strictly Private &amp; Confidential  ·  Prepared for investor due diligence  ·  13 June 2026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F2A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