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季度运营报告</w:t>
      </w:r>
    </w:p>
    <w:p>
      <w:pPr>
        <w:pStyle w:val="Heading1"/>
      </w:pPr>
      <w:r>
        <w:t>一、业绩概览</w:t>
      </w:r>
    </w:p>
    <w:p>
      <w:r>
        <w:t>本季度营收为 1,230 万元，同比增长 15%。其中核心业务占比 78%，新业务占比 22%。</w:t>
      </w:r>
    </w:p>
    <w:p>
      <w:r>
        <w:rPr>
          <w:b/>
        </w:rPr>
        <w:t>重点：</w:t>
      </w:r>
      <w:r>
        <w:t>华东区域超额完成目标，完成率 112%。</w:t>
      </w:r>
    </w:p>
    <w:p>
      <w:pPr>
        <w:pStyle w:val="Heading1"/>
      </w:pPr>
      <w:r>
        <w:t>二、待办事项</w:t>
      </w:r>
    </w:p>
    <w:p>
      <w:pPr>
        <w:pStyle w:val="ListNumber"/>
      </w:pPr>
      <w:r>
        <w:t>完成客户回访</w:t>
      </w:r>
    </w:p>
    <w:p>
      <w:pPr>
        <w:pStyle w:val="ListNumber"/>
      </w:pPr>
      <w:r>
        <w:t>更新产品手册</w:t>
      </w:r>
    </w:p>
    <w:p>
      <w:pPr>
        <w:pStyle w:val="ListNumber"/>
      </w:pPr>
      <w:r>
        <w:t>筹备年度会议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实际</w:t>
            </w:r>
          </w:p>
        </w:tc>
      </w:tr>
      <w:tr>
        <w:tc>
          <w:tcPr>
            <w:tcW w:type="dxa" w:w="2880"/>
          </w:tcPr>
          <w:p>
            <w:r>
              <w:t>营收(万元)</w:t>
            </w:r>
          </w:p>
        </w:tc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1230</w:t>
            </w:r>
          </w:p>
        </w:tc>
      </w:tr>
      <w:tr>
        <w:tc>
          <w:tcPr>
            <w:tcW w:type="dxa" w:w="2880"/>
          </w:tcPr>
          <w:p>
            <w:r>
              <w:t>客户数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