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Parcial de concurrente 2015 recursantes - 1° Fecha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1 - Resolver con SEMÁFOROS la siguiente situación. En un torneo de arte hay P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Participantes que realizan una pintura cada uno. Al terminar dejan la pintura para ser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evaluada y luego esperan el resultado, lo imprimen y se retiran. Además existe un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Evaluador que evalúa las pinturas de acuerdo al orden en que las fueron terminando. El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Evaluador toma una pintura, la evalúa y le da la nota al participante correspondiente.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Nota: No se puede usar una estructura auxiliar para almacenar las notas de los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participantes. Maximizar la concurrencia.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2- Resolver con PASAJE DE MENSAJES SINCRÓNICO (PMS). En una estación de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comunicaciones se cuenta con 10 Radares, UNA Unidad de Detección, y UN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Reconocedor. Cada radar repetidamente detecta señales de radio durante 15 segundos 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le envía esos datos a la Unidad de Detección para que los analice. Los radares no deben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esperar ningún resultado (deben volver a tomar señales lo antes posible). La Unidad de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Detección, toma de a una las señales enviadas por los radares (según el orden de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llegada), realiza un preprocesamiento para limpiar la señal (simular esta operación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mediante la función PREPROCESAR(señal)) y envía el resultado al Reconocedor para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que termine de analizar la señal (simular esta operación mediante la función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ANALIZAR(señal)) y se queda esperando el resultado de este análisis para determinar el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resultado final. Nota: Maximizar la concurrencia.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