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Mr Exchange</w:t>
      </w:r>
    </w:p>
    <w:p>
      <w:pPr>
        <w:spacing w:after="60"/>
      </w:pPr>
      <w:r>
        <w:rPr>
          <w:i/>
          <w:iCs/>
          <w:color w:val="5F5E5A"/>
          <w:sz w:val="24"/>
          <w:szCs w:val="24"/>
        </w:rPr>
        <w:t xml:space="preserve">Master plan: brand consolidation, the two-tier delivery model, and the owner control panel</w:t>
      </w:r>
    </w:p>
    <w:p>
      <w:pPr>
        <w:pBdr>
          <w:bottom w:val="single" w:color="C9C7BE" w:sz="4" w:space="8"/>
        </w:pBdr>
        <w:spacing w:after="300"/>
      </w:pPr>
      <w:r>
        <w:rPr>
          <w:color w:val="5F5E5A"/>
          <w:sz w:val="18"/>
          <w:szCs w:val="18"/>
        </w:rPr>
        <w:t xml:space="preserve">Prepared 25 August 2026 · Internal planning document · Grounded in the current SmartExchange / Mr Exchange codebase</w:t>
      </w:r>
    </w:p>
    <w:p>
      <w:pPr>
        <w:pStyle w:val="Heading1"/>
      </w:pPr>
      <w:r>
        <w:t xml:space="preserve">Executive summary</w:t>
      </w:r>
    </w:p>
    <w:p>
      <w:pPr>
        <w:spacing w:after="160" w:line="300"/>
        <w:jc w:val="both"/>
      </w:pPr>
      <w:r>
        <w:t xml:space="preserve">This plan covers three connected pieces of work: finishing the rebrand from SmartExchange to Mr Exchange everywhere it still appears; formalising two ways customers use the product — a free 14-day trial hosted on your own VPS, and a fully licensed installation deployed on the customer’s own VPS and domain; and building the owner control panel needed to see and manage every customer across both tiers from one place.</w:t>
      </w:r>
    </w:p>
    <w:p>
      <w:pPr>
        <w:spacing w:after="160" w:line="300"/>
        <w:jc w:val="both"/>
      </w:pPr>
      <w:r>
        <w:rPr>
          <w:b/>
          <w:bCs/>
        </w:rPr>
        <w:t xml:space="preserve">The important thing to know before reading further: </w:t>
      </w:r>
      <w:r>
        <w:t xml:space="preserve">this is not a build from zero. The codebase already contains real, working pieces of all three items — a 14-day trial engine, a cloud vs. customer-server deployment mode, a role and plan system, a white-label collaboration type, and a staff onboarding wizard for new client accounts. This plan is mostly about finishing, connecting and hardening what already exists, plus adding the one genuinely missing piece: a way for the owner panel to see paid customers who live on their own separate servers. That reframes the timeline — this is achievable on a normal project cadence, not a rebuild.</w:t>
      </w:r>
    </w:p>
    <w:p>
      <w:pPr>
        <w:pStyle w:val="Heading3"/>
      </w:pPr>
      <w:r>
        <w:t xml:space="preserve">Contents at a glance</w:t>
      </w:r>
    </w:p>
    <w:p>
      <w:pPr>
        <w:pStyle w:val="ListParagraph"/>
        <w:numPr>
          <w:ilvl w:val="0"/>
          <w:numId w:val="2"/>
        </w:numPr>
        <w:spacing w:after="90"/>
      </w:pPr>
      <w:r>
        <w:t xml:space="preserve">1. Brand consolidation — Mr Exchange</w:t>
      </w:r>
    </w:p>
    <w:p>
      <w:pPr>
        <w:pStyle w:val="ListParagraph"/>
        <w:numPr>
          <w:ilvl w:val="0"/>
          <w:numId w:val="2"/>
        </w:numPr>
        <w:spacing w:after="90"/>
      </w:pPr>
      <w:r>
        <w:t xml:space="preserve">2. Product model — two delivery tiers</w:t>
      </w:r>
    </w:p>
    <w:p>
      <w:pPr>
        <w:pStyle w:val="ListParagraph"/>
        <w:numPr>
          <w:ilvl w:val="0"/>
          <w:numId w:val="2"/>
        </w:numPr>
        <w:spacing w:after="90"/>
      </w:pPr>
      <w:r>
        <w:t xml:space="preserve">3. The owner / mission control panel</w:t>
      </w:r>
    </w:p>
    <w:p>
      <w:pPr>
        <w:pStyle w:val="ListParagraph"/>
        <w:numPr>
          <w:ilvl w:val="0"/>
          <w:numId w:val="2"/>
        </w:numPr>
        <w:spacing w:after="90"/>
      </w:pPr>
      <w:r>
        <w:t xml:space="preserve">4. Roadmap</w:t>
      </w:r>
    </w:p>
    <w:p>
      <w:pPr>
        <w:pStyle w:val="ListParagraph"/>
        <w:numPr>
          <w:ilvl w:val="0"/>
          <w:numId w:val="2"/>
        </w:numPr>
        <w:spacing w:after="90"/>
      </w:pPr>
      <w:r>
        <w:t xml:space="preserve">5. Risks and decisions that need your sign-off</w:t>
      </w:r>
    </w:p>
    <w:p>
      <w:pPr>
        <w:pStyle w:val="ListParagraph"/>
        <w:numPr>
          <w:ilvl w:val="0"/>
          <w:numId w:val="2"/>
        </w:numPr>
        <w:spacing w:after="90"/>
      </w:pPr>
      <w:r>
        <w:t xml:space="preserve">6. Immediate next steps</w:t>
      </w:r>
    </w:p>
    <w:p>
      <w:pPr>
        <w:spacing w:after="120"/>
      </w:pPr>
    </w:p>
    <w:p>
      <w:pPr>
        <w:pStyle w:val="Heading1"/>
      </w:pPr>
      <w:r>
        <w:t xml:space="preserve">1. Brand consolidation: Mr Exchange</w:t>
      </w:r>
    </w:p>
    <w:p>
      <w:pPr>
        <w:pStyle w:val="Heading2"/>
      </w:pPr>
      <w:r>
        <w:t xml:space="preserve">1.1 Naming decision</w:t>
      </w:r>
    </w:p>
    <w:p>
      <w:pPr>
        <w:spacing w:after="160" w:line="300"/>
        <w:jc w:val="both"/>
      </w:pPr>
      <w:r>
        <w:t xml:space="preserve">The display name used throughout this plan is "Mr Exchange" (two words). That already matches what is live in the product: the default site name in </w:t>
      </w:r>
      <w:r>
        <w:rPr>
          <w:rFonts w:ascii="Consolas" w:cs="Consolas" w:eastAsia="Consolas" w:hAnsi="Consolas"/>
          <w:color w:val="00614A"/>
          <w:sz w:val="20"/>
          <w:szCs w:val="20"/>
        </w:rPr>
        <w:t xml:space="preserve">frontend/src/constants/branding.js</w:t>
      </w:r>
      <w:r>
        <w:t xml:space="preserve">, the page title and meta tags in </w:t>
      </w:r>
      <w:r>
        <w:rPr>
          <w:rFonts w:ascii="Consolas" w:cs="Consolas" w:eastAsia="Consolas" w:hAnsi="Consolas"/>
          <w:color w:val="00614A"/>
          <w:sz w:val="20"/>
          <w:szCs w:val="20"/>
        </w:rPr>
        <w:t xml:space="preserve">frontend/index.html</w:t>
      </w:r>
      <w:r>
        <w:t xml:space="preserve">, the database migration that renamed existing </w:t>
      </w:r>
      <w:r>
        <w:rPr>
          <w:rFonts w:ascii="Consolas" w:cs="Consolas" w:eastAsia="Consolas" w:hAnsi="Consolas"/>
          <w:color w:val="00614A"/>
          <w:sz w:val="20"/>
          <w:szCs w:val="20"/>
        </w:rPr>
        <w:t xml:space="preserve">SiteSettings</w:t>
      </w:r>
      <w:r>
        <w:t xml:space="preserve"> rows from "SmartExchange" to "Mr Exchange", and the production domain </w:t>
      </w:r>
      <w:r>
        <w:rPr>
          <w:rFonts w:ascii="Consolas" w:cs="Consolas" w:eastAsia="Consolas" w:hAnsi="Consolas"/>
          <w:color w:val="00614A"/>
          <w:sz w:val="20"/>
          <w:szCs w:val="20"/>
        </w:rPr>
        <w:t xml:space="preserve">mrexchange.co.uk</w:t>
      </w:r>
      <w:r>
        <w:t xml:space="preserve">. If "MrExchange" as one word is genuinely the intended visible brand instead, every instruction below still applies — it simply becomes one more find-and-replace pass on top of the same checklist. Flag this if that is the intent.</w:t>
      </w:r>
    </w:p>
    <w:p>
      <w:pPr>
        <w:pStyle w:val="Heading2"/>
      </w:pPr>
      <w:r>
        <w:t xml:space="preserve">1.2 What is already done</w:t>
      </w:r>
    </w:p>
    <w:p>
      <w:pPr>
        <w:pStyle w:val="ListParagraph"/>
        <w:numPr>
          <w:ilvl w:val="0"/>
          <w:numId w:val="2"/>
        </w:numPr>
        <w:spacing w:after="90"/>
      </w:pPr>
      <w:r>
        <w:t xml:space="preserve">Default site name and PWA metadata (app title, theme colour, manifest)</w:t>
      </w:r>
    </w:p>
    <w:p>
      <w:pPr>
        <w:pStyle w:val="ListParagraph"/>
        <w:numPr>
          <w:ilvl w:val="0"/>
          <w:numId w:val="2"/>
        </w:numPr>
        <w:spacing w:after="90"/>
      </w:pPr>
      <w:r>
        <w:t xml:space="preserve">Page title, favicon references, apple-mobile-web-app-title</w:t>
      </w:r>
    </w:p>
    <w:p>
      <w:pPr>
        <w:pStyle w:val="ListParagraph"/>
        <w:numPr>
          <w:ilvl w:val="0"/>
          <w:numId w:val="2"/>
        </w:numPr>
        <w:spacing w:after="90"/>
      </w:pPr>
      <w:r>
        <w:t xml:space="preserve">SiteSettings.site_name migrated in the database</w:t>
      </w:r>
    </w:p>
    <w:p>
      <w:pPr>
        <w:pStyle w:val="ListParagraph"/>
        <w:numPr>
          <w:ilvl w:val="0"/>
          <w:numId w:val="2"/>
        </w:numPr>
        <w:spacing w:after="90"/>
      </w:pPr>
      <w:r>
        <w:t xml:space="preserve">ALLOWED_HOSTS and CSRF trusted origins include mrexchange.co.uk</w:t>
      </w:r>
    </w:p>
    <w:p>
      <w:pPr>
        <w:pStyle w:val="ListParagraph"/>
        <w:numPr>
          <w:ilvl w:val="0"/>
          <w:numId w:val="2"/>
        </w:numPr>
        <w:spacing w:after="90"/>
      </w:pPr>
      <w:r>
        <w:t xml:space="preserve">The marketing demo login already links from mrexchange.co.uk/login?demo=1</w:t>
      </w:r>
    </w:p>
    <w:p>
      <w:pPr>
        <w:pStyle w:val="Heading2"/>
      </w:pPr>
      <w:r>
        <w:t xml:space="preserve">1.3 Outstanding — tier A: outward-facing, no execution risk, do first</w:t>
      </w:r>
    </w:p>
    <w:p>
      <w:pPr>
        <w:spacing w:after="160" w:line="300"/>
        <w:jc w:val="both"/>
      </w:pPr>
      <w:r>
        <w:t xml:space="preserve">Every item below is text or an asset, not a running system. Clearing all of these carries no functional risk.</w:t>
      </w:r>
    </w:p>
    <w:tbl>
      <w:tblPr>
        <w:tblW w:type="dxa" w:w="9000"/>
        <w:tblBorders>
          <w:top w:val="single" w:color="C9C7BE" w:sz="4"/>
          <w:left w:val="single" w:color="C9C7BE" w:sz="4"/>
          <w:bottom w:val="single" w:color="C9C7BE" w:sz="4"/>
          <w:right w:val="single" w:color="C9C7BE" w:sz="4"/>
          <w:insideH w:val="single" w:color="C9C7BE" w:sz="4"/>
          <w:insideV w:val="single" w:color="C9C7BE" w:sz="4"/>
        </w:tblBorders>
      </w:tblPr>
      <w:tblGrid>
        <w:gridCol w:w="2200"/>
        <w:gridCol w:w="6800"/>
      </w:tblGrid>
      <w:tr>
        <w:trPr>
          <w:cantSplit/>
          <w:tblHeader/>
        </w:trPr>
        <w:tc>
          <w:tcPr>
            <w:tcW w:type="dxa" w:w="2200"/>
            <w:shd w:fill="0A1A2F" w:val="clear"/>
            <w:tcMar>
              <w:top w:type="dxa" w:w="110"/>
              <w:left w:type="dxa" w:w="130"/>
              <w:bottom w:type="dxa" w:w="110"/>
              <w:right w:type="dxa" w:w="130"/>
            </w:tcMar>
            <w:vAlign w:val="center"/>
          </w:tcPr>
          <w:p>
            <w:r>
              <w:rPr>
                <w:b/>
                <w:bCs/>
                <w:color w:val="FFFFFF"/>
                <w:sz w:val="19"/>
                <w:szCs w:val="19"/>
              </w:rPr>
              <w:t xml:space="preserve">Location</w:t>
            </w:r>
          </w:p>
        </w:tc>
        <w:tc>
          <w:tcPr>
            <w:tcW w:type="dxa" w:w="6800"/>
            <w:shd w:fill="0A1A2F" w:val="clear"/>
            <w:tcMar>
              <w:top w:type="dxa" w:w="110"/>
              <w:left w:type="dxa" w:w="130"/>
              <w:bottom w:type="dxa" w:w="110"/>
              <w:right w:type="dxa" w:w="130"/>
            </w:tcMar>
            <w:vAlign w:val="center"/>
          </w:tcPr>
          <w:p>
            <w:r>
              <w:rPr>
                <w:b/>
                <w:bCs/>
                <w:color w:val="FFFFFF"/>
                <w:sz w:val="19"/>
                <w:szCs w:val="19"/>
              </w:rPr>
              <w:t xml:space="preserve">What to change</w:t>
            </w:r>
          </w:p>
        </w:tc>
      </w:tr>
      <w:tr>
        <w:trPr>
          <w:cantSplit/>
        </w:trPr>
        <w:tc>
          <w:tcPr>
            <w:tcW w:type="dxa" w:w="2200"/>
            <w:tcMar>
              <w:top w:type="dxa" w:w="110"/>
              <w:left w:type="dxa" w:w="130"/>
              <w:bottom w:type="dxa" w:w="110"/>
              <w:right w:type="dxa" w:w="130"/>
            </w:tcMar>
            <w:vAlign w:val="center"/>
          </w:tcPr>
          <w:p>
            <w:r>
              <w:rPr>
                <w:b w:val="false"/>
                <w:bCs w:val="false"/>
                <w:sz w:val="19"/>
                <w:szCs w:val="19"/>
              </w:rPr>
              <w:t xml:space="preserve">Documentation</w:t>
            </w:r>
          </w:p>
        </w:tc>
        <w:tc>
          <w:tcPr>
            <w:tcW w:type="dxa" w:w="6800"/>
            <w:tcMar>
              <w:top w:type="dxa" w:w="110"/>
              <w:left w:type="dxa" w:w="130"/>
              <w:bottom w:type="dxa" w:w="110"/>
              <w:right w:type="dxa" w:w="130"/>
            </w:tcMar>
            <w:vAlign w:val="center"/>
          </w:tcPr>
          <w:p>
            <w:r>
              <w:rPr>
                <w:b w:val="false"/>
                <w:bCs w:val="false"/>
                <w:sz w:val="19"/>
                <w:szCs w:val="19"/>
              </w:rPr>
              <w:t xml:space="preserve">PROJECT_OVERVIEW.md, AGENTS.md, MASTER_PLAN.md, DEPLOYMENT_FOR_MODELS.md, README.md, and any other doc still titled or referring to SmartExchange</w:t>
            </w:r>
          </w:p>
        </w:tc>
      </w:tr>
      <w:tr>
        <w:trPr>
          <w:cantSplit/>
        </w:trPr>
        <w:tc>
          <w:tcPr>
            <w:tcW w:type="dxa" w:w="2200"/>
            <w:shd w:fill="F2F7F5" w:val="clear"/>
            <w:tcMar>
              <w:top w:type="dxa" w:w="110"/>
              <w:left w:type="dxa" w:w="130"/>
              <w:bottom w:type="dxa" w:w="110"/>
              <w:right w:type="dxa" w:w="130"/>
            </w:tcMar>
            <w:vAlign w:val="center"/>
          </w:tcPr>
          <w:p>
            <w:r>
              <w:rPr>
                <w:b w:val="false"/>
                <w:bCs w:val="false"/>
                <w:sz w:val="19"/>
                <w:szCs w:val="19"/>
              </w:rPr>
              <w:t xml:space="preserve">Sales playbook</w:t>
            </w:r>
          </w:p>
        </w:tc>
        <w:tc>
          <w:tcPr>
            <w:tcW w:type="dxa" w:w="6800"/>
            <w:shd w:fill="F2F7F5" w:val="clear"/>
            <w:tcMar>
              <w:top w:type="dxa" w:w="110"/>
              <w:left w:type="dxa" w:w="130"/>
              <w:bottom w:type="dxa" w:w="110"/>
              <w:right w:type="dxa" w:w="130"/>
            </w:tcMar>
            <w:vAlign w:val="center"/>
          </w:tcPr>
          <w:p>
            <w:r>
              <w:rPr>
                <w:b w:val="false"/>
                <w:bCs w:val="false"/>
                <w:sz w:val="19"/>
                <w:szCs w:val="19"/>
              </w:rPr>
              <w:t xml:space="preserve">Title ("Sales Playbook – SmartExchange") and every reference to the SmartExchange team or panel throughout the document</w:t>
            </w:r>
          </w:p>
        </w:tc>
      </w:tr>
      <w:tr>
        <w:trPr>
          <w:cantSplit/>
        </w:trPr>
        <w:tc>
          <w:tcPr>
            <w:tcW w:type="dxa" w:w="2200"/>
            <w:tcMar>
              <w:top w:type="dxa" w:w="110"/>
              <w:left w:type="dxa" w:w="130"/>
              <w:bottom w:type="dxa" w:w="110"/>
              <w:right w:type="dxa" w:w="130"/>
            </w:tcMar>
            <w:vAlign w:val="center"/>
          </w:tcPr>
          <w:p>
            <w:r>
              <w:rPr>
                <w:b w:val="false"/>
                <w:bCs w:val="false"/>
                <w:sz w:val="19"/>
                <w:szCs w:val="19"/>
              </w:rPr>
              <w:t xml:space="preserve">Marketing pages</w:t>
            </w:r>
          </w:p>
        </w:tc>
        <w:tc>
          <w:tcPr>
            <w:tcW w:type="dxa" w:w="6800"/>
            <w:tcMar>
              <w:top w:type="dxa" w:w="110"/>
              <w:left w:type="dxa" w:w="130"/>
              <w:bottom w:type="dxa" w:w="110"/>
              <w:right w:type="dxa" w:w="130"/>
            </w:tcMar>
            <w:vAlign w:val="center"/>
          </w:tcPr>
          <w:p>
            <w:r>
              <w:rPr>
                <w:b w:val="false"/>
                <w:bCs w:val="false"/>
                <w:sz w:val="19"/>
                <w:szCs w:val="19"/>
              </w:rPr>
              <w:t xml:space="preserve">Reconcile the two existing landing experiences — the older static "mr. sarafi" page and the current Django/Vue landing page — into one Mr Exchange identity; retire whichever is superseded</w:t>
            </w:r>
          </w:p>
        </w:tc>
      </w:tr>
      <w:tr>
        <w:trPr>
          <w:cantSplit/>
        </w:trPr>
        <w:tc>
          <w:tcPr>
            <w:tcW w:type="dxa" w:w="2200"/>
            <w:shd w:fill="F2F7F5" w:val="clear"/>
            <w:tcMar>
              <w:top w:type="dxa" w:w="110"/>
              <w:left w:type="dxa" w:w="130"/>
              <w:bottom w:type="dxa" w:w="110"/>
              <w:right w:type="dxa" w:w="130"/>
            </w:tcMar>
            <w:vAlign w:val="center"/>
          </w:tcPr>
          <w:p>
            <w:r>
              <w:rPr>
                <w:b w:val="false"/>
                <w:bCs w:val="false"/>
                <w:sz w:val="19"/>
                <w:szCs w:val="19"/>
              </w:rPr>
              <w:t xml:space="preserve">Customer-facing material</w:t>
            </w:r>
          </w:p>
        </w:tc>
        <w:tc>
          <w:tcPr>
            <w:tcW w:type="dxa" w:w="6800"/>
            <w:shd w:fill="F2F7F5" w:val="clear"/>
            <w:tcMar>
              <w:top w:type="dxa" w:w="110"/>
              <w:left w:type="dxa" w:w="130"/>
              <w:bottom w:type="dxa" w:w="110"/>
              <w:right w:type="dxa" w:w="130"/>
            </w:tcMar>
            <w:vAlign w:val="center"/>
          </w:tcPr>
          <w:p>
            <w:r>
              <w:rPr>
                <w:b w:val="false"/>
                <w:bCs w:val="false"/>
                <w:sz w:val="19"/>
                <w:szCs w:val="19"/>
              </w:rPr>
              <w:t xml:space="preserve">Any onboarding messages, contracts, or PDFs sent to prospects or new customers</w:t>
            </w:r>
          </w:p>
        </w:tc>
      </w:tr>
      <w:tr>
        <w:trPr>
          <w:cantSplit/>
        </w:trPr>
        <w:tc>
          <w:tcPr>
            <w:tcW w:type="dxa" w:w="2200"/>
            <w:tcMar>
              <w:top w:type="dxa" w:w="110"/>
              <w:left w:type="dxa" w:w="130"/>
              <w:bottom w:type="dxa" w:w="110"/>
              <w:right w:type="dxa" w:w="130"/>
            </w:tcMar>
            <w:vAlign w:val="center"/>
          </w:tcPr>
          <w:p>
            <w:r>
              <w:rPr>
                <w:b w:val="false"/>
                <w:bCs w:val="false"/>
                <w:sz w:val="19"/>
                <w:szCs w:val="19"/>
              </w:rPr>
              <w:t xml:space="preserve">Setup instructions</w:t>
            </w:r>
          </w:p>
        </w:tc>
        <w:tc>
          <w:tcPr>
            <w:tcW w:type="dxa" w:w="6800"/>
            <w:tcMar>
              <w:top w:type="dxa" w:w="110"/>
              <w:left w:type="dxa" w:w="130"/>
              <w:bottom w:type="dxa" w:w="110"/>
              <w:right w:type="dxa" w:w="130"/>
            </w:tcMar>
            <w:vAlign w:val="center"/>
          </w:tcPr>
          <w:p>
            <w:r>
              <w:rPr>
                <w:b w:val="false"/>
                <w:bCs w:val="false"/>
                <w:sz w:val="19"/>
                <w:szCs w:val="19"/>
              </w:rPr>
              <w:t xml:space="preserve">README steps that reference "cd SmartExchange" and similar</w:t>
            </w:r>
          </w:p>
        </w:tc>
      </w:tr>
    </w:tbl>
    <w:p>
      <w:pPr>
        <w:spacing w:after="120"/>
      </w:pPr>
    </w:p>
    <w:p>
      <w:pPr>
        <w:pStyle w:val="Heading2"/>
      </w:pPr>
      <w:r>
        <w:t xml:space="preserve">1.4 Outstanding — tier B: internal identifiers, real but manageable risk</w:t>
      </w:r>
    </w:p>
    <w:p>
      <w:pPr>
        <w:spacing w:after="160" w:line="300"/>
        <w:jc w:val="both"/>
      </w:pPr>
      <w:r>
        <w:t xml:space="preserve">These are code-level or infrastructure identifiers. None are visible to a customer, but getting them wrong can break a deployment, so schedule them as their own tested change with a rollback plan rather than a quick find-and-replace.</w:t>
      </w:r>
    </w:p>
    <w:tbl>
      <w:tblPr>
        <w:tblW w:type="dxa" w:w="9000"/>
        <w:tblBorders>
          <w:top w:val="single" w:color="C9C7BE" w:sz="4"/>
          <w:left w:val="single" w:color="C9C7BE" w:sz="4"/>
          <w:bottom w:val="single" w:color="C9C7BE" w:sz="4"/>
          <w:right w:val="single" w:color="C9C7BE" w:sz="4"/>
          <w:insideH w:val="single" w:color="C9C7BE" w:sz="4"/>
          <w:insideV w:val="single" w:color="C9C7BE" w:sz="4"/>
        </w:tblBorders>
      </w:tblPr>
      <w:tblGrid>
        <w:gridCol w:w="2600"/>
        <w:gridCol w:w="6400"/>
      </w:tblGrid>
      <w:tr>
        <w:trPr>
          <w:cantSplit/>
          <w:tblHeader/>
        </w:trPr>
        <w:tc>
          <w:tcPr>
            <w:tcW w:type="dxa" w:w="2600"/>
            <w:shd w:fill="0A1A2F" w:val="clear"/>
            <w:tcMar>
              <w:top w:type="dxa" w:w="110"/>
              <w:left w:type="dxa" w:w="130"/>
              <w:bottom w:type="dxa" w:w="110"/>
              <w:right w:type="dxa" w:w="130"/>
            </w:tcMar>
            <w:vAlign w:val="center"/>
          </w:tcPr>
          <w:p>
            <w:r>
              <w:rPr>
                <w:b/>
                <w:bCs/>
                <w:color w:val="FFFFFF"/>
                <w:sz w:val="19"/>
                <w:szCs w:val="19"/>
              </w:rPr>
              <w:t xml:space="preserve">Item</w:t>
            </w:r>
          </w:p>
        </w:tc>
        <w:tc>
          <w:tcPr>
            <w:tcW w:type="dxa" w:w="6400"/>
            <w:shd w:fill="0A1A2F" w:val="clear"/>
            <w:tcMar>
              <w:top w:type="dxa" w:w="110"/>
              <w:left w:type="dxa" w:w="130"/>
              <w:bottom w:type="dxa" w:w="110"/>
              <w:right w:type="dxa" w:w="130"/>
            </w:tcMar>
            <w:vAlign w:val="center"/>
          </w:tcPr>
          <w:p>
            <w:r>
              <w:rPr>
                <w:b/>
                <w:bCs/>
                <w:color w:val="FFFFFF"/>
                <w:sz w:val="19"/>
                <w:szCs w:val="19"/>
              </w:rPr>
              <w:t xml:space="preserve">Note</w:t>
            </w:r>
          </w:p>
        </w:tc>
      </w:tr>
      <w:tr>
        <w:trPr>
          <w:cantSplit/>
        </w:trPr>
        <w:tc>
          <w:tcPr>
            <w:tcW w:type="dxa" w:w="2600"/>
            <w:tcMar>
              <w:top w:type="dxa" w:w="110"/>
              <w:left w:type="dxa" w:w="130"/>
              <w:bottom w:type="dxa" w:w="110"/>
              <w:right w:type="dxa" w:w="130"/>
            </w:tcMar>
            <w:vAlign w:val="center"/>
          </w:tcPr>
          <w:p>
            <w:r>
              <w:rPr>
                <w:b w:val="false"/>
                <w:bCs w:val="false"/>
                <w:sz w:val="19"/>
                <w:szCs w:val="19"/>
              </w:rPr>
              <w:t xml:space="preserve">Django settings package</w:t>
            </w:r>
          </w:p>
        </w:tc>
        <w:tc>
          <w:tcPr>
            <w:tcW w:type="dxa" w:w="6400"/>
            <w:tcMar>
              <w:top w:type="dxa" w:w="110"/>
              <w:left w:type="dxa" w:w="130"/>
              <w:bottom w:type="dxa" w:w="110"/>
              <w:right w:type="dxa" w:w="130"/>
            </w:tcMar>
            <w:vAlign w:val="center"/>
          </w:tcPr>
          <w:p>
            <w:r>
              <w:rPr>
                <w:b w:val="false"/>
                <w:bCs w:val="false"/>
                <w:sz w:val="19"/>
                <w:szCs w:val="19"/>
              </w:rPr>
              <w:t xml:space="preserve">Referenced as SmartExchangePanel in the settings module path in some places, but the project’s own working notes also reference an older SarafiPardis package. Verify the exact current package name in the repository before touching this — the two references do not agree.</w:t>
            </w:r>
          </w:p>
        </w:tc>
      </w:tr>
      <w:tr>
        <w:trPr>
          <w:cantSplit/>
        </w:trPr>
        <w:tc>
          <w:tcPr>
            <w:tcW w:type="dxa" w:w="2600"/>
            <w:shd w:fill="F2F7F5" w:val="clear"/>
            <w:tcMar>
              <w:top w:type="dxa" w:w="110"/>
              <w:left w:type="dxa" w:w="130"/>
              <w:bottom w:type="dxa" w:w="110"/>
              <w:right w:type="dxa" w:w="130"/>
            </w:tcMar>
            <w:vAlign w:val="center"/>
          </w:tcPr>
          <w:p>
            <w:r>
              <w:rPr>
                <w:b w:val="false"/>
                <w:bCs w:val="false"/>
                <w:sz w:val="19"/>
                <w:szCs w:val="19"/>
              </w:rPr>
              <w:t xml:space="preserve">Celery app name</w:t>
            </w:r>
          </w:p>
        </w:tc>
        <w:tc>
          <w:tcPr>
            <w:tcW w:type="dxa" w:w="6400"/>
            <w:shd w:fill="F2F7F5" w:val="clear"/>
            <w:tcMar>
              <w:top w:type="dxa" w:w="110"/>
              <w:left w:type="dxa" w:w="130"/>
              <w:bottom w:type="dxa" w:w="110"/>
              <w:right w:type="dxa" w:w="130"/>
            </w:tcMar>
            <w:vAlign w:val="center"/>
          </w:tcPr>
          <w:p>
            <w:r>
              <w:rPr>
                <w:b w:val="false"/>
                <w:bCs w:val="false"/>
                <w:sz w:val="19"/>
                <w:szCs w:val="19"/>
              </w:rPr>
              <w:t xml:space="preserve">Tied to whatever the settings package above is actually called</w:t>
            </w:r>
          </w:p>
        </w:tc>
      </w:tr>
      <w:tr>
        <w:trPr>
          <w:cantSplit/>
        </w:trPr>
        <w:tc>
          <w:tcPr>
            <w:tcW w:type="dxa" w:w="2600"/>
            <w:tcMar>
              <w:top w:type="dxa" w:w="110"/>
              <w:left w:type="dxa" w:w="130"/>
              <w:bottom w:type="dxa" w:w="110"/>
              <w:right w:type="dxa" w:w="130"/>
            </w:tcMar>
            <w:vAlign w:val="center"/>
          </w:tcPr>
          <w:p>
            <w:r>
              <w:rPr>
                <w:b w:val="false"/>
                <w:bCs w:val="false"/>
                <w:sz w:val="19"/>
                <w:szCs w:val="19"/>
              </w:rPr>
              <w:t xml:space="preserve">Docker Compose service and image names</w:t>
            </w:r>
          </w:p>
        </w:tc>
        <w:tc>
          <w:tcPr>
            <w:tcW w:type="dxa" w:w="6400"/>
            <w:tcMar>
              <w:top w:type="dxa" w:w="110"/>
              <w:left w:type="dxa" w:w="130"/>
              <w:bottom w:type="dxa" w:w="110"/>
              <w:right w:type="dxa" w:w="130"/>
            </w:tcMar>
            <w:vAlign w:val="center"/>
          </w:tcPr>
          <w:p>
            <w:r>
              <w:rPr>
                <w:b w:val="false"/>
                <w:bCs w:val="false"/>
                <w:sz w:val="19"/>
                <w:szCs w:val="19"/>
              </w:rPr>
              <w:t xml:space="preserve">Cosmetic, but consistent naming reduces confusion for anyone new to the project</w:t>
            </w:r>
          </w:p>
        </w:tc>
      </w:tr>
      <w:tr>
        <w:trPr>
          <w:cantSplit/>
        </w:trPr>
        <w:tc>
          <w:tcPr>
            <w:tcW w:type="dxa" w:w="2600"/>
            <w:shd w:fill="F2F7F5" w:val="clear"/>
            <w:tcMar>
              <w:top w:type="dxa" w:w="110"/>
              <w:left w:type="dxa" w:w="130"/>
              <w:bottom w:type="dxa" w:w="110"/>
              <w:right w:type="dxa" w:w="130"/>
            </w:tcMar>
            <w:vAlign w:val="center"/>
          </w:tcPr>
          <w:p>
            <w:r>
              <w:rPr>
                <w:b w:val="false"/>
                <w:bCs w:val="false"/>
                <w:sz w:val="19"/>
                <w:szCs w:val="19"/>
              </w:rPr>
              <w:t xml:space="preserve">Repository folder name</w:t>
            </w:r>
          </w:p>
        </w:tc>
        <w:tc>
          <w:tcPr>
            <w:tcW w:type="dxa" w:w="6400"/>
            <w:shd w:fill="F2F7F5" w:val="clear"/>
            <w:tcMar>
              <w:top w:type="dxa" w:w="110"/>
              <w:left w:type="dxa" w:w="130"/>
              <w:bottom w:type="dxa" w:w="110"/>
              <w:right w:type="dxa" w:w="130"/>
            </w:tcMar>
            <w:vAlign w:val="center"/>
          </w:tcPr>
          <w:p>
            <w:r>
              <w:rPr>
                <w:b w:val="false"/>
                <w:bCs w:val="false"/>
                <w:sz w:val="19"/>
                <w:szCs w:val="19"/>
              </w:rPr>
              <w:t xml:space="preserve">The top-level "SmartExchange" folder — no functional impact, purely organisational</w:t>
            </w:r>
          </w:p>
        </w:tc>
      </w:tr>
      <w:tr>
        <w:trPr>
          <w:cantSplit/>
        </w:trPr>
        <w:tc>
          <w:tcPr>
            <w:tcW w:type="dxa" w:w="2600"/>
            <w:tcMar>
              <w:top w:type="dxa" w:w="110"/>
              <w:left w:type="dxa" w:w="130"/>
              <w:bottom w:type="dxa" w:w="110"/>
              <w:right w:type="dxa" w:w="130"/>
            </w:tcMar>
            <w:vAlign w:val="center"/>
          </w:tcPr>
          <w:p>
            <w:r>
              <w:rPr>
                <w:b w:val="false"/>
                <w:bCs w:val="false"/>
                <w:sz w:val="19"/>
                <w:szCs w:val="19"/>
              </w:rPr>
              <w:t xml:space="preserve">EXTERNAL_API_URL</w:t>
            </w:r>
          </w:p>
        </w:tc>
        <w:tc>
          <w:tcPr>
            <w:tcW w:type="dxa" w:w="6400"/>
            <w:tcMar>
              <w:top w:type="dxa" w:w="110"/>
              <w:left w:type="dxa" w:w="130"/>
              <w:bottom w:type="dxa" w:w="110"/>
              <w:right w:type="dxa" w:w="130"/>
            </w:tcMar>
            <w:vAlign w:val="center"/>
          </w:tcPr>
          <w:p>
            <w:r>
              <w:rPr>
                <w:b w:val="false"/>
                <w:bCs w:val="false"/>
                <w:sz w:val="19"/>
                <w:szCs w:val="19"/>
              </w:rPr>
              <w:t xml:space="preserve">Currently points at sarafipardis.co.uk/wp-json/pardis/v1/rates — a live functional dependency on the previous brand’s WordPress site, not just cosmetic text. Needs an explicit decision: point it at a new Mr Exchange endpoint, confirm it is intentionally being kept, or retire the WordPress sync feature.</w:t>
            </w:r>
          </w:p>
        </w:tc>
      </w:tr>
    </w:tbl>
    <w:p>
      <w:pPr>
        <w:spacing w:after="120"/>
      </w:pPr>
    </w:p>
    <w:p>
      <w:pPr>
        <w:pStyle w:val="Heading2"/>
      </w:pPr>
      <w:r>
        <w:t xml:space="preserve">1.5 Deliberately left alone</w:t>
      </w:r>
    </w:p>
    <w:p>
      <w:pPr>
        <w:spacing w:after="160" w:line="300"/>
        <w:jc w:val="both"/>
      </w:pPr>
      <w:r>
        <w:t xml:space="preserve">The </w:t>
      </w:r>
      <w:r>
        <w:rPr>
          <w:rFonts w:ascii="Consolas" w:cs="Consolas" w:eastAsia="Consolas" w:hAnsi="Consolas"/>
          <w:color w:val="00614A"/>
          <w:sz w:val="20"/>
          <w:szCs w:val="20"/>
        </w:rPr>
        <w:t xml:space="preserve">smartexchange-*</w:t>
      </w:r>
      <w:r>
        <w:t xml:space="preserve"> fallback keys in localStorage (locale, theme, PWA-dismissed, recent searches) exist so a returning customer’s browser settings survive the rebrand instead of silently resetting. Recommend keeping these for a defined migration window — for example 90 days after the last customer upgrades — rather than removing them immediately.</w:t>
      </w:r>
    </w:p>
    <w:p>
      <w:pPr>
        <w:pStyle w:val="Heading2"/>
      </w:pPr>
      <w:r>
        <w:t xml:space="preserve">1.6 One more alignment item</w:t>
      </w:r>
    </w:p>
    <w:p>
      <w:pPr>
        <w:spacing w:after="160" w:line="300"/>
        <w:jc w:val="both"/>
      </w:pPr>
      <w:r>
        <w:t xml:space="preserve">The sales playbook currently describes a 7–14 day trial window, while the product itself enforces a fixed 14-day trial in code. Worth tightening the playbook language to the fixed 14 days as part of this same pass, so sales and product say the same thing.</w:t>
      </w:r>
    </w:p>
    <w:p>
      <w:pPr>
        <w:pStyle w:val="Heading2"/>
      </w:pPr>
      <w:r>
        <w:t xml:space="preserve">1.7 Suggested process</w:t>
      </w:r>
    </w:p>
    <w:p>
      <w:pPr>
        <w:pStyle w:val="ListParagraph"/>
        <w:numPr>
          <w:ilvl w:val="0"/>
          <w:numId w:val="3"/>
        </w:numPr>
        <w:spacing w:after="100"/>
      </w:pPr>
      <w:r>
        <w:t xml:space="preserve">Open one branch for the rebrand pass.</w:t>
      </w:r>
    </w:p>
    <w:p>
      <w:pPr>
        <w:pStyle w:val="ListParagraph"/>
        <w:numPr>
          <w:ilvl w:val="0"/>
          <w:numId w:val="3"/>
        </w:numPr>
        <w:spacing w:after="100"/>
      </w:pPr>
      <w:r>
        <w:t xml:space="preserve">Run a repo-wide, case-insensitive search for "smartexchange", "smart exchange", "sarafipardis" and "pardis".</w:t>
      </w:r>
    </w:p>
    <w:p>
      <w:pPr>
        <w:pStyle w:val="ListParagraph"/>
        <w:numPr>
          <w:ilvl w:val="0"/>
          <w:numId w:val="3"/>
        </w:numPr>
        <w:spacing w:after="100"/>
      </w:pPr>
      <w:r>
        <w:t xml:space="preserve">Triage every hit into tier A, tier B, or deliberately-kept, using the tables above as the starting categories.</w:t>
      </w:r>
    </w:p>
    <w:p>
      <w:pPr>
        <w:pStyle w:val="ListParagraph"/>
        <w:numPr>
          <w:ilvl w:val="0"/>
          <w:numId w:val="3"/>
        </w:numPr>
        <w:spacing w:after="100"/>
      </w:pPr>
      <w:r>
        <w:t xml:space="preserve">Clear all of tier A in one pass — it is zero-risk and gives immediate, visible progress.</w:t>
      </w:r>
    </w:p>
    <w:p>
      <w:pPr>
        <w:pStyle w:val="ListParagraph"/>
        <w:numPr>
          <w:ilvl w:val="0"/>
          <w:numId w:val="3"/>
        </w:numPr>
        <w:spacing w:after="100"/>
      </w:pPr>
      <w:r>
        <w:t xml:space="preserve">Schedule tier B as its own tested change with a rollback plan.</w:t>
      </w:r>
    </w:p>
    <w:p>
      <w:pPr>
        <w:pStyle w:val="ListParagraph"/>
        <w:numPr>
          <w:ilvl w:val="0"/>
          <w:numId w:val="3"/>
        </w:numPr>
        <w:spacing w:after="100"/>
      </w:pPr>
      <w:r>
        <w:t xml:space="preserve">Finish with a second search to confirm nothing outward-facing was missed.</w:t>
      </w:r>
    </w:p>
    <w:p>
      <w:pPr>
        <w:spacing w:after="120"/>
      </w:pPr>
    </w:p>
    <w:p>
      <w:pPr>
        <w:pStyle w:val="Heading1"/>
      </w:pPr>
      <w:r>
        <w:t xml:space="preserve">2. Product model: two delivery tiers</w:t>
      </w:r>
    </w:p>
    <w:p>
      <w:pPr>
        <w:spacing w:after="160" w:line="300"/>
        <w:jc w:val="both"/>
      </w:pPr>
      <w:r>
        <w:t xml:space="preserve">Both tiers below are already named and partly wired in the codebase through the DEPLOYMENT_MODE setting — cloud for the shared, hosted side and customer_server for a dedicated installation. The work here is about finishing that distinction into a repeatable, sellable process rather than inventing it from scratch.</w:t>
      </w:r>
    </w:p>
    <w:p>
      <w:pPr>
        <w:pStyle w:val="Heading2"/>
      </w:pPr>
      <w:r>
        <w:t xml:space="preserve">2.1 Tier 1 — free 14-day trial, hosted on your VPS</w:t>
      </w:r>
    </w:p>
    <w:p>
      <w:pPr>
        <w:spacing w:after="160" w:line="300"/>
        <w:jc w:val="both"/>
      </w:pPr>
      <w:r>
        <w:t xml:space="preserve">Already built:</w:t>
      </w:r>
    </w:p>
    <w:p>
      <w:pPr>
        <w:pStyle w:val="ListParagraph"/>
        <w:numPr>
          <w:ilvl w:val="0"/>
          <w:numId w:val="2"/>
        </w:numPr>
        <w:spacing w:after="90"/>
      </w:pPr>
      <w:r>
        <w:t xml:space="preserve">A fixed 14-day trial length, set via INDIVIDUAL_TRIAL_DAYS</w:t>
      </w:r>
    </w:p>
    <w:p>
      <w:pPr>
        <w:pStyle w:val="ListParagraph"/>
        <w:numPr>
          <w:ilvl w:val="0"/>
          <w:numId w:val="2"/>
        </w:numPr>
        <w:spacing w:after="90"/>
      </w:pPr>
      <w:r>
        <w:t xml:space="preserve">The trial engine in accounts/trial.py — functions to start a trial once, compute its expiry, and check whether it has lapsed</w:t>
      </w:r>
    </w:p>
    <w:p>
      <w:pPr>
        <w:pStyle w:val="ListParagraph"/>
        <w:numPr>
          <w:ilvl w:val="0"/>
          <w:numId w:val="2"/>
        </w:numPr>
        <w:spacing w:after="90"/>
      </w:pPr>
      <w:r>
        <w:t xml:space="preserve">TrialAccessMiddleware, which already returns a clear, blocked response once a trial expires, rather than leaving it to chance</w:t>
      </w:r>
    </w:p>
    <w:p>
      <w:pPr>
        <w:pStyle w:val="ListParagraph"/>
        <w:numPr>
          <w:ilvl w:val="0"/>
          <w:numId w:val="2"/>
        </w:numPr>
        <w:spacing w:after="90"/>
      </w:pPr>
      <w:r>
        <w:t xml:space="preserve">trial_started_at, trial_expires_at and trial_expiry_notified_at already stored on every customer account</w:t>
      </w:r>
    </w:p>
    <w:p>
      <w:pPr>
        <w:pStyle w:val="ListParagraph"/>
        <w:numPr>
          <w:ilvl w:val="0"/>
          <w:numId w:val="2"/>
        </w:numPr>
        <w:spacing w:after="90"/>
      </w:pPr>
      <w:r>
        <w:t xml:space="preserve">DEPLOYMENT_MODE=cloud as the named setting for this shared, hosted side</w:t>
      </w:r>
    </w:p>
    <w:p>
      <w:pPr>
        <w:pStyle w:val="Heading3"/>
      </w:pPr>
      <w:r>
        <w:t xml:space="preserve">The one real architecture decision</w:t>
      </w:r>
    </w:p>
    <w:p>
      <w:pPr>
        <w:spacing w:after="160" w:line="300"/>
        <w:jc w:val="both"/>
      </w:pPr>
      <w:r>
        <w:t xml:space="preserve">How do multiple trial customers share one VPS without their data mixing? Right now some parts of the system are already scoped per customer (Telegram bots, for instance), but core configuration such as site branding is a single shared record for the whole install. Two ways to resolve this:</w:t>
      </w:r>
    </w:p>
    <w:p>
      <w:pPr>
        <w:spacing w:after="160" w:line="300"/>
        <w:jc w:val="both"/>
      </w:pPr>
      <w:r>
        <w:rPr>
          <w:b/>
          <w:bCs/>
        </w:rPr>
        <w:t xml:space="preserve">Option A — full multi-tenancy: </w:t>
      </w:r>
      <w:r>
        <w:t xml:space="preserve">extend proper tenant scoping to the handful of models that are currently global or singleton. More scalable at high volume, but a larger and riskier engineering change to get right before the first real trial customer arrives.</w:t>
      </w:r>
    </w:p>
    <w:p>
      <w:pPr>
        <w:spacing w:after="160" w:line="300"/>
        <w:jc w:val="both"/>
      </w:pPr>
      <w:r>
        <w:rPr>
          <w:b/>
          <w:bCs/>
        </w:rPr>
        <w:t xml:space="preserve">Option B — recommended starting point — one isolated stack per trial signup: </w:t>
      </w:r>
      <w:r>
        <w:t xml:space="preserve">reuse the existing Docker Compose setup exactly as it already works for a customer-server deployment: its own database file, its own subdomain (for example trial-acme.mrexchange.co.uk), just hosted on your VPS instead of the customer’s. Spin it up automatically when a trial account is created, and archive or tear it down automatically if day 14 passes without a conversion. This changes none of the core data models and reuses the exact architecture already proven for paid installs.</w:t>
      </w:r>
    </w:p>
    <w:p>
      <w:pPr>
        <w:spacing w:after="160" w:line="300"/>
        <w:jc w:val="both"/>
      </w:pPr>
      <w:r>
        <w:t xml:space="preserve">Recommendation: start with option B — it ships faster and with far less risk to the existing product. Revisit option A only once you are routinely running more concurrent trials than one VPS comfortably hosts as separate containers.</w:t>
      </w:r>
    </w:p>
    <w:p>
      <w:pPr>
        <w:pStyle w:val="Heading3"/>
      </w:pPr>
      <w:r>
        <w:t xml:space="preserve">Trial lifecycle to formalise</w:t>
      </w:r>
    </w:p>
    <w:p>
      <w:pPr>
        <w:spacing w:after="160" w:line="300"/>
        <w:jc w:val="both"/>
      </w:pPr>
      <w:r>
        <w:t xml:space="preserve">Sales-assisted signup, matching the existing playbook (audit → personalised outreach → short demo → trial), creates the account → automatic provisioning → a reminder before expiry (the trial_expiry_notified_at field already exists for exactly this) → the day-14 lock, already enforced → a short grace window → convert to tier 2 or archive.</w:t>
      </w:r>
    </w:p>
    <w:p>
      <w:pPr>
        <w:spacing w:after="120"/>
      </w:pPr>
    </w:p>
    <w:p>
      <w:pPr>
        <w:pStyle w:val="Heading2"/>
      </w:pPr>
      <w:r>
        <w:t xml:space="preserve">2.2 Tier 2 — dedicated customer-server install, their VPS and domain</w:t>
      </w:r>
    </w:p>
    <w:p>
      <w:pPr>
        <w:spacing w:after="160" w:line="300"/>
        <w:jc w:val="both"/>
      </w:pPr>
      <w:r>
        <w:t xml:space="preserve">Already built:</w:t>
      </w:r>
    </w:p>
    <w:p>
      <w:pPr>
        <w:pStyle w:val="ListParagraph"/>
        <w:numPr>
          <w:ilvl w:val="0"/>
          <w:numId w:val="2"/>
        </w:numPr>
        <w:spacing w:after="90"/>
      </w:pPr>
      <w:r>
        <w:t xml:space="preserve">DEPLOYMENT_MODE=customer_server as the named setting for a dedicated installation</w:t>
      </w:r>
    </w:p>
    <w:p>
      <w:pPr>
        <w:pStyle w:val="ListParagraph"/>
        <w:numPr>
          <w:ilvl w:val="0"/>
          <w:numId w:val="2"/>
        </w:numPr>
        <w:spacing w:after="90"/>
      </w:pPr>
      <w:r>
        <w:t xml:space="preserve">An existing deployment guide whose rule is already "never share data or credentials between installations"</w:t>
      </w:r>
    </w:p>
    <w:p>
      <w:pPr>
        <w:pStyle w:val="ListParagraph"/>
        <w:numPr>
          <w:ilvl w:val="0"/>
          <w:numId w:val="2"/>
        </w:numPr>
        <w:spacing w:after="90"/>
      </w:pPr>
      <w:r>
        <w:t xml:space="preserve">A collaboration_type field on every customer account that already includes white_label and direct, alongside reseller and agency</w:t>
      </w:r>
    </w:p>
    <w:p>
      <w:pPr>
        <w:spacing w:after="160" w:line="300"/>
        <w:jc w:val="both"/>
      </w:pPr>
      <w:r>
        <w:t xml:space="preserve">Turning the existing deployment guide into a repeatable onboarding runbook:</w:t>
      </w:r>
    </w:p>
    <w:p>
      <w:pPr>
        <w:pStyle w:val="ListParagraph"/>
        <w:numPr>
          <w:ilvl w:val="0"/>
          <w:numId w:val="4"/>
        </w:numPr>
        <w:spacing w:after="100"/>
      </w:pPr>
      <w:r>
        <w:t xml:space="preserve">Collect customer VPS access and their domain</w:t>
      </w:r>
    </w:p>
    <w:p>
      <w:pPr>
        <w:pStyle w:val="ListParagraph"/>
        <w:numPr>
          <w:ilvl w:val="0"/>
          <w:numId w:val="4"/>
        </w:numPr>
        <w:spacing w:after="100"/>
      </w:pPr>
      <w:r>
        <w:t xml:space="preserve">Deploy the stack with customer-specific secrets: a fresh secret key, their allowed hosts, their own database path, their own Telegram / Instagram / WordPress credentials</w:t>
      </w:r>
    </w:p>
    <w:p>
      <w:pPr>
        <w:pStyle w:val="ListParagraph"/>
        <w:numPr>
          <w:ilvl w:val="0"/>
          <w:numId w:val="4"/>
        </w:numPr>
        <w:spacing w:after="100"/>
      </w:pPr>
      <w:r>
        <w:t xml:space="preserve">Configure DNS and SSL for their domain</w:t>
      </w:r>
    </w:p>
    <w:p>
      <w:pPr>
        <w:pStyle w:val="ListParagraph"/>
        <w:numPr>
          <w:ilvl w:val="0"/>
          <w:numId w:val="4"/>
        </w:numPr>
        <w:spacing w:after="100"/>
      </w:pPr>
      <w:r>
        <w:t xml:space="preserve">If converting from a trial, migrate the database file and media across; otherwise start fresh</w:t>
      </w:r>
    </w:p>
    <w:p>
      <w:pPr>
        <w:pStyle w:val="ListParagraph"/>
        <w:numPr>
          <w:ilvl w:val="0"/>
          <w:numId w:val="4"/>
        </w:numPr>
        <w:spacing w:after="100"/>
      </w:pPr>
      <w:r>
        <w:t xml:space="preserve">Smoke test the live install</w:t>
      </w:r>
    </w:p>
    <w:p>
      <w:pPr>
        <w:pStyle w:val="ListParagraph"/>
        <w:numPr>
          <w:ilvl w:val="0"/>
          <w:numId w:val="4"/>
        </w:numPr>
        <w:spacing w:after="100"/>
      </w:pPr>
      <w:r>
        <w:t xml:space="preserve">Handover, invoice, and license issuance</w:t>
      </w:r>
    </w:p>
    <w:p>
      <w:pPr>
        <w:spacing w:after="160" w:line="300"/>
        <w:jc w:val="both"/>
      </w:pPr>
      <w:r>
        <w:t xml:space="preserve">The one genuinely new piece of data needed here is a license key and renewal date per install — covered in section 3.</w:t>
      </w:r>
    </w:p>
    <w:p>
      <w:pPr>
        <w:spacing w:after="120"/>
      </w:pPr>
    </w:p>
    <w:p>
      <w:pPr>
        <w:pStyle w:val="Heading2"/>
      </w:pPr>
      <w:r>
        <w:t xml:space="preserve">2.3 Conversion path: trial to paid</w:t>
      </w:r>
    </w:p>
    <w:p>
      <w:pPr>
        <w:spacing w:after="160" w:line="300"/>
        <w:jc w:val="both"/>
      </w:pPr>
      <w:r>
        <w:t xml:space="preserve">Sales confirms the purchase → provision the new customer-server VPS → copy the trial instance’s database and media across (same stack, so this is a file copy rather than a rebuild) → point the customer’s domain at the new install → issue a license key → archive or delete the shared-VPS trial container.</w:t>
      </w:r>
    </w:p>
    <w:p>
      <w:pPr>
        <w:spacing w:after="120"/>
      </w:pPr>
    </w:p>
    <w:p>
      <w:pPr>
        <w:pStyle w:val="Heading1"/>
      </w:pPr>
      <w:r>
        <w:t xml:space="preserve">3. The owner / mission control panel</w:t>
      </w:r>
    </w:p>
    <w:p>
      <w:pPr>
        <w:pStyle w:val="Heading2"/>
      </w:pPr>
      <w:r>
        <w:t xml:space="preserve">3.1 What already exists — a real head start</w:t>
      </w:r>
    </w:p>
    <w:p>
      <w:pPr>
        <w:pStyle w:val="ListParagraph"/>
        <w:numPr>
          <w:ilvl w:val="0"/>
          <w:numId w:val="2"/>
        </w:numPr>
        <w:spacing w:after="90"/>
      </w:pPr>
      <w:r>
        <w:t xml:space="preserve">A staff onboarding wizard for new client accounts, already structured as basic info → business details (including collaboration type) → system access</w:t>
      </w:r>
    </w:p>
    <w:p>
      <w:pPr>
        <w:pStyle w:val="ListParagraph"/>
        <w:numPr>
          <w:ilvl w:val="0"/>
          <w:numId w:val="2"/>
        </w:numPr>
        <w:spacing w:after="90"/>
      </w:pPr>
      <w:r>
        <w:t xml:space="preserve">A per-customer detail view with overview, bots, channels, templates and audit-log tabs</w:t>
      </w:r>
    </w:p>
    <w:p>
      <w:pPr>
        <w:pStyle w:val="ListParagraph"/>
        <w:numPr>
          <w:ilvl w:val="0"/>
          <w:numId w:val="2"/>
        </w:numPr>
        <w:spacing w:after="90"/>
      </w:pPr>
      <w:r>
        <w:t xml:space="preserve">Role-based access already restricting this area to the super_admin role</w:t>
      </w:r>
    </w:p>
    <w:p>
      <w:pPr>
        <w:pStyle w:val="ListParagraph"/>
        <w:numPr>
          <w:ilvl w:val="0"/>
          <w:numId w:val="2"/>
        </w:numPr>
        <w:spacing w:after="90"/>
      </w:pPr>
      <w:r>
        <w:t xml:space="preserve">Plan tiers (bronze / silver / gold) already gating specific features per customer</w:t>
      </w:r>
    </w:p>
    <w:p>
      <w:pPr>
        <w:pStyle w:val="ListParagraph"/>
        <w:numPr>
          <w:ilvl w:val="0"/>
          <w:numId w:val="2"/>
        </w:numPr>
        <w:spacing w:after="90"/>
      </w:pPr>
      <w:r>
        <w:t xml:space="preserve">An impersonation feature, so support staff can act as a given customer’s account when needed</w:t>
      </w:r>
    </w:p>
    <w:p>
      <w:pPr>
        <w:pStyle w:val="Heading2"/>
      </w:pPr>
      <w:r>
        <w:t xml:space="preserve">3.2 The one real gap</w:t>
      </w:r>
    </w:p>
    <w:p>
      <w:pPr>
        <w:spacing w:after="160" w:line="300"/>
        <w:jc w:val="both"/>
      </w:pPr>
      <w:r>
        <w:t xml:space="preserve">Everything above works because it queries data that already lives in your own shared database. It has no way to see a customer-server install by itself — and by design, it shouldn’t, since those installs are deliberately isolated with their own database and credentials once deployed.</w:t>
      </w:r>
    </w:p>
    <w:p>
      <w:pPr>
        <w:pStyle w:val="Heading2"/>
      </w:pPr>
      <w:r>
        <w:t xml:space="preserve">3.3 Recommended addition: a small "fleet" record and a check-in</w:t>
      </w:r>
    </w:p>
    <w:p>
      <w:pPr>
        <w:spacing w:after="160" w:line="300"/>
        <w:jc w:val="both"/>
      </w:pPr>
      <w:r>
        <w:rPr>
          <w:b/>
          <w:bCs/>
        </w:rPr>
        <w:t xml:space="preserve">A new model, for example CustomerDeployment, storing: </w:t>
      </w:r>
      <w:r>
        <w:t xml:space="preserve">the customer, deployment type (trial or customer-server), domain, license key, plan, status, last check-in time, and installed version.</w:t>
      </w:r>
    </w:p>
    <w:p>
      <w:pPr>
        <w:spacing w:after="160" w:line="300"/>
        <w:jc w:val="both"/>
      </w:pPr>
      <w:r>
        <w:rPr>
          <w:b/>
          <w:bCs/>
        </w:rPr>
        <w:t xml:space="preserve">A new endpoint, for example POST /api/fleet/checkin/: </w:t>
      </w:r>
      <w:r>
        <w:t xml:space="preserve">called automatically, daily, by every install — trial containers and customer-server installs alike — reporting only non-sensitive metadata: license key, app version, uptime. Never operational data such as prices or customer lists, preserving the isolation rule that already governs customer-server deployments.</w:t>
      </w:r>
    </w:p>
    <w:p>
      <w:pPr>
        <w:spacing w:after="160" w:line="300"/>
        <w:jc w:val="both"/>
      </w:pPr>
      <w:r>
        <w:rPr>
          <w:b/>
          <w:bCs/>
        </w:rPr>
        <w:t xml:space="preserve">Owner panel UI: </w:t>
      </w:r>
      <w:r>
        <w:t xml:space="preserve">two views inside the existing staff hub — "trial customers" (queried live from the shared database, showing days remaining and a one-click convert or extend action) and "licensed customers" (from the new fleet table, showing plan, renewal date, last check-in, domain, and a one-click license reissue).</w:t>
      </w:r>
    </w:p>
    <w:p>
      <w:pPr>
        <w:spacing w:after="160" w:line="300"/>
        <w:jc w:val="both"/>
      </w:pPr>
      <w:r>
        <w:t xml:space="preserve">This reuses most of what is already built and adds one small, well-scoped new piece, rather than standing up a second, parallel system.</w:t>
      </w:r>
    </w:p>
    <w:p>
      <w:pPr>
        <w:spacing w:after="120"/>
      </w:pPr>
    </w:p>
    <w:p>
      <w:pPr>
        <w:pStyle w:val="Heading1"/>
      </w:pPr>
      <w:r>
        <w:t xml:space="preserve">4. Roadmap</w:t>
      </w:r>
    </w:p>
    <w:p>
      <w:pPr>
        <w:spacing w:after="160" w:line="300"/>
        <w:jc w:val="both"/>
      </w:pPr>
      <w:r>
        <w:t xml:space="preserve">Sequencing is the part of this table to treat as fixed; exact calendar duration depends on team size and velocity, which this plan can’t see, so that column has been left for your team to fill in.</w:t>
      </w:r>
    </w:p>
    <w:tbl>
      <w:tblPr>
        <w:tblW w:type="dxa" w:w="9000"/>
        <w:tblBorders>
          <w:top w:val="single" w:color="C9C7BE" w:sz="4"/>
          <w:left w:val="single" w:color="C9C7BE" w:sz="4"/>
          <w:bottom w:val="single" w:color="C9C7BE" w:sz="4"/>
          <w:right w:val="single" w:color="C9C7BE" w:sz="4"/>
          <w:insideH w:val="single" w:color="C9C7BE" w:sz="4"/>
          <w:insideV w:val="single" w:color="C9C7BE" w:sz="4"/>
        </w:tblBorders>
      </w:tblPr>
      <w:tblGrid>
        <w:gridCol w:w="1000"/>
        <w:gridCol w:w="1800"/>
        <w:gridCol w:w="5100"/>
        <w:gridCol w:w="1100"/>
      </w:tblGrid>
      <w:tr>
        <w:trPr>
          <w:cantSplit/>
          <w:tblHeader/>
        </w:trPr>
        <w:tc>
          <w:tcPr>
            <w:tcW w:type="dxa" w:w="1000"/>
            <w:shd w:fill="0A1A2F" w:val="clear"/>
            <w:tcMar>
              <w:top w:type="dxa" w:w="110"/>
              <w:left w:type="dxa" w:w="130"/>
              <w:bottom w:type="dxa" w:w="110"/>
              <w:right w:type="dxa" w:w="130"/>
            </w:tcMar>
            <w:vAlign w:val="center"/>
          </w:tcPr>
          <w:p>
            <w:r>
              <w:rPr>
                <w:b/>
                <w:bCs/>
                <w:color w:val="FFFFFF"/>
                <w:sz w:val="19"/>
                <w:szCs w:val="19"/>
              </w:rPr>
              <w:t xml:space="preserve">Phase</w:t>
            </w:r>
          </w:p>
        </w:tc>
        <w:tc>
          <w:tcPr>
            <w:tcW w:type="dxa" w:w="1800"/>
            <w:shd w:fill="0A1A2F" w:val="clear"/>
            <w:tcMar>
              <w:top w:type="dxa" w:w="110"/>
              <w:left w:type="dxa" w:w="130"/>
              <w:bottom w:type="dxa" w:w="110"/>
              <w:right w:type="dxa" w:w="130"/>
            </w:tcMar>
            <w:vAlign w:val="center"/>
          </w:tcPr>
          <w:p>
            <w:r>
              <w:rPr>
                <w:b/>
                <w:bCs/>
                <w:color w:val="FFFFFF"/>
                <w:sz w:val="19"/>
                <w:szCs w:val="19"/>
              </w:rPr>
              <w:t xml:space="preserve">Focus</w:t>
            </w:r>
          </w:p>
        </w:tc>
        <w:tc>
          <w:tcPr>
            <w:tcW w:type="dxa" w:w="5100"/>
            <w:shd w:fill="0A1A2F" w:val="clear"/>
            <w:tcMar>
              <w:top w:type="dxa" w:w="110"/>
              <w:left w:type="dxa" w:w="130"/>
              <w:bottom w:type="dxa" w:w="110"/>
              <w:right w:type="dxa" w:w="130"/>
            </w:tcMar>
            <w:vAlign w:val="center"/>
          </w:tcPr>
          <w:p>
            <w:r>
              <w:rPr>
                <w:b/>
                <w:bCs/>
                <w:color w:val="FFFFFF"/>
                <w:sz w:val="19"/>
                <w:szCs w:val="19"/>
              </w:rPr>
              <w:t xml:space="preserve">Key tasks</w:t>
            </w:r>
          </w:p>
        </w:tc>
        <w:tc>
          <w:tcPr>
            <w:tcW w:type="dxa" w:w="1100"/>
            <w:shd w:fill="0A1A2F" w:val="clear"/>
            <w:tcMar>
              <w:top w:type="dxa" w:w="110"/>
              <w:left w:type="dxa" w:w="130"/>
              <w:bottom w:type="dxa" w:w="110"/>
              <w:right w:type="dxa" w:w="130"/>
            </w:tcMar>
            <w:vAlign w:val="center"/>
          </w:tcPr>
          <w:p>
            <w:r>
              <w:rPr>
                <w:b/>
                <w:bCs/>
                <w:color w:val="FFFFFF"/>
                <w:sz w:val="19"/>
                <w:szCs w:val="19"/>
              </w:rPr>
              <w:t xml:space="preserve">Builds on</w:t>
            </w:r>
          </w:p>
        </w:tc>
      </w:tr>
      <w:tr>
        <w:trPr>
          <w:cantSplit/>
        </w:trPr>
        <w:tc>
          <w:tcPr>
            <w:tcW w:type="dxa" w:w="1000"/>
            <w:tcMar>
              <w:top w:type="dxa" w:w="110"/>
              <w:left w:type="dxa" w:w="130"/>
              <w:bottom w:type="dxa" w:w="110"/>
              <w:right w:type="dxa" w:w="130"/>
            </w:tcMar>
            <w:vAlign w:val="center"/>
          </w:tcPr>
          <w:p>
            <w:r>
              <w:rPr>
                <w:b w:val="false"/>
                <w:bCs w:val="false"/>
                <w:sz w:val="19"/>
                <w:szCs w:val="19"/>
              </w:rPr>
              <w:t xml:space="preserve">0</w:t>
            </w:r>
          </w:p>
        </w:tc>
        <w:tc>
          <w:tcPr>
            <w:tcW w:type="dxa" w:w="1800"/>
            <w:tcMar>
              <w:top w:type="dxa" w:w="110"/>
              <w:left w:type="dxa" w:w="130"/>
              <w:bottom w:type="dxa" w:w="110"/>
              <w:right w:type="dxa" w:w="130"/>
            </w:tcMar>
            <w:vAlign w:val="center"/>
          </w:tcPr>
          <w:p>
            <w:r>
              <w:rPr>
                <w:b w:val="false"/>
                <w:bCs w:val="false"/>
                <w:sz w:val="19"/>
                <w:szCs w:val="19"/>
              </w:rPr>
              <w:t xml:space="preserve">Foundations &amp; decisions</w:t>
            </w:r>
          </w:p>
        </w:tc>
        <w:tc>
          <w:tcPr>
            <w:tcW w:type="dxa" w:w="5100"/>
            <w:tcMar>
              <w:top w:type="dxa" w:w="110"/>
              <w:left w:type="dxa" w:w="130"/>
              <w:bottom w:type="dxa" w:w="110"/>
              <w:right w:type="dxa" w:w="130"/>
            </w:tcMar>
            <w:vAlign w:val="center"/>
          </w:tcPr>
          <w:p>
            <w:r>
              <w:rPr>
                <w:b w:val="false"/>
                <w:bCs w:val="false"/>
                <w:sz w:val="19"/>
                <w:szCs w:val="19"/>
              </w:rPr>
              <w:t xml:space="preserve">Confirm the brand name form; decide option A vs. B for trial isolation; confirm the exact Django package name before any tier B rebrand work begins</w:t>
            </w:r>
          </w:p>
        </w:tc>
        <w:tc>
          <w:tcPr>
            <w:tcW w:type="dxa" w:w="1100"/>
            <w:tcMar>
              <w:top w:type="dxa" w:w="110"/>
              <w:left w:type="dxa" w:w="130"/>
              <w:bottom w:type="dxa" w:w="110"/>
              <w:right w:type="dxa" w:w="130"/>
            </w:tcMar>
            <w:vAlign w:val="center"/>
          </w:tcPr>
          <w:p>
            <w:r>
              <w:rPr>
                <w:b w:val="false"/>
                <w:bCs w:val="false"/>
                <w:sz w:val="19"/>
                <w:szCs w:val="19"/>
              </w:rPr>
              <w:t xml:space="preserve">This plan</w:t>
            </w:r>
          </w:p>
        </w:tc>
      </w:tr>
      <w:tr>
        <w:trPr>
          <w:cantSplit/>
        </w:trPr>
        <w:tc>
          <w:tcPr>
            <w:tcW w:type="dxa" w:w="1000"/>
            <w:shd w:fill="F2F7F5" w:val="clear"/>
            <w:tcMar>
              <w:top w:type="dxa" w:w="110"/>
              <w:left w:type="dxa" w:w="130"/>
              <w:bottom w:type="dxa" w:w="110"/>
              <w:right w:type="dxa" w:w="130"/>
            </w:tcMar>
            <w:vAlign w:val="center"/>
          </w:tcPr>
          <w:p>
            <w:r>
              <w:rPr>
                <w:b w:val="false"/>
                <w:bCs w:val="false"/>
                <w:sz w:val="19"/>
                <w:szCs w:val="19"/>
              </w:rPr>
              <w:t xml:space="preserve">1</w:t>
            </w:r>
          </w:p>
        </w:tc>
        <w:tc>
          <w:tcPr>
            <w:tcW w:type="dxa" w:w="1800"/>
            <w:shd w:fill="F2F7F5" w:val="clear"/>
            <w:tcMar>
              <w:top w:type="dxa" w:w="110"/>
              <w:left w:type="dxa" w:w="130"/>
              <w:bottom w:type="dxa" w:w="110"/>
              <w:right w:type="dxa" w:w="130"/>
            </w:tcMar>
            <w:vAlign w:val="center"/>
          </w:tcPr>
          <w:p>
            <w:r>
              <w:rPr>
                <w:b w:val="false"/>
                <w:bCs w:val="false"/>
                <w:sz w:val="19"/>
                <w:szCs w:val="19"/>
              </w:rPr>
              <w:t xml:space="preserve">Rebrand completion</w:t>
            </w:r>
          </w:p>
        </w:tc>
        <w:tc>
          <w:tcPr>
            <w:tcW w:type="dxa" w:w="5100"/>
            <w:shd w:fill="F2F7F5" w:val="clear"/>
            <w:tcMar>
              <w:top w:type="dxa" w:w="110"/>
              <w:left w:type="dxa" w:w="130"/>
              <w:bottom w:type="dxa" w:w="110"/>
              <w:right w:type="dxa" w:w="130"/>
            </w:tcMar>
            <w:vAlign w:val="center"/>
          </w:tcPr>
          <w:p>
            <w:r>
              <w:rPr>
                <w:b w:val="false"/>
                <w:bCs w:val="false"/>
                <w:sz w:val="19"/>
                <w:szCs w:val="19"/>
              </w:rPr>
              <w:t xml:space="preserve">Clear every tier A item; schedule and execute tier B items with tests and a rollback plan; decide the fate of the sarafipardis.co.uk dependency</w:t>
            </w:r>
          </w:p>
        </w:tc>
        <w:tc>
          <w:tcPr>
            <w:tcW w:type="dxa" w:w="1100"/>
            <w:shd w:fill="F2F7F5" w:val="clear"/>
            <w:tcMar>
              <w:top w:type="dxa" w:w="110"/>
              <w:left w:type="dxa" w:w="130"/>
              <w:bottom w:type="dxa" w:w="110"/>
              <w:right w:type="dxa" w:w="130"/>
            </w:tcMar>
            <w:vAlign w:val="center"/>
          </w:tcPr>
          <w:p>
            <w:r>
              <w:rPr>
                <w:b w:val="false"/>
                <w:bCs w:val="false"/>
                <w:sz w:val="19"/>
                <w:szCs w:val="19"/>
              </w:rPr>
              <w:t xml:space="preserve">Phase 0</w:t>
            </w:r>
          </w:p>
        </w:tc>
      </w:tr>
      <w:tr>
        <w:trPr>
          <w:cantSplit/>
        </w:trPr>
        <w:tc>
          <w:tcPr>
            <w:tcW w:type="dxa" w:w="1000"/>
            <w:tcMar>
              <w:top w:type="dxa" w:w="110"/>
              <w:left w:type="dxa" w:w="130"/>
              <w:bottom w:type="dxa" w:w="110"/>
              <w:right w:type="dxa" w:w="130"/>
            </w:tcMar>
            <w:vAlign w:val="center"/>
          </w:tcPr>
          <w:p>
            <w:r>
              <w:rPr>
                <w:b w:val="false"/>
                <w:bCs w:val="false"/>
                <w:sz w:val="19"/>
                <w:szCs w:val="19"/>
              </w:rPr>
              <w:t xml:space="preserve">2</w:t>
            </w:r>
          </w:p>
        </w:tc>
        <w:tc>
          <w:tcPr>
            <w:tcW w:type="dxa" w:w="1800"/>
            <w:tcMar>
              <w:top w:type="dxa" w:w="110"/>
              <w:left w:type="dxa" w:w="130"/>
              <w:bottom w:type="dxa" w:w="110"/>
              <w:right w:type="dxa" w:w="130"/>
            </w:tcMar>
            <w:vAlign w:val="center"/>
          </w:tcPr>
          <w:p>
            <w:r>
              <w:rPr>
                <w:b w:val="false"/>
                <w:bCs w:val="false"/>
                <w:sz w:val="19"/>
                <w:szCs w:val="19"/>
              </w:rPr>
              <w:t xml:space="preserve">Trial tier hardening</w:t>
            </w:r>
          </w:p>
        </w:tc>
        <w:tc>
          <w:tcPr>
            <w:tcW w:type="dxa" w:w="5100"/>
            <w:tcMar>
              <w:top w:type="dxa" w:w="110"/>
              <w:left w:type="dxa" w:w="130"/>
              <w:bottom w:type="dxa" w:w="110"/>
              <w:right w:type="dxa" w:w="130"/>
            </w:tcMar>
            <w:vAlign w:val="center"/>
          </w:tcPr>
          <w:p>
            <w:r>
              <w:rPr>
                <w:b w:val="false"/>
                <w:bCs w:val="false"/>
                <w:sz w:val="19"/>
                <w:szCs w:val="19"/>
              </w:rPr>
              <w:t xml:space="preserve">Automatic container provisioning and teardown; subdomain automation; wire the existing expiry-notification field to a real reminder job (Celery beat is already in place for scheduling)</w:t>
            </w:r>
          </w:p>
        </w:tc>
        <w:tc>
          <w:tcPr>
            <w:tcW w:type="dxa" w:w="1100"/>
            <w:tcMar>
              <w:top w:type="dxa" w:w="110"/>
              <w:left w:type="dxa" w:w="130"/>
              <w:bottom w:type="dxa" w:w="110"/>
              <w:right w:type="dxa" w:w="130"/>
            </w:tcMar>
            <w:vAlign w:val="center"/>
          </w:tcPr>
          <w:p>
            <w:r>
              <w:rPr>
                <w:b w:val="false"/>
                <w:bCs w:val="false"/>
                <w:sz w:val="19"/>
                <w:szCs w:val="19"/>
              </w:rPr>
              <w:t xml:space="preserve">Phase 0, 1</w:t>
            </w:r>
          </w:p>
        </w:tc>
      </w:tr>
      <w:tr>
        <w:trPr>
          <w:cantSplit/>
        </w:trPr>
        <w:tc>
          <w:tcPr>
            <w:tcW w:type="dxa" w:w="1000"/>
            <w:shd w:fill="F2F7F5" w:val="clear"/>
            <w:tcMar>
              <w:top w:type="dxa" w:w="110"/>
              <w:left w:type="dxa" w:w="130"/>
              <w:bottom w:type="dxa" w:w="110"/>
              <w:right w:type="dxa" w:w="130"/>
            </w:tcMar>
            <w:vAlign w:val="center"/>
          </w:tcPr>
          <w:p>
            <w:r>
              <w:rPr>
                <w:b w:val="false"/>
                <w:bCs w:val="false"/>
                <w:sz w:val="19"/>
                <w:szCs w:val="19"/>
              </w:rPr>
              <w:t xml:space="preserve">3</w:t>
            </w:r>
          </w:p>
        </w:tc>
        <w:tc>
          <w:tcPr>
            <w:tcW w:type="dxa" w:w="1800"/>
            <w:shd w:fill="F2F7F5" w:val="clear"/>
            <w:tcMar>
              <w:top w:type="dxa" w:w="110"/>
              <w:left w:type="dxa" w:w="130"/>
              <w:bottom w:type="dxa" w:w="110"/>
              <w:right w:type="dxa" w:w="130"/>
            </w:tcMar>
            <w:vAlign w:val="center"/>
          </w:tcPr>
          <w:p>
            <w:r>
              <w:rPr>
                <w:b w:val="false"/>
                <w:bCs w:val="false"/>
                <w:sz w:val="19"/>
                <w:szCs w:val="19"/>
              </w:rPr>
              <w:t xml:space="preserve">Customer-server runbook</w:t>
            </w:r>
          </w:p>
        </w:tc>
        <w:tc>
          <w:tcPr>
            <w:tcW w:type="dxa" w:w="5100"/>
            <w:shd w:fill="F2F7F5" w:val="clear"/>
            <w:tcMar>
              <w:top w:type="dxa" w:w="110"/>
              <w:left w:type="dxa" w:w="130"/>
              <w:bottom w:type="dxa" w:w="110"/>
              <w:right w:type="dxa" w:w="130"/>
            </w:tcMar>
            <w:vAlign w:val="center"/>
          </w:tcPr>
          <w:p>
            <w:r>
              <w:rPr>
                <w:b w:val="false"/>
                <w:bCs w:val="false"/>
                <w:sz w:val="19"/>
                <w:szCs w:val="19"/>
              </w:rPr>
              <w:t xml:space="preserve">Turn the deployment guide into a checklist-driven onboarding process; add the license key and renewal fields</w:t>
            </w:r>
          </w:p>
        </w:tc>
        <w:tc>
          <w:tcPr>
            <w:tcW w:type="dxa" w:w="1100"/>
            <w:shd w:fill="F2F7F5" w:val="clear"/>
            <w:tcMar>
              <w:top w:type="dxa" w:w="110"/>
              <w:left w:type="dxa" w:w="130"/>
              <w:bottom w:type="dxa" w:w="110"/>
              <w:right w:type="dxa" w:w="130"/>
            </w:tcMar>
            <w:vAlign w:val="center"/>
          </w:tcPr>
          <w:p>
            <w:r>
              <w:rPr>
                <w:b w:val="false"/>
                <w:bCs w:val="false"/>
                <w:sz w:val="19"/>
                <w:szCs w:val="19"/>
              </w:rPr>
              <w:t xml:space="preserve">Phase 1</w:t>
            </w:r>
          </w:p>
        </w:tc>
      </w:tr>
      <w:tr>
        <w:trPr>
          <w:cantSplit/>
        </w:trPr>
        <w:tc>
          <w:tcPr>
            <w:tcW w:type="dxa" w:w="1000"/>
            <w:tcMar>
              <w:top w:type="dxa" w:w="110"/>
              <w:left w:type="dxa" w:w="130"/>
              <w:bottom w:type="dxa" w:w="110"/>
              <w:right w:type="dxa" w:w="130"/>
            </w:tcMar>
            <w:vAlign w:val="center"/>
          </w:tcPr>
          <w:p>
            <w:r>
              <w:rPr>
                <w:b w:val="false"/>
                <w:bCs w:val="false"/>
                <w:sz w:val="19"/>
                <w:szCs w:val="19"/>
              </w:rPr>
              <w:t xml:space="preserve">4</w:t>
            </w:r>
          </w:p>
        </w:tc>
        <w:tc>
          <w:tcPr>
            <w:tcW w:type="dxa" w:w="1800"/>
            <w:tcMar>
              <w:top w:type="dxa" w:w="110"/>
              <w:left w:type="dxa" w:w="130"/>
              <w:bottom w:type="dxa" w:w="110"/>
              <w:right w:type="dxa" w:w="130"/>
            </w:tcMar>
            <w:vAlign w:val="center"/>
          </w:tcPr>
          <w:p>
            <w:r>
              <w:rPr>
                <w:b w:val="false"/>
                <w:bCs w:val="false"/>
                <w:sz w:val="19"/>
                <w:szCs w:val="19"/>
              </w:rPr>
              <w:t xml:space="preserve">Fleet &amp; owner panel</w:t>
            </w:r>
          </w:p>
        </w:tc>
        <w:tc>
          <w:tcPr>
            <w:tcW w:type="dxa" w:w="5100"/>
            <w:tcMar>
              <w:top w:type="dxa" w:w="110"/>
              <w:left w:type="dxa" w:w="130"/>
              <w:bottom w:type="dxa" w:w="110"/>
              <w:right w:type="dxa" w:w="130"/>
            </w:tcMar>
            <w:vAlign w:val="center"/>
          </w:tcPr>
          <w:p>
            <w:r>
              <w:rPr>
                <w:b w:val="false"/>
                <w:bCs w:val="false"/>
                <w:sz w:val="19"/>
                <w:szCs w:val="19"/>
              </w:rPr>
              <w:t xml:space="preserve">Build the check-in endpoint and the CustomerDeployment model; add the "licensed customers" view alongside the existing staff hub</w:t>
            </w:r>
          </w:p>
        </w:tc>
        <w:tc>
          <w:tcPr>
            <w:tcW w:type="dxa" w:w="1100"/>
            <w:tcMar>
              <w:top w:type="dxa" w:w="110"/>
              <w:left w:type="dxa" w:w="130"/>
              <w:bottom w:type="dxa" w:w="110"/>
              <w:right w:type="dxa" w:w="130"/>
            </w:tcMar>
            <w:vAlign w:val="center"/>
          </w:tcPr>
          <w:p>
            <w:r>
              <w:rPr>
                <w:b w:val="false"/>
                <w:bCs w:val="false"/>
                <w:sz w:val="19"/>
                <w:szCs w:val="19"/>
              </w:rPr>
              <w:t xml:space="preserve">Phase 2, 3</w:t>
            </w:r>
          </w:p>
        </w:tc>
      </w:tr>
      <w:tr>
        <w:trPr>
          <w:cantSplit/>
        </w:trPr>
        <w:tc>
          <w:tcPr>
            <w:tcW w:type="dxa" w:w="1000"/>
            <w:shd w:fill="F2F7F5" w:val="clear"/>
            <w:tcMar>
              <w:top w:type="dxa" w:w="110"/>
              <w:left w:type="dxa" w:w="130"/>
              <w:bottom w:type="dxa" w:w="110"/>
              <w:right w:type="dxa" w:w="130"/>
            </w:tcMar>
            <w:vAlign w:val="center"/>
          </w:tcPr>
          <w:p>
            <w:r>
              <w:rPr>
                <w:b w:val="false"/>
                <w:bCs w:val="false"/>
                <w:sz w:val="19"/>
                <w:szCs w:val="19"/>
              </w:rPr>
              <w:t xml:space="preserve">5</w:t>
            </w:r>
          </w:p>
        </w:tc>
        <w:tc>
          <w:tcPr>
            <w:tcW w:type="dxa" w:w="1800"/>
            <w:shd w:fill="F2F7F5" w:val="clear"/>
            <w:tcMar>
              <w:top w:type="dxa" w:w="110"/>
              <w:left w:type="dxa" w:w="130"/>
              <w:bottom w:type="dxa" w:w="110"/>
              <w:right w:type="dxa" w:w="130"/>
            </w:tcMar>
            <w:vAlign w:val="center"/>
          </w:tcPr>
          <w:p>
            <w:r>
              <w:rPr>
                <w:b w:val="false"/>
                <w:bCs w:val="false"/>
                <w:sz w:val="19"/>
                <w:szCs w:val="19"/>
              </w:rPr>
              <w:t xml:space="preserve">Conversion tooling</w:t>
            </w:r>
          </w:p>
        </w:tc>
        <w:tc>
          <w:tcPr>
            <w:tcW w:type="dxa" w:w="5100"/>
            <w:shd w:fill="F2F7F5" w:val="clear"/>
            <w:tcMar>
              <w:top w:type="dxa" w:w="110"/>
              <w:left w:type="dxa" w:w="130"/>
              <w:bottom w:type="dxa" w:w="110"/>
              <w:right w:type="dxa" w:w="130"/>
            </w:tcMar>
            <w:vAlign w:val="center"/>
          </w:tcPr>
          <w:p>
            <w:r>
              <w:rPr>
                <w:b w:val="false"/>
                <w:bCs w:val="false"/>
                <w:sz w:val="19"/>
                <w:szCs w:val="19"/>
              </w:rPr>
              <w:t xml:space="preserve">Script the trial-to-paid data migration: database and media copy, domain cut-over, license issuance</w:t>
            </w:r>
          </w:p>
        </w:tc>
        <w:tc>
          <w:tcPr>
            <w:tcW w:type="dxa" w:w="1100"/>
            <w:shd w:fill="F2F7F5" w:val="clear"/>
            <w:tcMar>
              <w:top w:type="dxa" w:w="110"/>
              <w:left w:type="dxa" w:w="130"/>
              <w:bottom w:type="dxa" w:w="110"/>
              <w:right w:type="dxa" w:w="130"/>
            </w:tcMar>
            <w:vAlign w:val="center"/>
          </w:tcPr>
          <w:p>
            <w:r>
              <w:rPr>
                <w:b w:val="false"/>
                <w:bCs w:val="false"/>
                <w:sz w:val="19"/>
                <w:szCs w:val="19"/>
              </w:rPr>
              <w:t xml:space="preserve">Phase 2, 3, 4</w:t>
            </w:r>
          </w:p>
        </w:tc>
      </w:tr>
      <w:tr>
        <w:trPr>
          <w:cantSplit/>
        </w:trPr>
        <w:tc>
          <w:tcPr>
            <w:tcW w:type="dxa" w:w="1000"/>
            <w:tcMar>
              <w:top w:type="dxa" w:w="110"/>
              <w:left w:type="dxa" w:w="130"/>
              <w:bottom w:type="dxa" w:w="110"/>
              <w:right w:type="dxa" w:w="130"/>
            </w:tcMar>
            <w:vAlign w:val="center"/>
          </w:tcPr>
          <w:p>
            <w:r>
              <w:rPr>
                <w:b w:val="false"/>
                <w:bCs w:val="false"/>
                <w:sz w:val="19"/>
                <w:szCs w:val="19"/>
              </w:rPr>
              <w:t xml:space="preserve">6</w:t>
            </w:r>
          </w:p>
        </w:tc>
        <w:tc>
          <w:tcPr>
            <w:tcW w:type="dxa" w:w="1800"/>
            <w:tcMar>
              <w:top w:type="dxa" w:w="110"/>
              <w:left w:type="dxa" w:w="130"/>
              <w:bottom w:type="dxa" w:w="110"/>
              <w:right w:type="dxa" w:w="130"/>
            </w:tcMar>
            <w:vAlign w:val="center"/>
          </w:tcPr>
          <w:p>
            <w:r>
              <w:rPr>
                <w:b w:val="false"/>
                <w:bCs w:val="false"/>
                <w:sz w:val="19"/>
                <w:szCs w:val="19"/>
              </w:rPr>
              <w:t xml:space="preserve">QA &amp; alignment</w:t>
            </w:r>
          </w:p>
        </w:tc>
        <w:tc>
          <w:tcPr>
            <w:tcW w:type="dxa" w:w="5100"/>
            <w:tcMar>
              <w:top w:type="dxa" w:w="110"/>
              <w:left w:type="dxa" w:w="130"/>
              <w:bottom w:type="dxa" w:w="110"/>
              <w:right w:type="dxa" w:w="130"/>
            </w:tcMar>
            <w:vAlign w:val="center"/>
          </w:tcPr>
          <w:p>
            <w:r>
              <w:rPr>
                <w:b w:val="false"/>
                <w:bCs w:val="false"/>
                <w:sz w:val="19"/>
                <w:szCs w:val="19"/>
              </w:rPr>
              <w:t xml:space="preserve">Test both tiers end to end; align the sales playbook and marketing copy with the finished rebrand and the two-tier offering</w:t>
            </w:r>
          </w:p>
        </w:tc>
        <w:tc>
          <w:tcPr>
            <w:tcW w:type="dxa" w:w="1100"/>
            <w:tcMar>
              <w:top w:type="dxa" w:w="110"/>
              <w:left w:type="dxa" w:w="130"/>
              <w:bottom w:type="dxa" w:w="110"/>
              <w:right w:type="dxa" w:w="130"/>
            </w:tcMar>
            <w:vAlign w:val="center"/>
          </w:tcPr>
          <w:p>
            <w:r>
              <w:rPr>
                <w:b w:val="false"/>
                <w:bCs w:val="false"/>
                <w:sz w:val="19"/>
                <w:szCs w:val="19"/>
              </w:rPr>
              <w:t xml:space="preserve">Phase 1–5</w:t>
            </w:r>
          </w:p>
        </w:tc>
      </w:tr>
      <w:tr>
        <w:trPr>
          <w:cantSplit/>
        </w:trPr>
        <w:tc>
          <w:tcPr>
            <w:tcW w:type="dxa" w:w="1000"/>
            <w:shd w:fill="F2F7F5" w:val="clear"/>
            <w:tcMar>
              <w:top w:type="dxa" w:w="110"/>
              <w:left w:type="dxa" w:w="130"/>
              <w:bottom w:type="dxa" w:w="110"/>
              <w:right w:type="dxa" w:w="130"/>
            </w:tcMar>
            <w:vAlign w:val="center"/>
          </w:tcPr>
          <w:p>
            <w:r>
              <w:rPr>
                <w:b w:val="false"/>
                <w:bCs w:val="false"/>
                <w:sz w:val="19"/>
                <w:szCs w:val="19"/>
              </w:rPr>
              <w:t xml:space="preserve">7</w:t>
            </w:r>
          </w:p>
        </w:tc>
        <w:tc>
          <w:tcPr>
            <w:tcW w:type="dxa" w:w="1800"/>
            <w:shd w:fill="F2F7F5" w:val="clear"/>
            <w:tcMar>
              <w:top w:type="dxa" w:w="110"/>
              <w:left w:type="dxa" w:w="130"/>
              <w:bottom w:type="dxa" w:w="110"/>
              <w:right w:type="dxa" w:w="130"/>
            </w:tcMar>
            <w:vAlign w:val="center"/>
          </w:tcPr>
          <w:p>
            <w:r>
              <w:rPr>
                <w:b w:val="false"/>
                <w:bCs w:val="false"/>
                <w:sz w:val="19"/>
                <w:szCs w:val="19"/>
              </w:rPr>
              <w:t xml:space="preserve">Launch</w:t>
            </w:r>
          </w:p>
        </w:tc>
        <w:tc>
          <w:tcPr>
            <w:tcW w:type="dxa" w:w="5100"/>
            <w:shd w:fill="F2F7F5" w:val="clear"/>
            <w:tcMar>
              <w:top w:type="dxa" w:w="110"/>
              <w:left w:type="dxa" w:w="130"/>
              <w:bottom w:type="dxa" w:w="110"/>
              <w:right w:type="dxa" w:w="130"/>
            </w:tcMar>
            <w:vAlign w:val="center"/>
          </w:tcPr>
          <w:p>
            <w:r>
              <w:rPr>
                <w:b w:val="false"/>
                <w:bCs w:val="false"/>
                <w:sz w:val="19"/>
                <w:szCs w:val="19"/>
              </w:rPr>
              <w:t xml:space="preserve">First real cohort of trials and customer-server installs; monitor; iterate</w:t>
            </w:r>
          </w:p>
        </w:tc>
        <w:tc>
          <w:tcPr>
            <w:tcW w:type="dxa" w:w="1100"/>
            <w:shd w:fill="F2F7F5" w:val="clear"/>
            <w:tcMar>
              <w:top w:type="dxa" w:w="110"/>
              <w:left w:type="dxa" w:w="130"/>
              <w:bottom w:type="dxa" w:w="110"/>
              <w:right w:type="dxa" w:w="130"/>
            </w:tcMar>
            <w:vAlign w:val="center"/>
          </w:tcPr>
          <w:p>
            <w:r>
              <w:rPr>
                <w:b w:val="false"/>
                <w:bCs w:val="false"/>
                <w:sz w:val="19"/>
                <w:szCs w:val="19"/>
              </w:rPr>
              <w:t xml:space="preserve">Phase 6</w:t>
            </w:r>
          </w:p>
        </w:tc>
      </w:tr>
    </w:tbl>
    <w:p>
      <w:pPr>
        <w:spacing w:after="120"/>
      </w:pPr>
    </w:p>
    <w:p>
      <w:pPr>
        <w:pStyle w:val="Heading1"/>
      </w:pPr>
      <w:r>
        <w:t xml:space="preserve">5. Risks and decisions that need your sign-off</w:t>
      </w:r>
    </w:p>
    <w:p>
      <w:pPr>
        <w:pStyle w:val="ListParagraph"/>
        <w:numPr>
          <w:ilvl w:val="0"/>
          <w:numId w:val="2"/>
        </w:numPr>
        <w:spacing w:after="90"/>
      </w:pPr>
      <w:r>
        <w:t xml:space="preserve">Trial isolation approach: option A (full multi-tenancy) vs. option B (one container per trial) — this plan recommends option B.</w:t>
      </w:r>
    </w:p>
    <w:p>
      <w:pPr>
        <w:pStyle w:val="ListParagraph"/>
        <w:numPr>
          <w:ilvl w:val="0"/>
          <w:numId w:val="2"/>
        </w:numPr>
        <w:spacing w:after="90"/>
      </w:pPr>
      <w:r>
        <w:t xml:space="preserve">The exact current Django project package name — verify before any tier B rename work begins, since the project’s own notes disagree with each other.</w:t>
      </w:r>
    </w:p>
    <w:p>
      <w:pPr>
        <w:pStyle w:val="ListParagraph"/>
        <w:numPr>
          <w:ilvl w:val="0"/>
          <w:numId w:val="2"/>
        </w:numPr>
        <w:spacing w:after="90"/>
      </w:pPr>
      <w:r>
        <w:t xml:space="preserve">What happens to EXTERNAL_API_URL pointing at sarafipardis.co.uk — this is a working feature depending on the previous brand’s infrastructure, not just an old label.</w:t>
      </w:r>
    </w:p>
    <w:p>
      <w:pPr>
        <w:pStyle w:val="ListParagraph"/>
        <w:numPr>
          <w:ilvl w:val="0"/>
          <w:numId w:val="2"/>
        </w:numPr>
        <w:spacing w:after="90"/>
      </w:pPr>
      <w:r>
        <w:t xml:space="preserve">Whether to keep both the instant demo-login flow and the full registered 14-day trial, or consolidate into one funnel.</w:t>
      </w:r>
    </w:p>
    <w:p>
      <w:pPr>
        <w:pStyle w:val="ListParagraph"/>
        <w:numPr>
          <w:ilvl w:val="0"/>
          <w:numId w:val="2"/>
        </w:numPr>
        <w:spacing w:after="90"/>
      </w:pPr>
      <w:r>
        <w:t xml:space="preserve">Which of the two existing landing pages becomes the one Mr Exchange marketing site.</w:t>
      </w:r>
    </w:p>
    <w:p>
      <w:pPr>
        <w:spacing w:after="120"/>
      </w:pPr>
    </w:p>
    <w:p>
      <w:pPr>
        <w:pStyle w:val="Heading1"/>
      </w:pPr>
      <w:r>
        <w:t xml:space="preserve">6. Immediate next steps</w:t>
      </w:r>
    </w:p>
    <w:p>
      <w:pPr>
        <w:pStyle w:val="ListParagraph"/>
        <w:numPr>
          <w:ilvl w:val="0"/>
          <w:numId w:val="5"/>
        </w:numPr>
        <w:spacing w:after="100"/>
      </w:pPr>
      <w:r>
        <w:t xml:space="preserve">Confirm the brand name form and the option A/B decision above so phase 0 can close.</w:t>
      </w:r>
    </w:p>
    <w:p>
      <w:pPr>
        <w:pStyle w:val="ListParagraph"/>
        <w:numPr>
          <w:ilvl w:val="0"/>
          <w:numId w:val="5"/>
        </w:numPr>
        <w:spacing w:after="100"/>
      </w:pPr>
      <w:r>
        <w:t xml:space="preserve">Run the repo-wide SmartExchange search and produce the tier A / tier B / keep triage list.</w:t>
      </w:r>
    </w:p>
    <w:p>
      <w:pPr>
        <w:pStyle w:val="ListParagraph"/>
        <w:numPr>
          <w:ilvl w:val="0"/>
          <w:numId w:val="5"/>
        </w:numPr>
        <w:spacing w:after="100"/>
      </w:pPr>
      <w:r>
        <w:t xml:space="preserve">Clear tier A rebrand items — lowest risk, immediate visible progress.</w:t>
      </w:r>
    </w:p>
    <w:p>
      <w:pPr>
        <w:pStyle w:val="ListParagraph"/>
        <w:numPr>
          <w:ilvl w:val="0"/>
          <w:numId w:val="5"/>
        </w:numPr>
        <w:spacing w:after="100"/>
      </w:pPr>
      <w:r>
        <w:t xml:space="preserve">Prototype the automatic container-provisioning flow against a single test trial signup.</w:t>
      </w:r>
    </w:p>
    <w:p>
      <w:pPr>
        <w:pStyle w:val="ListParagraph"/>
        <w:numPr>
          <w:ilvl w:val="0"/>
          <w:numId w:val="5"/>
        </w:numPr>
        <w:spacing w:after="100"/>
      </w:pPr>
      <w:r>
        <w:t xml:space="preserve">Draft the CustomerDeployment model and the check-in endpoint.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Mr Exchange — master plan   ·   page </w:t>
    </w:r>
    <w:r>
      <w:rPr>
        <w:color w:val="5F5E5A"/>
        <w:sz w:val="16"/>
        <w:szCs w:val="16"/>
      </w:rPr>
      <w:fldChar w:fldCharType="begin"/>
      <w:instrText xml:space="preserve">PAGE</w:instrText>
      <w:fldChar w:fldCharType="separate"/>
      <w:fldChar w:fldCharType="end"/>
    </w:r>
    <w:r>
      <w:rPr>
        <w:color w:val="5F5E5A"/>
        <w:sz w:val="16"/>
        <w:szCs w:val="16"/>
      </w:rPr>
      <w:t xml:space="preserve"> of </w:t>
    </w:r>
    <w:r>
      <w:rPr>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60"/>
    </w:pPr>
    <w:rPr>
      <w:rFonts w:ascii="Calibri" w:cs="Calibri" w:eastAsia="Calibri" w:hAnsi="Calibri"/>
      <w:b/>
      <w:bCs/>
      <w:color w:val="0A1A2F"/>
      <w:sz w:val="60"/>
      <w:szCs w:val="60"/>
    </w:rPr>
  </w:style>
  <w:style w:type="paragraph" w:styleId="Heading1">
    <w:name w:val="Heading 1"/>
    <w:basedOn w:val="Normal"/>
    <w:next w:val="Normal"/>
    <w:qFormat/>
    <w:pPr>
      <w:pBdr>
        <w:bottom w:val="single" w:color="00A47C" w:sz="8" w:space="4"/>
      </w:pBdr>
      <w:spacing w:after="200" w:before="420"/>
    </w:pPr>
    <w:rPr>
      <w:rFonts w:ascii="Calibri" w:cs="Calibri" w:eastAsia="Calibri" w:hAnsi="Calibri"/>
      <w:b/>
      <w:bCs/>
      <w:color w:val="0A1A2F"/>
      <w:sz w:val="30"/>
      <w:szCs w:val="30"/>
    </w:rPr>
  </w:style>
  <w:style w:type="paragraph" w:styleId="Heading2">
    <w:name w:val="Heading 2"/>
    <w:basedOn w:val="Normal"/>
    <w:next w:val="Normal"/>
    <w:qFormat/>
    <w:pPr>
      <w:spacing w:after="140" w:before="280"/>
    </w:pPr>
    <w:rPr>
      <w:rFonts w:ascii="Calibri" w:cs="Calibri" w:eastAsia="Calibri" w:hAnsi="Calibri"/>
      <w:b/>
      <w:bCs/>
      <w:color w:val="00614A"/>
      <w:sz w:val="25"/>
      <w:szCs w:val="25"/>
    </w:rPr>
  </w:style>
  <w:style w:type="paragraph" w:styleId="Heading3">
    <w:name w:val="Heading 3"/>
    <w:basedOn w:val="Normal"/>
    <w:next w:val="Normal"/>
    <w:qFormat/>
    <w:pPr>
      <w:spacing w:after="100" w:before="200"/>
    </w:pPr>
    <w:rPr>
      <w:rFonts w:ascii="Calibri" w:cs="Calibri" w:eastAsia="Calibri" w:hAnsi="Calibri"/>
      <w:b/>
      <w:bCs/>
      <w:i/>
      <w:iCs/>
      <w:color w:val="0A1A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2026-08-25T17:18:10.340Z</dcterms:created>
  <dcterms:modified xsi:type="dcterms:W3CDTF">2026-08-25T17:18:10.341Z</dcterms:modified>
</cp:coreProperties>
</file>

<file path=docProps/custom.xml><?xml version="1.0" encoding="utf-8"?>
<Properties xmlns="http://schemas.openxmlformats.org/officeDocument/2006/custom-properties" xmlns:vt="http://schemas.openxmlformats.org/officeDocument/2006/docPropsVTypes"/>
</file>