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43C5" w:rsidRDefault="00E443C5" w:rsidP="00E443C5">
      <w:pPr>
        <w:rPr>
          <w:sz w:val="32"/>
        </w:rPr>
      </w:pPr>
      <w:r>
        <w:rPr>
          <w:sz w:val="32"/>
        </w:rPr>
        <w:t xml:space="preserve">The settlement pattern of </w:t>
      </w:r>
      <w:proofErr w:type="spellStart"/>
      <w:r>
        <w:rPr>
          <w:sz w:val="32"/>
        </w:rPr>
        <w:t>Yassıhöyük</w:t>
      </w:r>
      <w:proofErr w:type="spellEnd"/>
      <w:r>
        <w:rPr>
          <w:sz w:val="32"/>
        </w:rPr>
        <w:t xml:space="preserve"> is best visualized from the center of the village which is marked at the center by the 100-year old mosque, and the new mosque near it. The entrance to the village leads to the main road which forks into north and south. The northern road leads to houses that were built later in post 1970s; they are more scattered compared to houses on the southern road which leads to the older village settlement dated to 1935-60 and to the ancient city of </w:t>
      </w:r>
      <w:proofErr w:type="spellStart"/>
      <w:r>
        <w:rPr>
          <w:sz w:val="32"/>
        </w:rPr>
        <w:t>Gordion</w:t>
      </w:r>
      <w:proofErr w:type="spellEnd"/>
      <w:r>
        <w:rPr>
          <w:sz w:val="32"/>
        </w:rPr>
        <w:t>. Those houses display a nucleated pattern, most of them built back to back with walled courtyards which belong to the households of kin-related residents. (Figs. X and Map)</w:t>
      </w:r>
    </w:p>
    <w:p w:rsidR="00E443C5" w:rsidRDefault="00E443C5" w:rsidP="00E443C5">
      <w:pPr>
        <w:rPr>
          <w:sz w:val="32"/>
        </w:rPr>
      </w:pPr>
    </w:p>
    <w:p w:rsidR="00E443C5" w:rsidRDefault="00E443C5" w:rsidP="00E443C5">
      <w:pPr>
        <w:rPr>
          <w:sz w:val="32"/>
        </w:rPr>
      </w:pPr>
      <w:r>
        <w:rPr>
          <w:sz w:val="32"/>
        </w:rPr>
        <w:t xml:space="preserve">Until late 1960s two tea houses, a bakery, a grocery store, a craftsmen’s shop used to be on the main road into the village center, they no longer exist. </w:t>
      </w:r>
      <w:r>
        <w:rPr>
          <w:rStyle w:val="FootnoteReference"/>
          <w:sz w:val="32"/>
        </w:rPr>
        <w:footnoteReference w:id="1"/>
      </w:r>
      <w:r>
        <w:rPr>
          <w:sz w:val="32"/>
        </w:rPr>
        <w:t xml:space="preserve"> At present there is only one modern grocery store, </w:t>
      </w:r>
      <w:proofErr w:type="gramStart"/>
      <w:r>
        <w:rPr>
          <w:sz w:val="32"/>
        </w:rPr>
        <w:t>and  across</w:t>
      </w:r>
      <w:proofErr w:type="gramEnd"/>
      <w:r>
        <w:rPr>
          <w:sz w:val="32"/>
        </w:rPr>
        <w:t xml:space="preserve"> the street is the </w:t>
      </w:r>
      <w:proofErr w:type="spellStart"/>
      <w:r>
        <w:rPr>
          <w:sz w:val="32"/>
        </w:rPr>
        <w:t>Gordion</w:t>
      </w:r>
      <w:proofErr w:type="spellEnd"/>
      <w:r>
        <w:rPr>
          <w:sz w:val="32"/>
        </w:rPr>
        <w:t xml:space="preserve"> Museum. Down the main road is a gendarme post, and a newly built modern Visitor’s Center with a garden. </w:t>
      </w:r>
      <w:r>
        <w:rPr>
          <w:rStyle w:val="FootnoteReference"/>
          <w:sz w:val="32"/>
        </w:rPr>
        <w:footnoteReference w:id="2"/>
      </w:r>
      <w:r>
        <w:rPr>
          <w:sz w:val="32"/>
        </w:rPr>
        <w:t xml:space="preserve"> Among the non-residential buildings are two schools </w:t>
      </w:r>
      <w:r>
        <w:rPr>
          <w:rStyle w:val="FootnoteReference"/>
          <w:sz w:val="32"/>
        </w:rPr>
        <w:footnoteReference w:id="3"/>
      </w:r>
      <w:r>
        <w:rPr>
          <w:sz w:val="32"/>
        </w:rPr>
        <w:t xml:space="preserve">  which are no longer functioning; the old mosque that has reverted to a storage house, replaced by the new mosque in 1964</w:t>
      </w:r>
      <w:r w:rsidRPr="00217260">
        <w:rPr>
          <w:sz w:val="32"/>
        </w:rPr>
        <w:t xml:space="preserve"> </w:t>
      </w:r>
      <w:r>
        <w:rPr>
          <w:sz w:val="32"/>
        </w:rPr>
        <w:t>(see above</w:t>
      </w:r>
      <w:proofErr w:type="gramStart"/>
      <w:r>
        <w:rPr>
          <w:sz w:val="32"/>
        </w:rPr>
        <w:t>) .</w:t>
      </w:r>
      <w:proofErr w:type="gramEnd"/>
      <w:r>
        <w:rPr>
          <w:sz w:val="32"/>
        </w:rPr>
        <w:t xml:space="preserve"> In the </w:t>
      </w:r>
      <w:proofErr w:type="spellStart"/>
      <w:r>
        <w:rPr>
          <w:sz w:val="32"/>
        </w:rPr>
        <w:t>Yassıhöyük</w:t>
      </w:r>
      <w:proofErr w:type="spellEnd"/>
      <w:r>
        <w:rPr>
          <w:sz w:val="32"/>
        </w:rPr>
        <w:t xml:space="preserve"> village monograph (1965) the authors mention shops, a mill, a guest house and tea houses as non-</w:t>
      </w:r>
      <w:proofErr w:type="spellStart"/>
      <w:r>
        <w:rPr>
          <w:sz w:val="32"/>
        </w:rPr>
        <w:t>residental</w:t>
      </w:r>
      <w:proofErr w:type="spellEnd"/>
      <w:r>
        <w:rPr>
          <w:sz w:val="32"/>
        </w:rPr>
        <w:t xml:space="preserve"> buildings in the village. The two tea houses functioned as, </w:t>
      </w:r>
      <w:proofErr w:type="gramStart"/>
      <w:r>
        <w:rPr>
          <w:sz w:val="32"/>
        </w:rPr>
        <w:t>“ the</w:t>
      </w:r>
      <w:proofErr w:type="gramEnd"/>
      <w:r>
        <w:rPr>
          <w:sz w:val="32"/>
        </w:rPr>
        <w:t xml:space="preserve"> regular meeting places for the men of the village. It is here that they discuss their problems and pass their idle hours. Any business between villagers is conducted in these places. Political affairs are discussed here, and decisions concerning the village’s welfare………</w:t>
      </w:r>
      <w:proofErr w:type="gramStart"/>
      <w:r>
        <w:rPr>
          <w:sz w:val="32"/>
        </w:rPr>
        <w:t>…..</w:t>
      </w:r>
      <w:proofErr w:type="gramEnd"/>
      <w:r>
        <w:rPr>
          <w:sz w:val="32"/>
        </w:rPr>
        <w:t xml:space="preserve">houses. Only when official forms have to be filled out do villagers go to the Muhtar’s house”. (METU, p.105, 1965). </w:t>
      </w:r>
    </w:p>
    <w:p w:rsidR="00E443C5" w:rsidRDefault="00E443C5" w:rsidP="00E443C5">
      <w:pPr>
        <w:ind w:left="720"/>
        <w:rPr>
          <w:sz w:val="32"/>
        </w:rPr>
      </w:pPr>
    </w:p>
    <w:p w:rsidR="00E443C5" w:rsidRDefault="00E443C5" w:rsidP="00E443C5">
      <w:pPr>
        <w:rPr>
          <w:sz w:val="32"/>
        </w:rPr>
      </w:pPr>
      <w:r>
        <w:rPr>
          <w:sz w:val="32"/>
        </w:rPr>
        <w:t xml:space="preserve">The growth </w:t>
      </w:r>
      <w:proofErr w:type="gramStart"/>
      <w:r>
        <w:rPr>
          <w:sz w:val="32"/>
        </w:rPr>
        <w:t>of  population</w:t>
      </w:r>
      <w:proofErr w:type="gramEnd"/>
      <w:r>
        <w:rPr>
          <w:sz w:val="32"/>
        </w:rPr>
        <w:t xml:space="preserve"> at </w:t>
      </w:r>
      <w:proofErr w:type="spellStart"/>
      <w:r>
        <w:rPr>
          <w:sz w:val="32"/>
        </w:rPr>
        <w:t>Yassıhöyük</w:t>
      </w:r>
      <w:proofErr w:type="spellEnd"/>
      <w:r>
        <w:rPr>
          <w:sz w:val="32"/>
        </w:rPr>
        <w:t xml:space="preserve"> was between the years </w:t>
      </w:r>
    </w:p>
    <w:p w:rsidR="00E443C5" w:rsidRDefault="00E443C5" w:rsidP="00E443C5">
      <w:pPr>
        <w:rPr>
          <w:sz w:val="32"/>
        </w:rPr>
      </w:pPr>
      <w:r>
        <w:rPr>
          <w:sz w:val="32"/>
        </w:rPr>
        <w:lastRenderedPageBreak/>
        <w:t xml:space="preserve">1935-1960. It was in part due 1950-52 Land Reform by which small landowners and landless farmers acquired land and built houses; seasonal nomadic shepherds became settled residents; immigration of ethnic Turkish groups </w:t>
      </w:r>
      <w:proofErr w:type="gramStart"/>
      <w:r>
        <w:rPr>
          <w:sz w:val="32"/>
        </w:rPr>
        <w:t>were</w:t>
      </w:r>
      <w:proofErr w:type="gramEnd"/>
      <w:r>
        <w:rPr>
          <w:sz w:val="32"/>
        </w:rPr>
        <w:t xml:space="preserve"> settled in </w:t>
      </w:r>
      <w:proofErr w:type="spellStart"/>
      <w:r>
        <w:rPr>
          <w:sz w:val="32"/>
        </w:rPr>
        <w:t>Yassıhöyük</w:t>
      </w:r>
      <w:proofErr w:type="spellEnd"/>
      <w:r>
        <w:rPr>
          <w:sz w:val="32"/>
        </w:rPr>
        <w:t xml:space="preserve"> and the region. In addition to the rising birth rates, the year 1950 was also </w:t>
      </w:r>
      <w:proofErr w:type="gramStart"/>
      <w:r>
        <w:rPr>
          <w:sz w:val="32"/>
        </w:rPr>
        <w:t>the  launching</w:t>
      </w:r>
      <w:proofErr w:type="gramEnd"/>
      <w:r>
        <w:rPr>
          <w:sz w:val="32"/>
        </w:rPr>
        <w:t xml:space="preserve"> of the </w:t>
      </w:r>
      <w:proofErr w:type="spellStart"/>
      <w:r>
        <w:rPr>
          <w:sz w:val="32"/>
        </w:rPr>
        <w:t>Gordion</w:t>
      </w:r>
      <w:proofErr w:type="spellEnd"/>
      <w:r>
        <w:rPr>
          <w:sz w:val="32"/>
        </w:rPr>
        <w:t xml:space="preserve"> excavations which brought in workers from different communities, some eventually settled in </w:t>
      </w:r>
      <w:proofErr w:type="spellStart"/>
      <w:r>
        <w:rPr>
          <w:sz w:val="32"/>
        </w:rPr>
        <w:t>Yassıhöyük</w:t>
      </w:r>
      <w:proofErr w:type="spellEnd"/>
      <w:r>
        <w:rPr>
          <w:sz w:val="32"/>
        </w:rPr>
        <w:t xml:space="preserve"> and the region. Consequently, between 1950-1963 as the population rose from </w:t>
      </w:r>
    </w:p>
    <w:p w:rsidR="00E443C5" w:rsidRDefault="00E443C5" w:rsidP="00E443C5">
      <w:pPr>
        <w:rPr>
          <w:sz w:val="32"/>
        </w:rPr>
      </w:pPr>
      <w:r>
        <w:rPr>
          <w:sz w:val="32"/>
        </w:rPr>
        <w:t xml:space="preserve">195-355, more residences were built and the settlement moved from the center to the east, toward Midas Mound. In the 1990s there was another expansion of the settlement toward the north and the west, what used to be primarily open grazing land. That was a result of the second Land Reform Act. </w:t>
      </w:r>
    </w:p>
    <w:p w:rsidR="00E443C5" w:rsidRDefault="00E443C5" w:rsidP="00E443C5">
      <w:pPr>
        <w:rPr>
          <w:sz w:val="32"/>
        </w:rPr>
      </w:pPr>
    </w:p>
    <w:p w:rsidR="00E443C5" w:rsidRDefault="00E443C5" w:rsidP="00E443C5">
      <w:pPr>
        <w:rPr>
          <w:sz w:val="32"/>
        </w:rPr>
      </w:pPr>
      <w:r>
        <w:rPr>
          <w:sz w:val="32"/>
        </w:rPr>
        <w:t>The year 2002 shows the highest population density in the village (388), and after a decade there is a continuous decline. According to the latest government census, between years 2016 to 2018 population declined from 324 to 256 individuals.</w:t>
      </w:r>
      <w:r>
        <w:rPr>
          <w:rStyle w:val="FootnoteReference"/>
          <w:sz w:val="32"/>
        </w:rPr>
        <w:footnoteReference w:id="4"/>
      </w:r>
      <w:r>
        <w:rPr>
          <w:sz w:val="32"/>
        </w:rPr>
        <w:t xml:space="preserve">  The prediction is there will be a further decline in the next 10-15 years as small farm plots are bought by large landowners, in part caused by the small farm owners’ inability to afford cost of farming, including high government taxation. The sale/rent of small farms have</w:t>
      </w:r>
      <w:r w:rsidR="00165EE2">
        <w:rPr>
          <w:sz w:val="32"/>
        </w:rPr>
        <w:t xml:space="preserve"> already begun in the last 5-6 </w:t>
      </w:r>
      <w:r>
        <w:rPr>
          <w:sz w:val="32"/>
        </w:rPr>
        <w:t xml:space="preserve">years, and the farmers have moved out of their villages. Eventually </w:t>
      </w:r>
      <w:proofErr w:type="spellStart"/>
      <w:r>
        <w:rPr>
          <w:sz w:val="32"/>
        </w:rPr>
        <w:t>agro</w:t>
      </w:r>
      <w:proofErr w:type="spellEnd"/>
      <w:r>
        <w:rPr>
          <w:sz w:val="32"/>
        </w:rPr>
        <w:t xml:space="preserve">-pastoral activities will </w:t>
      </w:r>
      <w:r w:rsidR="00165EE2">
        <w:rPr>
          <w:sz w:val="32"/>
        </w:rPr>
        <w:t xml:space="preserve">be owned and </w:t>
      </w:r>
      <w:bookmarkStart w:id="0" w:name="_GoBack"/>
      <w:bookmarkEnd w:id="0"/>
      <w:r>
        <w:rPr>
          <w:sz w:val="32"/>
        </w:rPr>
        <w:t xml:space="preserve">controlled by a consortium of companies which has been the case for decades in the highly industrialized countries, and in the rise to </w:t>
      </w:r>
      <w:r w:rsidRPr="00D21F00">
        <w:rPr>
          <w:b/>
          <w:sz w:val="32"/>
        </w:rPr>
        <w:t>more</w:t>
      </w:r>
      <w:r>
        <w:rPr>
          <w:sz w:val="32"/>
        </w:rPr>
        <w:t xml:space="preserve"> intensive agriculture and livestock breeding (see above industrialized breeding of goats on p.         above).  As for the village </w:t>
      </w:r>
      <w:r>
        <w:rPr>
          <w:sz w:val="32"/>
        </w:rPr>
        <w:lastRenderedPageBreak/>
        <w:t xml:space="preserve">populations, the trend of emigration will continue to urban towns and cities, </w:t>
      </w:r>
      <w:proofErr w:type="spellStart"/>
      <w:r>
        <w:rPr>
          <w:sz w:val="32"/>
        </w:rPr>
        <w:t>Polatlı</w:t>
      </w:r>
      <w:proofErr w:type="spellEnd"/>
      <w:r>
        <w:rPr>
          <w:sz w:val="32"/>
        </w:rPr>
        <w:t>, Ankara, İstanbul and beyond.</w:t>
      </w:r>
      <w:r w:rsidR="00165EE2">
        <w:rPr>
          <w:sz w:val="32"/>
        </w:rPr>
        <w:t xml:space="preserve"> </w:t>
      </w:r>
    </w:p>
    <w:p w:rsidR="00E443C5" w:rsidRDefault="00E443C5" w:rsidP="00E443C5">
      <w:pPr>
        <w:rPr>
          <w:sz w:val="32"/>
        </w:rPr>
      </w:pPr>
    </w:p>
    <w:p w:rsidR="00E443C5" w:rsidRDefault="00E443C5" w:rsidP="00E443C5">
      <w:pPr>
        <w:jc w:val="center"/>
        <w:rPr>
          <w:sz w:val="32"/>
        </w:rPr>
      </w:pPr>
    </w:p>
    <w:p w:rsidR="008069D3" w:rsidRDefault="008069D3"/>
    <w:sectPr w:rsidR="008069D3" w:rsidSect="00616C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547B" w:rsidRDefault="000E547B" w:rsidP="00E443C5">
      <w:r>
        <w:separator/>
      </w:r>
    </w:p>
  </w:endnote>
  <w:endnote w:type="continuationSeparator" w:id="0">
    <w:p w:rsidR="000E547B" w:rsidRDefault="000E547B" w:rsidP="00E44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547B" w:rsidRDefault="000E547B" w:rsidP="00E443C5">
      <w:r>
        <w:separator/>
      </w:r>
    </w:p>
  </w:footnote>
  <w:footnote w:type="continuationSeparator" w:id="0">
    <w:p w:rsidR="000E547B" w:rsidRDefault="000E547B" w:rsidP="00E443C5">
      <w:r>
        <w:continuationSeparator/>
      </w:r>
    </w:p>
  </w:footnote>
  <w:footnote w:id="1">
    <w:p w:rsidR="00E443C5" w:rsidRPr="00336BA1" w:rsidRDefault="00E443C5" w:rsidP="00E443C5">
      <w:pPr>
        <w:pStyle w:val="FootnoteText"/>
        <w:rPr>
          <w:rFonts w:ascii="Times New Roman" w:hAnsi="Times New Roman" w:cs="Times New Roman"/>
          <w:sz w:val="24"/>
          <w:szCs w:val="24"/>
          <w:lang w:val="tr-TR"/>
        </w:rPr>
      </w:pPr>
      <w:r w:rsidRPr="00336BA1">
        <w:rPr>
          <w:rStyle w:val="FootnoteReference"/>
          <w:rFonts w:ascii="Times New Roman" w:hAnsi="Times New Roman" w:cs="Times New Roman"/>
          <w:sz w:val="24"/>
          <w:szCs w:val="24"/>
        </w:rPr>
        <w:footnoteRef/>
      </w:r>
      <w:r w:rsidRPr="00336BA1">
        <w:rPr>
          <w:rFonts w:ascii="Times New Roman" w:hAnsi="Times New Roman" w:cs="Times New Roman"/>
          <w:sz w:val="24"/>
          <w:szCs w:val="24"/>
        </w:rPr>
        <w:t xml:space="preserve"> Pers. comm. by an elderly informant.</w:t>
      </w:r>
    </w:p>
  </w:footnote>
  <w:footnote w:id="2">
    <w:p w:rsidR="00E443C5" w:rsidRPr="001A337D" w:rsidRDefault="00E443C5" w:rsidP="00E443C5">
      <w:pPr>
        <w:pStyle w:val="FootnoteText"/>
        <w:rPr>
          <w:sz w:val="24"/>
          <w:szCs w:val="24"/>
          <w:lang w:val="tr-TR"/>
        </w:rPr>
      </w:pPr>
      <w:r w:rsidRPr="001A337D">
        <w:rPr>
          <w:rStyle w:val="FootnoteReference"/>
          <w:sz w:val="24"/>
          <w:szCs w:val="24"/>
        </w:rPr>
        <w:footnoteRef/>
      </w:r>
      <w:r w:rsidRPr="001A337D">
        <w:rPr>
          <w:sz w:val="24"/>
          <w:szCs w:val="24"/>
        </w:rPr>
        <w:t xml:space="preserve"> the building was finished </w:t>
      </w:r>
      <w:r>
        <w:rPr>
          <w:sz w:val="24"/>
          <w:szCs w:val="24"/>
        </w:rPr>
        <w:t>three</w:t>
      </w:r>
      <w:r w:rsidRPr="001A337D">
        <w:rPr>
          <w:sz w:val="24"/>
          <w:szCs w:val="24"/>
        </w:rPr>
        <w:t xml:space="preserve"> years ago </w:t>
      </w:r>
      <w:r>
        <w:rPr>
          <w:sz w:val="24"/>
          <w:szCs w:val="24"/>
        </w:rPr>
        <w:t xml:space="preserve">(2017) </w:t>
      </w:r>
      <w:r w:rsidRPr="001A337D">
        <w:rPr>
          <w:sz w:val="24"/>
          <w:szCs w:val="24"/>
        </w:rPr>
        <w:t>but it is still not in operation.</w:t>
      </w:r>
    </w:p>
  </w:footnote>
  <w:footnote w:id="3">
    <w:p w:rsidR="00E443C5" w:rsidRDefault="00E443C5" w:rsidP="00E443C5">
      <w:pPr>
        <w:pStyle w:val="FootnoteText"/>
        <w:rPr>
          <w:rFonts w:ascii="Times New Roman" w:hAnsi="Times New Roman" w:cs="Times New Roman"/>
          <w:sz w:val="24"/>
          <w:szCs w:val="24"/>
        </w:rPr>
      </w:pPr>
      <w:r w:rsidRPr="007B5077">
        <w:rPr>
          <w:rStyle w:val="FootnoteReference"/>
          <w:rFonts w:ascii="Times New Roman" w:hAnsi="Times New Roman" w:cs="Times New Roman"/>
          <w:sz w:val="24"/>
          <w:szCs w:val="24"/>
        </w:rPr>
        <w:footnoteRef/>
      </w:r>
      <w:r w:rsidRPr="007B5077">
        <w:rPr>
          <w:rFonts w:ascii="Times New Roman" w:hAnsi="Times New Roman" w:cs="Times New Roman"/>
          <w:sz w:val="24"/>
          <w:szCs w:val="24"/>
        </w:rPr>
        <w:t xml:space="preserve"> The older school was built in 1954 by the government as an elementary school</w:t>
      </w:r>
      <w:r>
        <w:rPr>
          <w:rFonts w:ascii="Times New Roman" w:hAnsi="Times New Roman" w:cs="Times New Roman"/>
          <w:sz w:val="24"/>
          <w:szCs w:val="24"/>
        </w:rPr>
        <w:t xml:space="preserve">; it was replaced in 1970s by a bigger elementary school which discontinued operations due to lack of teachers which forced the students to be bussed to schools in </w:t>
      </w:r>
      <w:proofErr w:type="spellStart"/>
      <w:r>
        <w:rPr>
          <w:rFonts w:ascii="Times New Roman" w:hAnsi="Times New Roman" w:cs="Times New Roman"/>
          <w:sz w:val="24"/>
          <w:szCs w:val="24"/>
        </w:rPr>
        <w:t>Polatlı</w:t>
      </w:r>
      <w:proofErr w:type="spellEnd"/>
      <w:r>
        <w:rPr>
          <w:rFonts w:ascii="Times New Roman" w:hAnsi="Times New Roman" w:cs="Times New Roman"/>
          <w:sz w:val="24"/>
          <w:szCs w:val="24"/>
        </w:rPr>
        <w:t>.</w:t>
      </w:r>
    </w:p>
    <w:p w:rsidR="00E443C5" w:rsidRPr="007B5077" w:rsidRDefault="00E443C5" w:rsidP="00E443C5">
      <w:pPr>
        <w:pStyle w:val="FootnoteText"/>
        <w:rPr>
          <w:rFonts w:ascii="Times New Roman" w:hAnsi="Times New Roman" w:cs="Times New Roman"/>
          <w:sz w:val="24"/>
          <w:szCs w:val="24"/>
          <w:lang w:val="tr-TR"/>
        </w:rPr>
      </w:pPr>
    </w:p>
  </w:footnote>
  <w:footnote w:id="4">
    <w:p w:rsidR="00E443C5" w:rsidRPr="00677E8F" w:rsidRDefault="00E443C5" w:rsidP="00E443C5">
      <w:pPr>
        <w:pStyle w:val="FootnoteText"/>
        <w:rPr>
          <w:rFonts w:ascii="Times New Roman" w:hAnsi="Times New Roman" w:cs="Times New Roman"/>
          <w:sz w:val="24"/>
          <w:szCs w:val="24"/>
          <w:lang w:val="tr-TR"/>
        </w:rPr>
      </w:pPr>
      <w:r w:rsidRPr="00677E8F">
        <w:rPr>
          <w:rStyle w:val="FootnoteReference"/>
          <w:sz w:val="24"/>
          <w:szCs w:val="24"/>
        </w:rPr>
        <w:footnoteRef/>
      </w:r>
      <w:r w:rsidRPr="00677E8F">
        <w:rPr>
          <w:sz w:val="24"/>
          <w:szCs w:val="24"/>
        </w:rPr>
        <w:t xml:space="preserve"> </w:t>
      </w:r>
      <w:r w:rsidRPr="00677E8F">
        <w:rPr>
          <w:rFonts w:ascii="Times New Roman" w:hAnsi="Times New Roman" w:cs="Times New Roman"/>
          <w:sz w:val="24"/>
          <w:szCs w:val="24"/>
        </w:rPr>
        <w:t xml:space="preserve">As the population gets older, and young students are given better educational </w:t>
      </w:r>
      <w:proofErr w:type="gramStart"/>
      <w:r w:rsidRPr="00677E8F">
        <w:rPr>
          <w:rFonts w:ascii="Times New Roman" w:hAnsi="Times New Roman" w:cs="Times New Roman"/>
          <w:sz w:val="24"/>
          <w:szCs w:val="24"/>
        </w:rPr>
        <w:t>opportunities  in</w:t>
      </w:r>
      <w:proofErr w:type="gramEnd"/>
      <w:r w:rsidRPr="00677E8F">
        <w:rPr>
          <w:rFonts w:ascii="Times New Roman" w:hAnsi="Times New Roman" w:cs="Times New Roman"/>
          <w:sz w:val="24"/>
          <w:szCs w:val="24"/>
        </w:rPr>
        <w:t xml:space="preserve"> cities, there is a flow of residents out of the village. The elderly generally </w:t>
      </w:r>
      <w:proofErr w:type="gramStart"/>
      <w:r w:rsidRPr="00677E8F">
        <w:rPr>
          <w:rFonts w:ascii="Times New Roman" w:hAnsi="Times New Roman" w:cs="Times New Roman"/>
          <w:sz w:val="24"/>
          <w:szCs w:val="24"/>
        </w:rPr>
        <w:t>move</w:t>
      </w:r>
      <w:proofErr w:type="gramEnd"/>
      <w:r w:rsidRPr="00677E8F">
        <w:rPr>
          <w:rFonts w:ascii="Times New Roman" w:hAnsi="Times New Roman" w:cs="Times New Roman"/>
          <w:sz w:val="24"/>
          <w:szCs w:val="24"/>
        </w:rPr>
        <w:t xml:space="preserve"> to </w:t>
      </w:r>
      <w:proofErr w:type="spellStart"/>
      <w:r w:rsidRPr="00677E8F">
        <w:rPr>
          <w:rFonts w:ascii="Times New Roman" w:hAnsi="Times New Roman" w:cs="Times New Roman"/>
          <w:sz w:val="24"/>
          <w:szCs w:val="24"/>
        </w:rPr>
        <w:t>Polatlı</w:t>
      </w:r>
      <w:proofErr w:type="spellEnd"/>
      <w:r w:rsidRPr="00677E8F">
        <w:rPr>
          <w:rFonts w:ascii="Times New Roman" w:hAnsi="Times New Roman" w:cs="Times New Roman"/>
          <w:sz w:val="24"/>
          <w:szCs w:val="24"/>
        </w:rPr>
        <w:t xml:space="preserve"> where living conditions are more agreeable, especially in winter. Some go back to the village in summer months to manage their farms for 3-4 months and return to their winter homes. Additionally, there is a trend to more deaths </w:t>
      </w:r>
      <w:proofErr w:type="spellStart"/>
      <w:r w:rsidRPr="00677E8F">
        <w:rPr>
          <w:rFonts w:ascii="Times New Roman" w:hAnsi="Times New Roman" w:cs="Times New Roman"/>
          <w:sz w:val="24"/>
          <w:szCs w:val="24"/>
        </w:rPr>
        <w:t>thanbirths</w:t>
      </w:r>
      <w:proofErr w:type="spellEnd"/>
      <w:r w:rsidRPr="00677E8F">
        <w:rPr>
          <w:rFonts w:ascii="Times New Roman" w:hAnsi="Times New Roman" w:cs="Times New Roman"/>
          <w:sz w:val="24"/>
          <w:szCs w:val="24"/>
        </w:rPr>
        <w:t xml:space="preserve"> and after marriage young women leaving the village to join the household of their husbands in </w:t>
      </w:r>
      <w:proofErr w:type="spellStart"/>
      <w:r w:rsidRPr="00677E8F">
        <w:rPr>
          <w:rFonts w:ascii="Times New Roman" w:hAnsi="Times New Roman" w:cs="Times New Roman"/>
          <w:sz w:val="24"/>
          <w:szCs w:val="24"/>
        </w:rPr>
        <w:t>Polatlı</w:t>
      </w:r>
      <w:proofErr w:type="spellEnd"/>
      <w:r w:rsidRPr="00677E8F">
        <w:rPr>
          <w:rFonts w:ascii="Times New Roman" w:hAnsi="Times New Roman" w:cs="Times New Roman"/>
          <w:sz w:val="24"/>
          <w:szCs w:val="24"/>
        </w:rPr>
        <w:t xml:space="preserve"> or big cities. </w:t>
      </w:r>
    </w:p>
    <w:p w:rsidR="00E443C5" w:rsidRPr="00677E8F" w:rsidRDefault="00E443C5" w:rsidP="00E443C5">
      <w:pPr>
        <w:ind w:left="360"/>
        <w:rPr>
          <w:sz w:val="32"/>
          <w:highlight w:val="yellow"/>
        </w:rPr>
      </w:pPr>
    </w:p>
    <w:p w:rsidR="00E443C5" w:rsidRPr="00677E8F" w:rsidRDefault="00E443C5" w:rsidP="00E443C5">
      <w:pPr>
        <w:ind w:left="360"/>
        <w:rPr>
          <w:sz w:val="32"/>
          <w:highlight w:val="yellow"/>
        </w:rPr>
      </w:pPr>
    </w:p>
    <w:p w:rsidR="00E443C5" w:rsidRPr="00677E8F" w:rsidRDefault="00E443C5" w:rsidP="00E443C5">
      <w:pPr>
        <w:pStyle w:val="FootnoteText"/>
        <w:rPr>
          <w:sz w:val="24"/>
          <w:szCs w:val="24"/>
          <w:lang w:val="tr-TR"/>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3C5"/>
    <w:rsid w:val="000E547B"/>
    <w:rsid w:val="00165EE2"/>
    <w:rsid w:val="00304FBB"/>
    <w:rsid w:val="00370DDB"/>
    <w:rsid w:val="00616CBC"/>
    <w:rsid w:val="008069D3"/>
    <w:rsid w:val="00E443C5"/>
    <w:rsid w:val="00FF4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64399E"/>
  <w15:chartTrackingRefBased/>
  <w15:docId w15:val="{BD9E2E75-BD5E-F940-817A-4406CDDC3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443C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E443C5"/>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E443C5"/>
    <w:rPr>
      <w:sz w:val="20"/>
      <w:szCs w:val="20"/>
    </w:rPr>
  </w:style>
  <w:style w:type="character" w:styleId="FootnoteReference">
    <w:name w:val="footnote reference"/>
    <w:basedOn w:val="DefaultParagraphFont"/>
    <w:uiPriority w:val="99"/>
    <w:semiHidden/>
    <w:unhideWhenUsed/>
    <w:rsid w:val="00E443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1</cp:revision>
  <dcterms:created xsi:type="dcterms:W3CDTF">2020-12-20T01:28:00Z</dcterms:created>
  <dcterms:modified xsi:type="dcterms:W3CDTF">2020-12-20T19:25:00Z</dcterms:modified>
</cp:coreProperties>
</file>