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03366"/>
            <w:tcMar>
              <w:top w:w="180" w:type="dxa"/>
              <w:bottom w:w="180" w:type="dxa"/>
              <w:left w:w="250" w:type="dxa"/>
              <w:right w:w="250" w:type="dxa"/>
            </w:tcMar>
          </w:tcPr>
          <w:p>
            <w:pPr>
              <w:jc w:val="center"/>
            </w:pPr>
            <w:r>
              <w:rPr>
                <w:rFonts w:ascii="Calibri" w:hAnsi="Calibri"/>
                <w:b/>
                <w:color w:val="F0A500"/>
                <w:sz w:val="22"/>
              </w:rPr>
              <w:t>SAP HUB USE CASE SUBMISSION TEMPLATE</w:t>
              <w:br/>
            </w:r>
            <w:r>
              <w:rPr>
                <w:rFonts w:ascii="Calibri" w:hAnsi="Calibri"/>
                <w:b/>
                <w:color w:val="FFFFFF"/>
                <w:sz w:val="40"/>
              </w:rPr>
              <w:t>USE CASE 01: HanaMorph</w:t>
              <w:br/>
            </w:r>
            <w:r>
              <w:rPr>
                <w:rFonts w:ascii="Calibri" w:hAnsi="Calibri"/>
                <w:color w:val="E0EEFF"/>
                <w:sz w:val="23"/>
              </w:rPr>
              <w:t>Automated Multi-Tier SAP HANA Calculation View Migration &amp; 1:1 Visual Lineage Parity in SAP Datasphere</w:t>
            </w:r>
          </w:p>
        </w:tc>
      </w:tr>
    </w:tbl>
    <w:p>
      <w:pPr>
        <w:spacing w:after="200"/>
      </w:pPr>
    </w:p>
    <w:p>
      <w:pPr>
        <w:keepNext/>
        <w:spacing w:before="320" w:after="120"/>
        <w:pBdr>
          <w:bottom w:val="single" w:sz="12" w:space="4" w:color="0A6ED1"/>
        </w:pBdr>
      </w:pPr>
      <w:r>
        <w:rPr>
          <w:b/>
          <w:color w:val="D1720A"/>
          <w:sz w:val="28"/>
        </w:rPr>
        <w:t xml:space="preserve">1. </w:t>
      </w:r>
      <w:r>
        <w:rPr>
          <w:b/>
          <w:color w:val="003366"/>
          <w:sz w:val="28"/>
        </w:rPr>
        <w:t>AT A GLANCE</w:t>
      </w:r>
    </w:p>
    <w:tbl>
      <w:tblPr>
        <w:tblW w:type="auto" w:w="0"/>
        <w:jc w:val="center"/>
        <w:tblLook w:firstColumn="1" w:firstRow="1" w:lastColumn="0" w:lastRow="0" w:noHBand="0" w:noVBand="1" w:val="04A0"/>
      </w:tblPr>
      <w:tblGrid>
        <w:gridCol w:w="5040"/>
        <w:gridCol w:w="5040"/>
      </w:tblGrid>
      <w:tr>
        <w:tc>
          <w:tcPr>
            <w:tcW w:type="dxa" w:w="3168"/>
            <w:shd w:fill="EBF3FA"/>
            <w:tcMar>
              <w:top w:w="80" w:type="dxa"/>
              <w:bottom w:w="80" w:type="dxa"/>
              <w:left w:w="120" w:type="dxa"/>
              <w:right w:w="120" w:type="dxa"/>
            </w:tcMar>
            <w:tcBorders>
              <w:bottom w:val="single" w:sz="4" w:space="0" w:color="D0DCE5"/>
              <w:right w:val="single" w:sz="4" w:space="0" w:color="D0DCE5"/>
            </w:tcBorders>
          </w:tcPr>
          <w:p>
            <w:r>
              <w:rPr>
                <w:b/>
                <w:color w:val="003366"/>
                <w:sz w:val="20"/>
              </w:rPr>
              <w:t>Solution Name</w:t>
            </w:r>
          </w:p>
        </w:tc>
        <w:tc>
          <w:tcPr>
            <w:tcW w:type="dxa" w:w="6912"/>
            <w:shd w:fill="FAFCFE"/>
            <w:tcMar>
              <w:top w:w="80" w:type="dxa"/>
              <w:bottom w:w="80" w:type="dxa"/>
              <w:left w:w="120" w:type="dxa"/>
              <w:right w:w="120" w:type="dxa"/>
            </w:tcMar>
            <w:tcBorders>
              <w:bottom w:val="single" w:sz="4" w:space="0" w:color="D0DCE5"/>
            </w:tcBorders>
          </w:tcPr>
          <w:p>
            <w:r>
              <w:rPr>
                <w:sz w:val="20"/>
              </w:rPr>
              <w:t>HanaMorph (Enterprise SAP HANA to SAP Datasphere Automated Modernization Studio)</w:t>
            </w:r>
          </w:p>
        </w:tc>
      </w:tr>
      <w:tr>
        <w:tc>
          <w:tcPr>
            <w:tcW w:type="dxa" w:w="3168"/>
            <w:shd w:fill="EBF3FA"/>
            <w:tcMar>
              <w:top w:w="80" w:type="dxa"/>
              <w:bottom w:w="80" w:type="dxa"/>
              <w:left w:w="120" w:type="dxa"/>
              <w:right w:w="120" w:type="dxa"/>
            </w:tcMar>
            <w:tcBorders>
              <w:bottom w:val="single" w:sz="4" w:space="0" w:color="D0DCE5"/>
              <w:right w:val="single" w:sz="4" w:space="0" w:color="D0DCE5"/>
            </w:tcBorders>
          </w:tcPr>
          <w:p>
            <w:r>
              <w:rPr>
                <w:b/>
                <w:color w:val="003366"/>
                <w:sz w:val="20"/>
              </w:rPr>
              <w:t>Solution Icon / Concept</w:t>
            </w:r>
          </w:p>
        </w:tc>
        <w:tc>
          <w:tcPr>
            <w:tcW w:type="dxa" w:w="6912"/>
            <w:shd w:fill="FFFFFF"/>
            <w:tcMar>
              <w:top w:w="80" w:type="dxa"/>
              <w:bottom w:w="80" w:type="dxa"/>
              <w:left w:w="120" w:type="dxa"/>
              <w:right w:w="120" w:type="dxa"/>
            </w:tcMar>
            <w:tcBorders>
              <w:bottom w:val="single" w:sz="4" w:space="0" w:color="D0DCE5"/>
            </w:tcBorders>
          </w:tcPr>
          <w:p>
            <w:r>
              <w:rPr>
                <w:sz w:val="20"/>
              </w:rPr>
              <w:t>Agile modernization bridge and dual-directional transformation engine with visual flow graph (interconnected DAG nodes transitioning seamlessly from SAP HANA on-premise to SAP Datasphere Cloud).</w:t>
            </w:r>
          </w:p>
        </w:tc>
      </w:tr>
      <w:tr>
        <w:tc>
          <w:tcPr>
            <w:tcW w:type="dxa" w:w="3168"/>
            <w:shd w:fill="EBF3FA"/>
            <w:tcMar>
              <w:top w:w="80" w:type="dxa"/>
              <w:bottom w:w="80" w:type="dxa"/>
              <w:left w:w="120" w:type="dxa"/>
              <w:right w:w="120" w:type="dxa"/>
            </w:tcMar>
            <w:tcBorders>
              <w:bottom w:val="single" w:sz="4" w:space="0" w:color="D0DCE5"/>
              <w:right w:val="single" w:sz="4" w:space="0" w:color="D0DCE5"/>
            </w:tcBorders>
          </w:tcPr>
          <w:p>
            <w:r>
              <w:rPr>
                <w:b/>
                <w:color w:val="003366"/>
                <w:sz w:val="20"/>
              </w:rPr>
              <w:t>Headline</w:t>
            </w:r>
          </w:p>
        </w:tc>
        <w:tc>
          <w:tcPr>
            <w:tcW w:type="dxa" w:w="6912"/>
            <w:shd w:fill="FAFCFE"/>
            <w:tcMar>
              <w:top w:w="80" w:type="dxa"/>
              <w:bottom w:w="80" w:type="dxa"/>
              <w:left w:w="120" w:type="dxa"/>
              <w:right w:w="120" w:type="dxa"/>
            </w:tcMar>
            <w:tcBorders>
              <w:bottom w:val="single" w:sz="4" w:space="0" w:color="D0DCE5"/>
            </w:tcBorders>
          </w:tcPr>
          <w:p>
            <w:r>
              <w:rPr>
                <w:sz w:val="20"/>
              </w:rPr>
              <w:t>Automated 1:1 Architectural &amp; Visual Lineage Migration of Deep N-Tier SAP HANA Calculation Views into SAP Datasphere.</w:t>
            </w:r>
          </w:p>
        </w:tc>
      </w:tr>
      <w:tr>
        <w:tc>
          <w:tcPr>
            <w:tcW w:type="dxa" w:w="3168"/>
            <w:shd w:fill="EBF3FA"/>
            <w:tcMar>
              <w:top w:w="80" w:type="dxa"/>
              <w:bottom w:w="80" w:type="dxa"/>
              <w:left w:w="120" w:type="dxa"/>
              <w:right w:w="120" w:type="dxa"/>
            </w:tcMar>
            <w:tcBorders>
              <w:bottom w:val="single" w:sz="4" w:space="0" w:color="D0DCE5"/>
              <w:right w:val="single" w:sz="4" w:space="0" w:color="D0DCE5"/>
            </w:tcBorders>
          </w:tcPr>
          <w:p>
            <w:r>
              <w:rPr>
                <w:b/>
                <w:color w:val="003366"/>
                <w:sz w:val="20"/>
              </w:rPr>
              <w:t>Short Description</w:t>
            </w:r>
          </w:p>
        </w:tc>
        <w:tc>
          <w:tcPr>
            <w:tcW w:type="dxa" w:w="6912"/>
            <w:shd w:fill="FFFFFF"/>
            <w:tcMar>
              <w:top w:w="80" w:type="dxa"/>
              <w:bottom w:w="80" w:type="dxa"/>
              <w:left w:w="120" w:type="dxa"/>
              <w:right w:w="120" w:type="dxa"/>
            </w:tcMar>
            <w:tcBorders>
              <w:bottom w:val="single" w:sz="4" w:space="0" w:color="D0DCE5"/>
            </w:tcBorders>
          </w:tcPr>
          <w:p>
            <w:r>
              <w:rPr>
                <w:sz w:val="20"/>
              </w:rPr>
              <w:t>HanaMorph is an enterprise-grade migration accelerator that extracts complex, multi-level SAP HANA Calculation Views directly from S/4HANA (_SYS_REPO) and automatically synthesizes self-contained Datasphere CSN packages and pure SELECT views. By generating topological intermediate transformation views (Join_1, Join_2, Projection_1, etc.), HanaMorph achieves 100% visual and structural lineage parity in SAP Datasphere's Impact and Lineage Analysis, eliminating manual rebuilds, missing dependency errors, and SQL syntax mismatches.</w:t>
            </w:r>
          </w:p>
        </w:tc>
      </w:tr>
    </w:tbl>
    <w:p>
      <w:pPr>
        <w:keepNext/>
        <w:spacing w:before="320" w:after="120"/>
        <w:pBdr>
          <w:bottom w:val="single" w:sz="12" w:space="4" w:color="0A6ED1"/>
        </w:pBdr>
      </w:pPr>
      <w:r>
        <w:rPr>
          <w:b/>
          <w:color w:val="D1720A"/>
          <w:sz w:val="28"/>
        </w:rPr>
        <w:t xml:space="preserve">2. </w:t>
      </w:r>
      <w:r>
        <w:rPr>
          <w:b/>
          <w:color w:val="003366"/>
          <w:sz w:val="28"/>
        </w:rPr>
        <w:t>BENEFITS</w:t>
      </w:r>
    </w:p>
    <w:tbl>
      <w:tblPr>
        <w:tblW w:type="auto" w:w="0"/>
        <w:jc w:val="center"/>
        <w:tblLook w:firstColumn="1" w:firstRow="1" w:lastColumn="0" w:lastRow="0" w:noHBand="0" w:noVBand="1" w:val="04A0"/>
      </w:tblPr>
      <w:tblGrid>
        <w:gridCol w:w="10080"/>
      </w:tblGrid>
      <w:tr>
        <w:tc>
          <w:tcPr>
            <w:tcW w:type="dxa" w:w="10080"/>
            <w:shd w:fill="F4F8FC"/>
            <w:tcMar>
              <w:top w:w="80" w:type="dxa"/>
              <w:bottom w:w="80" w:type="dxa"/>
              <w:left w:w="150" w:type="dxa"/>
              <w:right w:w="150" w:type="dxa"/>
            </w:tcMar>
            <w:tcBorders>
              <w:top w:val="single" w:sz="4" w:space="0" w:color="D8E4EC"/>
              <w:left w:val="single" w:sz="24" w:space="0" w:color="0A6ED1"/>
              <w:bottom w:val="single" w:sz="4" w:space="0" w:color="D8E4EC"/>
              <w:right w:val="single" w:sz="4" w:space="0" w:color="D8E4EC"/>
            </w:tcBorders>
          </w:tcPr>
          <w:p>
            <w:r>
              <w:rPr>
                <w:b/>
                <w:color w:val="003366"/>
                <w:sz w:val="21"/>
              </w:rPr>
              <w:t>Benefit 1: 100% Visual Lineage Parity in SAP Datasphere (HANA Studio Mirroring)</w:t>
              <w:br/>
            </w:r>
            <w:r>
              <w:rPr>
                <w:sz w:val="20"/>
              </w:rPr>
              <w:t>Traditional migration approaches flatten multi-level calculation view DAGs into a single monolithic view or opaque SQL subqueries, causing Datasphere Lineage graphs to collapse all intermediate join/projection nodes. HanaMorph automatically reconstructs first-class modular intermediate views (CV_BANK_JOIN_1_V, CV_BANK_JOIN_2_V, CV_BANK_PROJECTION_1_V), rendering an identical node-for-node architecture in Datasphere Impact and Lineage Analysis that mirrors SAP HANA Studio / Eclipse exactly.</w:t>
            </w:r>
          </w:p>
        </w:tc>
      </w:tr>
    </w:tbl>
    <w:p>
      <w:pPr>
        <w:spacing w:after="40"/>
      </w:pPr>
    </w:p>
    <w:tbl>
      <w:tblPr>
        <w:tblW w:type="auto" w:w="0"/>
        <w:jc w:val="center"/>
        <w:tblLook w:firstColumn="1" w:firstRow="1" w:lastColumn="0" w:lastRow="0" w:noHBand="0" w:noVBand="1" w:val="04A0"/>
      </w:tblPr>
      <w:tblGrid>
        <w:gridCol w:w="10080"/>
      </w:tblGrid>
      <w:tr>
        <w:tc>
          <w:tcPr>
            <w:tcW w:type="dxa" w:w="10080"/>
            <w:shd w:fill="F4F8FC"/>
            <w:tcMar>
              <w:top w:w="80" w:type="dxa"/>
              <w:bottom w:w="80" w:type="dxa"/>
              <w:left w:w="150" w:type="dxa"/>
              <w:right w:w="150" w:type="dxa"/>
            </w:tcMar>
            <w:tcBorders>
              <w:top w:val="single" w:sz="4" w:space="0" w:color="D8E4EC"/>
              <w:left w:val="single" w:sz="24" w:space="0" w:color="0A6ED1"/>
              <w:bottom w:val="single" w:sz="4" w:space="0" w:color="D8E4EC"/>
              <w:right w:val="single" w:sz="4" w:space="0" w:color="D8E4EC"/>
            </w:tcBorders>
          </w:tcPr>
          <w:p>
            <w:r>
              <w:rPr>
                <w:b/>
                <w:color w:val="003366"/>
                <w:sz w:val="21"/>
              </w:rPr>
              <w:t>Benefit 2: Zero Dependency Errors &amp; Turnkey Single-Click CSN Deployment</w:t>
              <w:br/>
            </w:r>
            <w:r>
              <w:rPr>
                <w:sz w:val="20"/>
              </w:rPr>
              <w:t>Manual recreation of deep views frequently triggers blocking errors in Datasphere (such as missing join attributes, unmapped calculated view attributes, and unassigned placeholder columns). HanaMorph automatically bundles the complete dependency closure—underlying physical tables (BNKA, FCLM_BAM_BNKA_BP, BP1010), helper views (CashLinefnt), intermediate nodes, root Fact Views (@Analytics.dataCategory: '#CUBE'), and Analytic Models—into a single, self-contained CSN package that imports and activates with zero errors.</w:t>
            </w:r>
          </w:p>
        </w:tc>
      </w:tr>
    </w:tbl>
    <w:p>
      <w:pPr>
        <w:spacing w:after="40"/>
      </w:pPr>
    </w:p>
    <w:tbl>
      <w:tblPr>
        <w:tblW w:type="auto" w:w="0"/>
        <w:jc w:val="center"/>
        <w:tblLook w:firstColumn="1" w:firstRow="1" w:lastColumn="0" w:lastRow="0" w:noHBand="0" w:noVBand="1" w:val="04A0"/>
      </w:tblPr>
      <w:tblGrid>
        <w:gridCol w:w="10080"/>
      </w:tblGrid>
      <w:tr>
        <w:tc>
          <w:tcPr>
            <w:tcW w:type="dxa" w:w="10080"/>
            <w:shd w:fill="F4F8FC"/>
            <w:tcMar>
              <w:top w:w="80" w:type="dxa"/>
              <w:bottom w:w="80" w:type="dxa"/>
              <w:left w:w="150" w:type="dxa"/>
              <w:right w:w="150" w:type="dxa"/>
            </w:tcMar>
            <w:tcBorders>
              <w:top w:val="single" w:sz="4" w:space="0" w:color="D8E4EC"/>
              <w:left w:val="single" w:sz="24" w:space="0" w:color="0A6ED1"/>
              <w:bottom w:val="single" w:sz="4" w:space="0" w:color="D8E4EC"/>
              <w:right w:val="single" w:sz="4" w:space="0" w:color="D8E4EC"/>
            </w:tcBorders>
          </w:tcPr>
          <w:p>
            <w:r>
              <w:rPr>
                <w:b/>
                <w:color w:val="003366"/>
                <w:sz w:val="21"/>
              </w:rPr>
              <w:t>Benefit 3: 95% Acceleration in Enterprise Modernization Timelines</w:t>
              <w:br/>
            </w:r>
            <w:r>
              <w:rPr>
                <w:sz w:val="20"/>
              </w:rPr>
              <w:t>Manually reverse-engineering, rewriting formulas (e.g. IF(ISNULL())), aligning join keys across heterogeneous sources, and configuring consumption models takes days per calculation view. HanaMorph executes live schema discovery, topological sorting, formula translation, and CSN packaging in under 30 seconds per view, reducing human migration effort by over 95%.</w:t>
            </w:r>
          </w:p>
        </w:tc>
      </w:tr>
    </w:tbl>
    <w:p>
      <w:pPr>
        <w:spacing w:after="40"/>
      </w:pPr>
    </w:p>
    <w:p>
      <w:pPr>
        <w:keepNext/>
        <w:spacing w:before="320" w:after="120"/>
        <w:pBdr>
          <w:bottom w:val="single" w:sz="12" w:space="4" w:color="0A6ED1"/>
        </w:pBdr>
      </w:pPr>
      <w:r>
        <w:rPr>
          <w:b/>
          <w:color w:val="D1720A"/>
          <w:sz w:val="28"/>
        </w:rPr>
        <w:t xml:space="preserve">3. </w:t>
      </w:r>
      <w:r>
        <w:rPr>
          <w:b/>
          <w:color w:val="003366"/>
          <w:sz w:val="28"/>
        </w:rPr>
        <w:t>FEATURES</w:t>
      </w:r>
    </w:p>
    <w:p>
      <w:pPr>
        <w:spacing w:before="80" w:after="80"/>
        <w:ind w:left="288"/>
      </w:pPr>
      <w:r>
        <w:rPr>
          <w:b/>
          <w:color w:val="0A6ED1"/>
          <w:sz w:val="20"/>
        </w:rPr>
        <w:t xml:space="preserve">•  Feature 1: Live S/4HANA &amp; HANA Cloud Repository Discovery: </w:t>
      </w:r>
      <w:r>
        <w:rPr>
          <w:sz w:val="20"/>
        </w:rPr>
        <w:t>Directly connects to live SAP HANA databases (_SYS_REPO) via native database drivers to search, inspect, and extract raw Calculation View XML schemas, column definitions, data categories, and dependency trees without requiring intermediate export files.</w:t>
      </w:r>
    </w:p>
    <w:p>
      <w:pPr>
        <w:spacing w:before="80" w:after="80"/>
        <w:ind w:left="288"/>
      </w:pPr>
      <w:r>
        <w:rPr>
          <w:b/>
          <w:color w:val="0A6ED1"/>
          <w:sz w:val="20"/>
        </w:rPr>
        <w:t xml:space="preserve">•  Feature 2: Topological Multi-Tier DAG Engine (Up to 20 Levels Deep): </w:t>
      </w:r>
      <w:r>
        <w:rPr>
          <w:sz w:val="20"/>
        </w:rPr>
        <w:t>Recursively navigates arbitrary DAG hierarchies (chains of joins, projections, aggregations, and unions) and orders the generation of Datasphere catalog views in exact topological dependency order, guaranteeing that every downstream view references fully resolved upstream entities.</w:t>
      </w:r>
    </w:p>
    <w:p>
      <w:pPr>
        <w:spacing w:before="80" w:after="80"/>
        <w:ind w:left="288"/>
      </w:pPr>
      <w:r>
        <w:rPr>
          <w:b/>
          <w:color w:val="0A6ED1"/>
          <w:sz w:val="20"/>
        </w:rPr>
        <w:t xml:space="preserve">•  Feature 3: Intelligent Calculated Attribute &amp; Formula Translation: </w:t>
      </w:r>
      <w:r>
        <w:rPr>
          <w:sz w:val="20"/>
        </w:rPr>
        <w:t>Seamlessly parses SAP HANA calculation view expressions (e.g., IF(ISNULL("RATING_NULL"), '', "RATING_NULL"), rightstr(), and constants) and compiles them into standard SQL COALESCE expressions and native CQN calculated column constructs, preventing missing column references during Datasphere compilation.</w:t>
      </w:r>
    </w:p>
    <w:p>
      <w:pPr>
        <w:spacing w:before="80" w:after="80"/>
        <w:ind w:left="288"/>
      </w:pPr>
      <w:r>
        <w:rPr>
          <w:b/>
          <w:color w:val="0A6ED1"/>
          <w:sz w:val="20"/>
        </w:rPr>
        <w:t xml:space="preserve">•  Feature 4: Automatic Primary Key &amp; Measure Synthesis: </w:t>
      </w:r>
      <w:r>
        <w:rPr>
          <w:sz w:val="20"/>
        </w:rPr>
        <w:t>Enforces strict Datasphere metadata integrity rules by guaranteeing primary key (key: true) assignments on every table/intermediate view and automatically injecting default measures (1 AS "RECORD_COUNT", @Analytics.measure: true) into Fact Views (#CUBE).</w:t>
      </w:r>
    </w:p>
    <w:p>
      <w:pPr>
        <w:spacing w:before="80" w:after="80"/>
        <w:ind w:left="288"/>
      </w:pPr>
      <w:r>
        <w:rPr>
          <w:b/>
          <w:color w:val="0A6ED1"/>
          <w:sz w:val="20"/>
        </w:rPr>
        <w:t xml:space="preserve">•  Feature 5: Flexible Dual-Mode Deployment (Multi-Tier vs. Inlined Pure SELECT): </w:t>
      </w:r>
      <w:r>
        <w:rPr>
          <w:sz w:val="20"/>
        </w:rPr>
        <w:t>Provides data architects with the flexibility to choose between: (1) Option A (Multi-Tier CSN Package): Full architectural visual lineage for enterprise governance; (2) Option B (Consolidated Pure SELECT): Pure inlined SQL queries strictly adhering to Datasphere SQL View grammar (eliminating disallowed top-level WITH CTE statements).</w:t>
      </w:r>
    </w:p>
    <w:p>
      <w:pPr>
        <w:keepNext/>
        <w:spacing w:before="320" w:after="120"/>
        <w:pBdr>
          <w:bottom w:val="single" w:sz="12" w:space="4" w:color="0A6ED1"/>
        </w:pBdr>
      </w:pPr>
      <w:r>
        <w:rPr>
          <w:b/>
          <w:color w:val="D1720A"/>
          <w:sz w:val="28"/>
        </w:rPr>
        <w:t xml:space="preserve">4. </w:t>
      </w:r>
      <w:r>
        <w:rPr>
          <w:b/>
          <w:color w:val="003366"/>
          <w:sz w:val="28"/>
        </w:rPr>
        <w:t>DASHBOARD / SOLUTION DETAILS</w:t>
      </w:r>
    </w:p>
    <w:tbl>
      <w:tblPr>
        <w:tblW w:type="auto" w:w="0"/>
        <w:jc w:val="center"/>
        <w:tblLook w:firstColumn="1" w:firstRow="1" w:lastColumn="0" w:lastRow="0" w:noHBand="0" w:noVBand="1" w:val="04A0"/>
      </w:tblPr>
      <w:tblGrid>
        <w:gridCol w:w="5040"/>
        <w:gridCol w:w="5040"/>
      </w:tblGrid>
      <w:tr>
        <w:tc>
          <w:tcPr>
            <w:tcW w:type="dxa" w:w="3168"/>
            <w:shd w:fill="EBF3FA"/>
            <w:tcMar>
              <w:top w:w="80" w:type="dxa"/>
              <w:bottom w:w="80" w:type="dxa"/>
              <w:left w:w="120" w:type="dxa"/>
              <w:right w:w="120" w:type="dxa"/>
            </w:tcMar>
            <w:tcBorders>
              <w:bottom w:val="single" w:sz="4" w:space="0" w:color="D0DCE5"/>
              <w:right w:val="single" w:sz="4" w:space="0" w:color="D0DCE5"/>
            </w:tcBorders>
          </w:tcPr>
          <w:p>
            <w:r>
              <w:rPr>
                <w:b/>
                <w:color w:val="003366"/>
                <w:sz w:val="20"/>
              </w:rPr>
              <w:t>Primary KPIs Displayed</w:t>
            </w:r>
          </w:p>
        </w:tc>
        <w:tc>
          <w:tcPr>
            <w:tcW w:type="dxa" w:w="6912"/>
            <w:shd w:fill="FAFCFE"/>
            <w:tcMar>
              <w:top w:w="80" w:type="dxa"/>
              <w:bottom w:w="80" w:type="dxa"/>
              <w:left w:w="120" w:type="dxa"/>
              <w:right w:w="120" w:type="dxa"/>
            </w:tcMar>
            <w:tcBorders>
              <w:bottom w:val="single" w:sz="4" w:space="0" w:color="D0DCE5"/>
            </w:tcBorders>
          </w:tcPr>
          <w:p>
            <w:r>
              <w:rPr>
                <w:sz w:val="19"/>
              </w:rPr>
              <w:t>• Total Calculation Views Discovered: 153 in live system</w:t>
            </w:r>
            <w:r>
              <w:br/>
            </w:r>
            <w:r>
              <w:rPr>
                <w:sz w:val="19"/>
              </w:rPr>
              <w:t>• Connectivity: Live S/4HANA Connected (SID: HDD)</w:t>
            </w:r>
            <w:r>
              <w:br/>
            </w:r>
            <w:r>
              <w:rPr>
                <w:sz w:val="19"/>
              </w:rPr>
              <w:t>• Lineage Accuracy: 100% Zero-Error Rate across all 10 participating artifacts</w:t>
            </w:r>
            <w:r>
              <w:br/>
            </w:r>
            <w:r>
              <w:rPr>
                <w:sz w:val="19"/>
              </w:rPr>
              <w:t>• Deployment Speed: Under 30 seconds per Calculation View</w:t>
            </w:r>
          </w:p>
        </w:tc>
      </w:tr>
      <w:tr>
        <w:tc>
          <w:tcPr>
            <w:tcW w:type="dxa" w:w="3168"/>
            <w:shd w:fill="EBF3FA"/>
            <w:tcMar>
              <w:top w:w="80" w:type="dxa"/>
              <w:bottom w:w="80" w:type="dxa"/>
              <w:left w:w="120" w:type="dxa"/>
              <w:right w:w="120" w:type="dxa"/>
            </w:tcMar>
            <w:tcBorders>
              <w:bottom w:val="single" w:sz="4" w:space="0" w:color="D0DCE5"/>
              <w:right w:val="single" w:sz="4" w:space="0" w:color="D0DCE5"/>
            </w:tcBorders>
          </w:tcPr>
          <w:p>
            <w:r>
              <w:rPr>
                <w:b/>
                <w:color w:val="003366"/>
                <w:sz w:val="20"/>
              </w:rPr>
              <w:t>Business Areas Covered</w:t>
            </w:r>
          </w:p>
        </w:tc>
        <w:tc>
          <w:tcPr>
            <w:tcW w:type="dxa" w:w="6912"/>
            <w:shd w:fill="FFFFFF"/>
            <w:tcMar>
              <w:top w:w="80" w:type="dxa"/>
              <w:bottom w:w="80" w:type="dxa"/>
              <w:left w:w="120" w:type="dxa"/>
              <w:right w:w="120" w:type="dxa"/>
            </w:tcMar>
            <w:tcBorders>
              <w:bottom w:val="single" w:sz="4" w:space="0" w:color="D0DCE5"/>
            </w:tcBorders>
          </w:tcPr>
          <w:p>
            <w:r>
              <w:rPr>
                <w:sz w:val="19"/>
              </w:rPr>
              <w:t>• Financial Accounting &amp; Cash Management (Bank Master Data CV_BANK, Account Types CV_AC_TYPE)</w:t>
            </w:r>
            <w:r>
              <w:br/>
            </w:r>
            <w:r>
              <w:rPr>
                <w:sz w:val="19"/>
              </w:rPr>
              <w:t>• Sales &amp; Distribution, Logistics, and Cross-System Supply Chain Harmonization</w:t>
            </w:r>
            <w:r>
              <w:br/>
            </w:r>
            <w:r>
              <w:rPr>
                <w:sz w:val="19"/>
              </w:rPr>
              <w:t>• Enterprise Data Warehousing &amp; Cloud Modernization</w:t>
            </w:r>
          </w:p>
        </w:tc>
      </w:tr>
      <w:tr>
        <w:tc>
          <w:tcPr>
            <w:tcW w:type="dxa" w:w="3168"/>
            <w:shd w:fill="EBF3FA"/>
            <w:tcMar>
              <w:top w:w="80" w:type="dxa"/>
              <w:bottom w:w="80" w:type="dxa"/>
              <w:left w:w="120" w:type="dxa"/>
              <w:right w:w="120" w:type="dxa"/>
            </w:tcMar>
            <w:tcBorders>
              <w:bottom w:val="single" w:sz="4" w:space="0" w:color="D0DCE5"/>
              <w:right w:val="single" w:sz="4" w:space="0" w:color="D0DCE5"/>
            </w:tcBorders>
          </w:tcPr>
          <w:p>
            <w:r>
              <w:rPr>
                <w:b/>
                <w:color w:val="003366"/>
                <w:sz w:val="20"/>
              </w:rPr>
              <w:t>Data Sources</w:t>
            </w:r>
          </w:p>
        </w:tc>
        <w:tc>
          <w:tcPr>
            <w:tcW w:type="dxa" w:w="6912"/>
            <w:shd w:fill="FAFCFE"/>
            <w:tcMar>
              <w:top w:w="80" w:type="dxa"/>
              <w:bottom w:w="80" w:type="dxa"/>
              <w:left w:w="120" w:type="dxa"/>
              <w:right w:w="120" w:type="dxa"/>
            </w:tcMar>
            <w:tcBorders>
              <w:bottom w:val="single" w:sz="4" w:space="0" w:color="D0DCE5"/>
            </w:tcBorders>
          </w:tcPr>
          <w:p>
            <w:r>
              <w:rPr>
                <w:sz w:val="19"/>
              </w:rPr>
              <w:t>• SAP S/4HANA (1909 to 2023) &amp; SAP ECC on HANA 2.0</w:t>
            </w:r>
            <w:r>
              <w:br/>
            </w:r>
            <w:r>
              <w:rPr>
                <w:sz w:val="19"/>
              </w:rPr>
              <w:t>• Physical Tables: BNKA, FCLM_BAM_BNKA_BP, BP1010</w:t>
            </w:r>
            <w:r>
              <w:br/>
            </w:r>
            <w:r>
              <w:rPr>
                <w:sz w:val="19"/>
              </w:rPr>
              <w:t>• Calculation Views: CashLinefnt, CV_AC_TYPE, CV_BANK</w:t>
            </w:r>
          </w:p>
        </w:tc>
      </w:tr>
      <w:tr>
        <w:tc>
          <w:tcPr>
            <w:tcW w:type="dxa" w:w="3168"/>
            <w:shd w:fill="EBF3FA"/>
            <w:tcMar>
              <w:top w:w="80" w:type="dxa"/>
              <w:bottom w:w="80" w:type="dxa"/>
              <w:left w:w="120" w:type="dxa"/>
              <w:right w:w="120" w:type="dxa"/>
            </w:tcMar>
            <w:tcBorders>
              <w:bottom w:val="single" w:sz="4" w:space="0" w:color="D0DCE5"/>
              <w:right w:val="single" w:sz="4" w:space="0" w:color="D0DCE5"/>
            </w:tcBorders>
          </w:tcPr>
          <w:p>
            <w:r>
              <w:rPr>
                <w:b/>
                <w:color w:val="003366"/>
                <w:sz w:val="20"/>
              </w:rPr>
              <w:t>Target Users</w:t>
            </w:r>
          </w:p>
        </w:tc>
        <w:tc>
          <w:tcPr>
            <w:tcW w:type="dxa" w:w="6912"/>
            <w:shd w:fill="FFFFFF"/>
            <w:tcMar>
              <w:top w:w="80" w:type="dxa"/>
              <w:bottom w:w="80" w:type="dxa"/>
              <w:left w:w="120" w:type="dxa"/>
              <w:right w:w="120" w:type="dxa"/>
            </w:tcMar>
            <w:tcBorders>
              <w:bottom w:val="single" w:sz="4" w:space="0" w:color="D0DCE5"/>
            </w:tcBorders>
          </w:tcPr>
          <w:p>
            <w:r>
              <w:rPr>
                <w:sz w:val="19"/>
              </w:rPr>
              <w:t>• SAP Enterprise Data Architects &amp; Migration Leads</w:t>
            </w:r>
            <w:r>
              <w:br/>
            </w:r>
            <w:r>
              <w:rPr>
                <w:sz w:val="19"/>
              </w:rPr>
              <w:t>• SAP Datasphere &amp; SAP Analytics Cloud (SAC) Data Modelers</w:t>
            </w:r>
            <w:r>
              <w:br/>
            </w:r>
            <w:r>
              <w:rPr>
                <w:sz w:val="19"/>
              </w:rPr>
              <w:t>• Business Intelligence &amp; Cloud Data Warehouse Engineers</w:t>
            </w:r>
          </w:p>
        </w:tc>
      </w:tr>
    </w:tbl>
    <w:p>
      <w:pPr>
        <w:keepNext/>
        <w:spacing w:before="320" w:after="120"/>
        <w:pBdr>
          <w:bottom w:val="single" w:sz="12" w:space="4" w:color="0A6ED1"/>
        </w:pBdr>
      </w:pPr>
      <w:r>
        <w:rPr>
          <w:b/>
          <w:color w:val="D1720A"/>
          <w:sz w:val="28"/>
        </w:rPr>
        <w:t xml:space="preserve">5. </w:t>
      </w:r>
      <w:r>
        <w:rPr>
          <w:b/>
          <w:color w:val="003366"/>
          <w:sz w:val="28"/>
        </w:rPr>
        <w:t>SUPPORTING EVIDENCE (COMPREHENSIVE END-TO-END WALKTHROUGH: 15 SCREENSHOTS)</w:t>
      </w:r>
    </w:p>
    <w:p>
      <w:pPr>
        <w:spacing w:before="80" w:after="200"/>
      </w:pPr>
      <w:r>
        <w:rPr>
          <w:i/>
          <w:sz w:val="20"/>
        </w:rPr>
        <w:t>The following 15 high-resolution screenshots provide an exhaustive, step-by-step verification walkthrough—from HANA Studio baseline, through HanaMorph View Selection, Scenario Artifacts, Column Mappings, Object Naming, Multi-Tier Package Downloads, into SAP Datasphere Data Builder Import, SQL View Validation, and 1:1 Visual Lineage Parity.</w:t>
      </w:r>
    </w:p>
    <w:tbl>
      <w:tblPr>
        <w:tblW w:type="auto" w:w="0"/>
        <w:jc w:val="center"/>
        <w:tblLook w:firstColumn="1" w:firstRow="1" w:lastColumn="0" w:lastRow="0" w:noHBand="0" w:noVBand="1" w:val="04A0"/>
      </w:tblPr>
      <w:tblGrid>
        <w:gridCol w:w="10080"/>
      </w:tblGrid>
      <w:tr>
        <w:tc>
          <w:tcPr>
            <w:tcW w:type="dxa" w:w="10080"/>
            <w:shd w:fill="FAFCFE"/>
            <w:tcMar>
              <w:top w:w="100" w:type="dxa"/>
              <w:bottom w:w="100" w:type="dxa"/>
              <w:left w:w="150" w:type="dxa"/>
              <w:right w:w="150" w:type="dxa"/>
            </w:tcMar>
            <w:tcBorders>
              <w:top w:val="single" w:sz="6" w:space="0" w:color="0A6ED1"/>
              <w:left w:val="single" w:sz="6" w:space="0" w:color="0A6ED1"/>
              <w:bottom w:val="single" w:sz="6" w:space="0" w:color="0A6ED1"/>
              <w:right w:val="single" w:sz="6" w:space="0" w:color="0A6ED1"/>
            </w:tcBorders>
          </w:tcPr>
          <w:p>
            <w:pPr>
              <w:spacing w:after="80"/>
            </w:pPr>
            <w:r>
              <w:rPr>
                <w:b/>
                <w:color w:val="003366"/>
                <w:sz w:val="22"/>
              </w:rPr>
              <w:t>EVIDENCE 01: Source Calculation View Architecture in SAP HANA Studio (CV_BANK)</w:t>
              <w:br/>
            </w:r>
          </w:p>
          <w:p>
            <w:pPr>
              <w:spacing w:before="80" w:after="120"/>
              <w:jc w:val="center"/>
            </w:pPr>
            <w:r>
              <w:drawing>
                <wp:inline xmlns:a="http://schemas.openxmlformats.org/drawingml/2006/main" xmlns:pic="http://schemas.openxmlformats.org/drawingml/2006/picture">
                  <wp:extent cx="5852160" cy="3121152"/>
                  <wp:docPr id="1" name="Picture 1"/>
                  <wp:cNvGraphicFramePr>
                    <a:graphicFrameLocks noChangeAspect="1"/>
                  </wp:cNvGraphicFramePr>
                  <a:graphic>
                    <a:graphicData uri="http://schemas.openxmlformats.org/drawingml/2006/picture">
                      <pic:pic>
                        <pic:nvPicPr>
                          <pic:cNvPr id="0" name="screenshot_01_2s.png"/>
                          <pic:cNvPicPr/>
                        </pic:nvPicPr>
                        <pic:blipFill>
                          <a:blip r:embed="rId9"/>
                          <a:stretch>
                            <a:fillRect/>
                          </a:stretch>
                        </pic:blipFill>
                        <pic:spPr>
                          <a:xfrm>
                            <a:off x="0" y="0"/>
                            <a:ext cx="5852160" cy="3121152"/>
                          </a:xfrm>
                          <a:prstGeom prst="rect"/>
                        </pic:spPr>
                      </pic:pic>
                    </a:graphicData>
                  </a:graphic>
                </wp:inline>
              </w:drawing>
            </w:r>
          </w:p>
          <w:p>
            <w:pPr>
              <w:spacing w:before="40" w:after="40"/>
            </w:pPr>
            <w:r>
              <w:rPr>
                <w:b/>
                <w:sz w:val="19"/>
              </w:rPr>
              <w:t xml:space="preserve">• What is shown: </w:t>
            </w:r>
            <w:r>
              <w:rPr>
                <w:sz w:val="19"/>
              </w:rPr>
              <w:t>The native graphical calculation view editor in Eclipse showing the multi-tier DAG of sap.erp.sfin.fi.fclm::CV_BANK: p_bnka + p_bnka_bp -&gt; Join_1, Join_1 + p_bp1010 -&gt; Join_2, CashLinefnt -&gt; Projection_1, and both converging into Union_1 -&gt; Projection -&gt; Semantics.</w:t>
            </w:r>
          </w:p>
          <w:p>
            <w:pPr>
              <w:spacing w:before="40" w:after="40"/>
            </w:pPr>
            <w:r>
              <w:rPr>
                <w:b/>
                <w:color w:val="D1720A"/>
                <w:sz w:val="19"/>
              </w:rPr>
              <w:t xml:space="preserve">• Key Insights: </w:t>
            </w:r>
            <w:r>
              <w:rPr>
                <w:sz w:val="19"/>
              </w:rPr>
              <w:t>Establishes the ground truth multi-level hierarchy that enterprise architects need to preserve in SAP Datasphere for compliance and data traceability.</w:t>
            </w:r>
          </w:p>
        </w:tc>
      </w:tr>
    </w:tbl>
    <w:p>
      <w:pPr>
        <w:spacing w:after="160"/>
      </w:pPr>
    </w:p>
    <w:tbl>
      <w:tblPr>
        <w:tblW w:type="auto" w:w="0"/>
        <w:jc w:val="center"/>
        <w:tblLook w:firstColumn="1" w:firstRow="1" w:lastColumn="0" w:lastRow="0" w:noHBand="0" w:noVBand="1" w:val="04A0"/>
      </w:tblPr>
      <w:tblGrid>
        <w:gridCol w:w="10080"/>
      </w:tblGrid>
      <w:tr>
        <w:tc>
          <w:tcPr>
            <w:tcW w:type="dxa" w:w="10080"/>
            <w:shd w:fill="FAFCFE"/>
            <w:tcMar>
              <w:top w:w="100" w:type="dxa"/>
              <w:bottom w:w="100" w:type="dxa"/>
              <w:left w:w="150" w:type="dxa"/>
              <w:right w:w="150" w:type="dxa"/>
            </w:tcMar>
            <w:tcBorders>
              <w:top w:val="single" w:sz="6" w:space="0" w:color="0A6ED1"/>
              <w:left w:val="single" w:sz="6" w:space="0" w:color="0A6ED1"/>
              <w:bottom w:val="single" w:sz="6" w:space="0" w:color="0A6ED1"/>
              <w:right w:val="single" w:sz="6" w:space="0" w:color="0A6ED1"/>
            </w:tcBorders>
          </w:tcPr>
          <w:p>
            <w:pPr>
              <w:spacing w:after="80"/>
            </w:pPr>
            <w:r>
              <w:rPr>
                <w:b/>
                <w:color w:val="003366"/>
                <w:sz w:val="22"/>
              </w:rPr>
              <w:t>EVIDENCE 02: HanaMorph Studio: Step 1 - Source View Selection</w:t>
              <w:br/>
            </w:r>
          </w:p>
          <w:p>
            <w:pPr>
              <w:spacing w:before="80" w:after="120"/>
              <w:jc w:val="center"/>
            </w:pPr>
            <w:r>
              <w:drawing>
                <wp:inline xmlns:a="http://schemas.openxmlformats.org/drawingml/2006/main" xmlns:pic="http://schemas.openxmlformats.org/drawingml/2006/picture">
                  <wp:extent cx="5852160" cy="3121152"/>
                  <wp:docPr id="2" name="Picture 2"/>
                  <wp:cNvGraphicFramePr>
                    <a:graphicFrameLocks noChangeAspect="1"/>
                  </wp:cNvGraphicFramePr>
                  <a:graphic>
                    <a:graphicData uri="http://schemas.openxmlformats.org/drawingml/2006/picture">
                      <pic:pic>
                        <pic:nvPicPr>
                          <pic:cNvPr id="0" name="screenshot_02_8s.png"/>
                          <pic:cNvPicPr/>
                        </pic:nvPicPr>
                        <pic:blipFill>
                          <a:blip r:embed="rId10"/>
                          <a:stretch>
                            <a:fillRect/>
                          </a:stretch>
                        </pic:blipFill>
                        <pic:spPr>
                          <a:xfrm>
                            <a:off x="0" y="0"/>
                            <a:ext cx="5852160" cy="3121152"/>
                          </a:xfrm>
                          <a:prstGeom prst="rect"/>
                        </pic:spPr>
                      </pic:pic>
                    </a:graphicData>
                  </a:graphic>
                </wp:inline>
              </w:drawing>
            </w:r>
          </w:p>
          <w:p>
            <w:pPr>
              <w:spacing w:before="40" w:after="40"/>
            </w:pPr>
            <w:r>
              <w:rPr>
                <w:b/>
                <w:sz w:val="19"/>
              </w:rPr>
              <w:t xml:space="preserve">• What is shown: </w:t>
            </w:r>
            <w:r>
              <w:rPr>
                <w:sz w:val="19"/>
              </w:rPr>
              <w:t>The HanaMorph Calculation View Migration Studio interface connected live to S/4HANA: Connected (HDD) with 153 calculation views discovered.</w:t>
            </w:r>
          </w:p>
          <w:p>
            <w:pPr>
              <w:spacing w:before="40" w:after="40"/>
            </w:pPr>
            <w:r>
              <w:rPr>
                <w:b/>
                <w:color w:val="D1720A"/>
                <w:sz w:val="19"/>
              </w:rPr>
              <w:t xml:space="preserve">• Key Insights: </w:t>
            </w:r>
            <w:r>
              <w:rPr>
                <w:sz w:val="19"/>
              </w:rPr>
              <w:t>Demonstrates real-time integration with live SAP HANA catalog repositories without requiring manual XML uploads.</w:t>
            </w:r>
          </w:p>
        </w:tc>
      </w:tr>
    </w:tbl>
    <w:p>
      <w:pPr>
        <w:spacing w:after="160"/>
      </w:pPr>
    </w:p>
    <w:tbl>
      <w:tblPr>
        <w:tblW w:type="auto" w:w="0"/>
        <w:jc w:val="center"/>
        <w:tblLook w:firstColumn="1" w:firstRow="1" w:lastColumn="0" w:lastRow="0" w:noHBand="0" w:noVBand="1" w:val="04A0"/>
      </w:tblPr>
      <w:tblGrid>
        <w:gridCol w:w="10080"/>
      </w:tblGrid>
      <w:tr>
        <w:tc>
          <w:tcPr>
            <w:tcW w:type="dxa" w:w="10080"/>
            <w:shd w:fill="FAFCFE"/>
            <w:tcMar>
              <w:top w:w="100" w:type="dxa"/>
              <w:bottom w:w="100" w:type="dxa"/>
              <w:left w:w="150" w:type="dxa"/>
              <w:right w:w="150" w:type="dxa"/>
            </w:tcMar>
            <w:tcBorders>
              <w:top w:val="single" w:sz="6" w:space="0" w:color="0A6ED1"/>
              <w:left w:val="single" w:sz="6" w:space="0" w:color="0A6ED1"/>
              <w:bottom w:val="single" w:sz="6" w:space="0" w:color="0A6ED1"/>
              <w:right w:val="single" w:sz="6" w:space="0" w:color="0A6ED1"/>
            </w:tcBorders>
          </w:tcPr>
          <w:p>
            <w:pPr>
              <w:spacing w:after="80"/>
            </w:pPr>
            <w:r>
              <w:rPr>
                <w:b/>
                <w:color w:val="003366"/>
                <w:sz w:val="22"/>
              </w:rPr>
              <w:t>EVIDENCE 03: HanaMorph Studio: Calculation View Metadata Resolution</w:t>
              <w:br/>
            </w:r>
          </w:p>
          <w:p>
            <w:pPr>
              <w:spacing w:before="80" w:after="120"/>
              <w:jc w:val="center"/>
            </w:pPr>
            <w:r>
              <w:drawing>
                <wp:inline xmlns:a="http://schemas.openxmlformats.org/drawingml/2006/main" xmlns:pic="http://schemas.openxmlformats.org/drawingml/2006/picture">
                  <wp:extent cx="5852160" cy="3121152"/>
                  <wp:docPr id="3" name="Picture 3"/>
                  <wp:cNvGraphicFramePr>
                    <a:graphicFrameLocks noChangeAspect="1"/>
                  </wp:cNvGraphicFramePr>
                  <a:graphic>
                    <a:graphicData uri="http://schemas.openxmlformats.org/drawingml/2006/picture">
                      <pic:pic>
                        <pic:nvPicPr>
                          <pic:cNvPr id="0" name="screenshot_03_15s.png"/>
                          <pic:cNvPicPr/>
                        </pic:nvPicPr>
                        <pic:blipFill>
                          <a:blip r:embed="rId11"/>
                          <a:stretch>
                            <a:fillRect/>
                          </a:stretch>
                        </pic:blipFill>
                        <pic:spPr>
                          <a:xfrm>
                            <a:off x="0" y="0"/>
                            <a:ext cx="5852160" cy="3121152"/>
                          </a:xfrm>
                          <a:prstGeom prst="rect"/>
                        </pic:spPr>
                      </pic:pic>
                    </a:graphicData>
                  </a:graphic>
                </wp:inline>
              </w:drawing>
            </w:r>
          </w:p>
          <w:p>
            <w:pPr>
              <w:spacing w:before="40" w:after="40"/>
            </w:pPr>
            <w:r>
              <w:rPr>
                <w:b/>
                <w:sz w:val="19"/>
              </w:rPr>
              <w:t xml:space="preserve">• What is shown: </w:t>
            </w:r>
            <w:r>
              <w:rPr>
                <w:sz w:val="19"/>
              </w:rPr>
              <w:t>User selecting CV_BANK. HanaMorph dynamically loads the calculation scenario ID, package (sap.erp.sfin.fi.fclm), and underlying SQL mapping _SYS_BIC."sap.erp.sfin.fi.fclm/CV_BANK".</w:t>
            </w:r>
          </w:p>
          <w:p>
            <w:pPr>
              <w:spacing w:before="40" w:after="40"/>
            </w:pPr>
            <w:r>
              <w:rPr>
                <w:b/>
                <w:color w:val="D1720A"/>
                <w:sz w:val="19"/>
              </w:rPr>
              <w:t xml:space="preserve">• Key Insights: </w:t>
            </w:r>
            <w:r>
              <w:rPr>
                <w:sz w:val="19"/>
              </w:rPr>
              <w:t>Instant validation of calculation scenario metadata ensuring accurate dependency parsing.</w:t>
            </w:r>
          </w:p>
        </w:tc>
      </w:tr>
    </w:tbl>
    <w:p>
      <w:pPr>
        <w:spacing w:after="160"/>
      </w:pPr>
    </w:p>
    <w:tbl>
      <w:tblPr>
        <w:tblW w:type="auto" w:w="0"/>
        <w:jc w:val="center"/>
        <w:tblLook w:firstColumn="1" w:firstRow="1" w:lastColumn="0" w:lastRow="0" w:noHBand="0" w:noVBand="1" w:val="04A0"/>
      </w:tblPr>
      <w:tblGrid>
        <w:gridCol w:w="10080"/>
      </w:tblGrid>
      <w:tr>
        <w:tc>
          <w:tcPr>
            <w:tcW w:type="dxa" w:w="10080"/>
            <w:shd w:fill="FAFCFE"/>
            <w:tcMar>
              <w:top w:w="100" w:type="dxa"/>
              <w:bottom w:w="100" w:type="dxa"/>
              <w:left w:w="150" w:type="dxa"/>
              <w:right w:w="150" w:type="dxa"/>
            </w:tcMar>
            <w:tcBorders>
              <w:top w:val="single" w:sz="6" w:space="0" w:color="0A6ED1"/>
              <w:left w:val="single" w:sz="6" w:space="0" w:color="0A6ED1"/>
              <w:bottom w:val="single" w:sz="6" w:space="0" w:color="0A6ED1"/>
              <w:right w:val="single" w:sz="6" w:space="0" w:color="0A6ED1"/>
            </w:tcBorders>
          </w:tcPr>
          <w:p>
            <w:pPr>
              <w:spacing w:after="80"/>
            </w:pPr>
            <w:r>
              <w:rPr>
                <w:b/>
                <w:color w:val="003366"/>
                <w:sz w:val="22"/>
              </w:rPr>
              <w:t>EVIDENCE 04: HanaMorph Studio: Step 2 - Scenario Components &amp; Artifact Selection</w:t>
              <w:br/>
            </w:r>
          </w:p>
          <w:p>
            <w:pPr>
              <w:spacing w:before="80" w:after="120"/>
              <w:jc w:val="center"/>
            </w:pPr>
            <w:r>
              <w:drawing>
                <wp:inline xmlns:a="http://schemas.openxmlformats.org/drawingml/2006/main" xmlns:pic="http://schemas.openxmlformats.org/drawingml/2006/picture">
                  <wp:extent cx="5852160" cy="3121152"/>
                  <wp:docPr id="4" name="Picture 4"/>
                  <wp:cNvGraphicFramePr>
                    <a:graphicFrameLocks noChangeAspect="1"/>
                  </wp:cNvGraphicFramePr>
                  <a:graphic>
                    <a:graphicData uri="http://schemas.openxmlformats.org/drawingml/2006/picture">
                      <pic:pic>
                        <pic:nvPicPr>
                          <pic:cNvPr id="0" name="screenshot_step2_artifacts.png"/>
                          <pic:cNvPicPr/>
                        </pic:nvPicPr>
                        <pic:blipFill>
                          <a:blip r:embed="rId12"/>
                          <a:stretch>
                            <a:fillRect/>
                          </a:stretch>
                        </pic:blipFill>
                        <pic:spPr>
                          <a:xfrm>
                            <a:off x="0" y="0"/>
                            <a:ext cx="5852160" cy="3121152"/>
                          </a:xfrm>
                          <a:prstGeom prst="rect"/>
                        </pic:spPr>
                      </pic:pic>
                    </a:graphicData>
                  </a:graphic>
                </wp:inline>
              </w:drawing>
            </w:r>
          </w:p>
          <w:p>
            <w:pPr>
              <w:spacing w:before="40" w:after="40"/>
            </w:pPr>
            <w:r>
              <w:rPr>
                <w:b/>
                <w:sz w:val="19"/>
              </w:rPr>
              <w:t xml:space="preserve">• What is shown: </w:t>
            </w:r>
            <w:r>
              <w:rPr>
                <w:sz w:val="19"/>
              </w:rPr>
              <w:t>HanaMorph Step 2 Artifacts Selection displaying all extracted components for CV_BANK: TABLE (Underlying Physical Tables: BNKA, FCLM_BAM_BNKA_BP, BP1010, CashLinefnt - 10 columns), SQL (Active Calculation Scenario Definition), and GRAPHICAL (Calculation Scenario Pipeline Graph - 7 Nodes: BNKA, FCLM_BAM_BNKA_BP, BP1010, CashLinefnt -&gt; Aggregations/Joins -&gt; Measures).</w:t>
            </w:r>
          </w:p>
          <w:p>
            <w:pPr>
              <w:spacing w:before="40" w:after="40"/>
            </w:pPr>
            <w:r>
              <w:rPr>
                <w:b/>
                <w:color w:val="D1720A"/>
                <w:sz w:val="19"/>
              </w:rPr>
              <w:t xml:space="preserve">• Key Insights: </w:t>
            </w:r>
            <w:r>
              <w:rPr>
                <w:sz w:val="19"/>
              </w:rPr>
              <w:t>Provides full transparency into extracted scenario layers, allowing architects to select physical tables, DDLs, and visual graph pipelines with one click before progressing.</w:t>
            </w:r>
          </w:p>
        </w:tc>
      </w:tr>
    </w:tbl>
    <w:p>
      <w:pPr>
        <w:spacing w:after="160"/>
      </w:pPr>
    </w:p>
    <w:tbl>
      <w:tblPr>
        <w:tblW w:type="auto" w:w="0"/>
        <w:jc w:val="center"/>
        <w:tblLook w:firstColumn="1" w:firstRow="1" w:lastColumn="0" w:lastRow="0" w:noHBand="0" w:noVBand="1" w:val="04A0"/>
      </w:tblPr>
      <w:tblGrid>
        <w:gridCol w:w="10080"/>
      </w:tblGrid>
      <w:tr>
        <w:tc>
          <w:tcPr>
            <w:tcW w:type="dxa" w:w="10080"/>
            <w:shd w:fill="FAFCFE"/>
            <w:tcMar>
              <w:top w:w="100" w:type="dxa"/>
              <w:bottom w:w="100" w:type="dxa"/>
              <w:left w:w="150" w:type="dxa"/>
              <w:right w:w="150" w:type="dxa"/>
            </w:tcMar>
            <w:tcBorders>
              <w:top w:val="single" w:sz="6" w:space="0" w:color="0A6ED1"/>
              <w:left w:val="single" w:sz="6" w:space="0" w:color="0A6ED1"/>
              <w:bottom w:val="single" w:sz="6" w:space="0" w:color="0A6ED1"/>
              <w:right w:val="single" w:sz="6" w:space="0" w:color="0A6ED1"/>
            </w:tcBorders>
          </w:tcPr>
          <w:p>
            <w:pPr>
              <w:spacing w:after="80"/>
            </w:pPr>
            <w:r>
              <w:rPr>
                <w:b/>
                <w:color w:val="003366"/>
                <w:sz w:val="22"/>
              </w:rPr>
              <w:t>EVIDENCE 05: HanaMorph Studio: Step 3 - Detailed Column Mapping &amp; Semantic Typing</w:t>
              <w:br/>
            </w:r>
          </w:p>
          <w:p>
            <w:pPr>
              <w:spacing w:before="80" w:after="120"/>
              <w:jc w:val="center"/>
            </w:pPr>
            <w:r>
              <w:drawing>
                <wp:inline xmlns:a="http://schemas.openxmlformats.org/drawingml/2006/main" xmlns:pic="http://schemas.openxmlformats.org/drawingml/2006/picture">
                  <wp:extent cx="5852160" cy="3121152"/>
                  <wp:docPr id="5" name="Picture 5"/>
                  <wp:cNvGraphicFramePr>
                    <a:graphicFrameLocks noChangeAspect="1"/>
                  </wp:cNvGraphicFramePr>
                  <a:graphic>
                    <a:graphicData uri="http://schemas.openxmlformats.org/drawingml/2006/picture">
                      <pic:pic>
                        <pic:nvPicPr>
                          <pic:cNvPr id="0" name="screenshot_step3_columns.png"/>
                          <pic:cNvPicPr/>
                        </pic:nvPicPr>
                        <pic:blipFill>
                          <a:blip r:embed="rId13"/>
                          <a:stretch>
                            <a:fillRect/>
                          </a:stretch>
                        </pic:blipFill>
                        <pic:spPr>
                          <a:xfrm>
                            <a:off x="0" y="0"/>
                            <a:ext cx="5852160" cy="3121152"/>
                          </a:xfrm>
                          <a:prstGeom prst="rect"/>
                        </pic:spPr>
                      </pic:pic>
                    </a:graphicData>
                  </a:graphic>
                </wp:inline>
              </w:drawing>
            </w:r>
          </w:p>
          <w:p>
            <w:pPr>
              <w:spacing w:before="40" w:after="40"/>
            </w:pPr>
            <w:r>
              <w:rPr>
                <w:b/>
                <w:sz w:val="19"/>
              </w:rPr>
              <w:t xml:space="preserve">• What is shown: </w:t>
            </w:r>
            <w:r>
              <w:rPr>
                <w:sz w:val="19"/>
              </w:rPr>
              <w:t>HanaMorph Step 3 Columns view listing all 10 extracted attributes: MANDT (cds.String(100), KEY), BANKS (DIMENSION), BANKL (DIMENSION), BANKA (DIMENSION), PROVZ (DIMENSION), ORT01 (DIMENSION), BGRUP (DIMENSION), RATING (DIMENSION), VALID_FROM (cds.String(40), DIMENSION), and PARTNER (cds.String(100), DIMENSION) with target projection preview ("MANDT" AS "MANDT").</w:t>
            </w:r>
          </w:p>
          <w:p>
            <w:pPr>
              <w:spacing w:before="40" w:after="40"/>
            </w:pPr>
            <w:r>
              <w:rPr>
                <w:b/>
                <w:color w:val="D1720A"/>
                <w:sz w:val="19"/>
              </w:rPr>
              <w:t xml:space="preserve">• Key Insights: </w:t>
            </w:r>
            <w:r>
              <w:rPr>
                <w:sz w:val="19"/>
              </w:rPr>
              <w:t>Guarantees data integrity by mapping HANA types to native CDS/Datasphere types and confirming primary keys and dimensional roles before generation.</w:t>
            </w:r>
          </w:p>
        </w:tc>
      </w:tr>
    </w:tbl>
    <w:p>
      <w:pPr>
        <w:spacing w:after="160"/>
      </w:pPr>
    </w:p>
    <w:tbl>
      <w:tblPr>
        <w:tblW w:type="auto" w:w="0"/>
        <w:jc w:val="center"/>
        <w:tblLook w:firstColumn="1" w:firstRow="1" w:lastColumn="0" w:lastRow="0" w:noHBand="0" w:noVBand="1" w:val="04A0"/>
      </w:tblPr>
      <w:tblGrid>
        <w:gridCol w:w="10080"/>
      </w:tblGrid>
      <w:tr>
        <w:tc>
          <w:tcPr>
            <w:tcW w:type="dxa" w:w="10080"/>
            <w:shd w:fill="FAFCFE"/>
            <w:tcMar>
              <w:top w:w="100" w:type="dxa"/>
              <w:bottom w:w="100" w:type="dxa"/>
              <w:left w:w="150" w:type="dxa"/>
              <w:right w:w="150" w:type="dxa"/>
            </w:tcMar>
            <w:tcBorders>
              <w:top w:val="single" w:sz="6" w:space="0" w:color="0A6ED1"/>
              <w:left w:val="single" w:sz="6" w:space="0" w:color="0A6ED1"/>
              <w:bottom w:val="single" w:sz="6" w:space="0" w:color="0A6ED1"/>
              <w:right w:val="single" w:sz="6" w:space="0" w:color="0A6ED1"/>
            </w:tcBorders>
          </w:tcPr>
          <w:p>
            <w:pPr>
              <w:spacing w:after="80"/>
            </w:pPr>
            <w:r>
              <w:rPr>
                <w:b/>
                <w:color w:val="003366"/>
                <w:sz w:val="22"/>
              </w:rPr>
              <w:t>EVIDENCE 06: HanaMorph Studio: Step 4 - Technical &amp; Business Object Naming Configuration</w:t>
              <w:br/>
            </w:r>
          </w:p>
          <w:p>
            <w:pPr>
              <w:spacing w:before="80" w:after="120"/>
              <w:jc w:val="center"/>
            </w:pPr>
            <w:r>
              <w:drawing>
                <wp:inline xmlns:a="http://schemas.openxmlformats.org/drawingml/2006/main" xmlns:pic="http://schemas.openxmlformats.org/drawingml/2006/picture">
                  <wp:extent cx="5852160" cy="3121152"/>
                  <wp:docPr id="6" name="Picture 6"/>
                  <wp:cNvGraphicFramePr>
                    <a:graphicFrameLocks noChangeAspect="1"/>
                  </wp:cNvGraphicFramePr>
                  <a:graphic>
                    <a:graphicData uri="http://schemas.openxmlformats.org/drawingml/2006/picture">
                      <pic:pic>
                        <pic:nvPicPr>
                          <pic:cNvPr id="0" name="screenshot_04_22s.png"/>
                          <pic:cNvPicPr/>
                        </pic:nvPicPr>
                        <pic:blipFill>
                          <a:blip r:embed="rId14"/>
                          <a:stretch>
                            <a:fillRect/>
                          </a:stretch>
                        </pic:blipFill>
                        <pic:spPr>
                          <a:xfrm>
                            <a:off x="0" y="0"/>
                            <a:ext cx="5852160" cy="3121152"/>
                          </a:xfrm>
                          <a:prstGeom prst="rect"/>
                        </pic:spPr>
                      </pic:pic>
                    </a:graphicData>
                  </a:graphic>
                </wp:inline>
              </w:drawing>
            </w:r>
          </w:p>
          <w:p>
            <w:pPr>
              <w:spacing w:before="40" w:after="40"/>
            </w:pPr>
            <w:r>
              <w:rPr>
                <w:b/>
                <w:sz w:val="19"/>
              </w:rPr>
              <w:t xml:space="preserve">• What is shown: </w:t>
            </w:r>
            <w:r>
              <w:rPr>
                <w:sz w:val="19"/>
              </w:rPr>
              <w:t>Configuration panel for target space AIS_HARMONIZATION_, specifying Local Table (CV_BANK_TBL), Fact Analytical View (CV_BANK_V), Semantic Usage (Fact - Analytical Cube with Measures), and Analytic Model (CV_BANK_AM).</w:t>
            </w:r>
          </w:p>
          <w:p>
            <w:pPr>
              <w:spacing w:before="40" w:after="40"/>
            </w:pPr>
            <w:r>
              <w:rPr>
                <w:b/>
                <w:color w:val="D1720A"/>
                <w:sz w:val="19"/>
              </w:rPr>
              <w:t xml:space="preserve">• Key Insights: </w:t>
            </w:r>
            <w:r>
              <w:rPr>
                <w:sz w:val="19"/>
              </w:rPr>
              <w:t>Provides enterprise governance over naming conventions, preventing space object collisions in multi-tenant environments.</w:t>
            </w:r>
          </w:p>
        </w:tc>
      </w:tr>
    </w:tbl>
    <w:p>
      <w:pPr>
        <w:spacing w:after="160"/>
      </w:pPr>
    </w:p>
    <w:tbl>
      <w:tblPr>
        <w:tblW w:type="auto" w:w="0"/>
        <w:jc w:val="center"/>
        <w:tblLook w:firstColumn="1" w:firstRow="1" w:lastColumn="0" w:lastRow="0" w:noHBand="0" w:noVBand="1" w:val="04A0"/>
      </w:tblPr>
      <w:tblGrid>
        <w:gridCol w:w="10080"/>
      </w:tblGrid>
      <w:tr>
        <w:tc>
          <w:tcPr>
            <w:tcW w:type="dxa" w:w="10080"/>
            <w:shd w:fill="FAFCFE"/>
            <w:tcMar>
              <w:top w:w="100" w:type="dxa"/>
              <w:bottom w:w="100" w:type="dxa"/>
              <w:left w:w="150" w:type="dxa"/>
              <w:right w:w="150" w:type="dxa"/>
            </w:tcMar>
            <w:tcBorders>
              <w:top w:val="single" w:sz="6" w:space="0" w:color="0A6ED1"/>
              <w:left w:val="single" w:sz="6" w:space="0" w:color="0A6ED1"/>
              <w:bottom w:val="single" w:sz="6" w:space="0" w:color="0A6ED1"/>
              <w:right w:val="single" w:sz="6" w:space="0" w:color="0A6ED1"/>
            </w:tcBorders>
          </w:tcPr>
          <w:p>
            <w:pPr>
              <w:spacing w:after="80"/>
            </w:pPr>
            <w:r>
              <w:rPr>
                <w:b/>
                <w:color w:val="003366"/>
                <w:sz w:val="22"/>
              </w:rPr>
              <w:t>EVIDENCE 07: HanaMorph Studio: Step 5 - Multi-Tier SQL Views &amp; Package Download Hub</w:t>
              <w:br/>
            </w:r>
          </w:p>
          <w:p>
            <w:pPr>
              <w:spacing w:before="80" w:after="120"/>
              <w:jc w:val="center"/>
            </w:pPr>
            <w:r>
              <w:drawing>
                <wp:inline xmlns:a="http://schemas.openxmlformats.org/drawingml/2006/main" xmlns:pic="http://schemas.openxmlformats.org/drawingml/2006/picture">
                  <wp:extent cx="5852160" cy="3121152"/>
                  <wp:docPr id="7" name="Picture 7"/>
                  <wp:cNvGraphicFramePr>
                    <a:graphicFrameLocks noChangeAspect="1"/>
                  </wp:cNvGraphicFramePr>
                  <a:graphic>
                    <a:graphicData uri="http://schemas.openxmlformats.org/drawingml/2006/picture">
                      <pic:pic>
                        <pic:nvPicPr>
                          <pic:cNvPr id="0" name="screenshot_step5_package_download.png"/>
                          <pic:cNvPicPr/>
                        </pic:nvPicPr>
                        <pic:blipFill>
                          <a:blip r:embed="rId15"/>
                          <a:stretch>
                            <a:fillRect/>
                          </a:stretch>
                        </pic:blipFill>
                        <pic:spPr>
                          <a:xfrm>
                            <a:off x="0" y="0"/>
                            <a:ext cx="5852160" cy="3121152"/>
                          </a:xfrm>
                          <a:prstGeom prst="rect"/>
                        </pic:spPr>
                      </pic:pic>
                    </a:graphicData>
                  </a:graphic>
                </wp:inline>
              </w:drawing>
            </w:r>
          </w:p>
          <w:p>
            <w:pPr>
              <w:spacing w:before="40" w:after="40"/>
            </w:pPr>
            <w:r>
              <w:rPr>
                <w:b/>
                <w:sz w:val="19"/>
              </w:rPr>
              <w:t xml:space="preserve">• What is shown: </w:t>
            </w:r>
            <w:r>
              <w:rPr>
                <w:sz w:val="19"/>
              </w:rPr>
              <w:t>Step 5 View Code &amp; Downloads showing the complete Multi-Tier SQL Views breakdown table: Tier 1 Join_1 -&gt; CV_BANK_JOIN_1_V (BNKA, FCLM_BAM_BNKA_BP), Tier 2 Join_2 -&gt; CV_BANK_JOIN_2_V (CV_BANK_JOIN_1_V, BP1010), Tier 3 Projection_1 -&gt; CV_BANK_PROJECTION_1_V (CashLinefnt), Tier 4 Union_1 -&gt; CV_BANK_V (CV_BANK_JOIN_2_V, CV_BANK_PROJECTION_1_V) with Copy SQL actions, followed by the Download Multi-Tier CSN Package button and success notification: 'Optimized View SQL and standard CSN JSONs generated successfully!'.</w:t>
            </w:r>
          </w:p>
          <w:p>
            <w:pPr>
              <w:spacing w:before="40" w:after="40"/>
            </w:pPr>
            <w:r>
              <w:rPr>
                <w:b/>
                <w:color w:val="D1720A"/>
                <w:sz w:val="19"/>
              </w:rPr>
              <w:t xml:space="preserve">• Key Insights: </w:t>
            </w:r>
            <w:r>
              <w:rPr>
                <w:sz w:val="19"/>
              </w:rPr>
              <w:t>Empowers architects with individual copyable tier SQL statements while offering single-click download of the complete multi-tier CSN package for visual lineage preservation.</w:t>
            </w:r>
          </w:p>
        </w:tc>
      </w:tr>
    </w:tbl>
    <w:p>
      <w:pPr>
        <w:spacing w:after="160"/>
      </w:pPr>
    </w:p>
    <w:tbl>
      <w:tblPr>
        <w:tblW w:type="auto" w:w="0"/>
        <w:jc w:val="center"/>
        <w:tblLook w:firstColumn="1" w:firstRow="1" w:lastColumn="0" w:lastRow="0" w:noHBand="0" w:noVBand="1" w:val="04A0"/>
      </w:tblPr>
      <w:tblGrid>
        <w:gridCol w:w="10080"/>
      </w:tblGrid>
      <w:tr>
        <w:tc>
          <w:tcPr>
            <w:tcW w:type="dxa" w:w="10080"/>
            <w:shd w:fill="FAFCFE"/>
            <w:tcMar>
              <w:top w:w="100" w:type="dxa"/>
              <w:bottom w:w="100" w:type="dxa"/>
              <w:left w:w="150" w:type="dxa"/>
              <w:right w:w="150" w:type="dxa"/>
            </w:tcMar>
            <w:tcBorders>
              <w:top w:val="single" w:sz="6" w:space="0" w:color="0A6ED1"/>
              <w:left w:val="single" w:sz="6" w:space="0" w:color="0A6ED1"/>
              <w:bottom w:val="single" w:sz="6" w:space="0" w:color="0A6ED1"/>
              <w:right w:val="single" w:sz="6" w:space="0" w:color="0A6ED1"/>
            </w:tcBorders>
          </w:tcPr>
          <w:p>
            <w:pPr>
              <w:spacing w:after="80"/>
            </w:pPr>
            <w:r>
              <w:rPr>
                <w:b/>
                <w:color w:val="003366"/>
                <w:sz w:val="22"/>
              </w:rPr>
              <w:t>EVIDENCE 08: HanaMorph Studio: Multi-Tier CSN Package Download Execution</w:t>
              <w:br/>
            </w:r>
          </w:p>
          <w:p>
            <w:pPr>
              <w:spacing w:before="80" w:after="120"/>
              <w:jc w:val="center"/>
            </w:pPr>
            <w:r>
              <w:drawing>
                <wp:inline xmlns:a="http://schemas.openxmlformats.org/drawingml/2006/main" xmlns:pic="http://schemas.openxmlformats.org/drawingml/2006/picture">
                  <wp:extent cx="5852160" cy="3121152"/>
                  <wp:docPr id="8" name="Picture 8"/>
                  <wp:cNvGraphicFramePr>
                    <a:graphicFrameLocks noChangeAspect="1"/>
                  </wp:cNvGraphicFramePr>
                  <a:graphic>
                    <a:graphicData uri="http://schemas.openxmlformats.org/drawingml/2006/picture">
                      <pic:pic>
                        <pic:nvPicPr>
                          <pic:cNvPr id="0" name="screenshot_05_28s.png"/>
                          <pic:cNvPicPr/>
                        </pic:nvPicPr>
                        <pic:blipFill>
                          <a:blip r:embed="rId16"/>
                          <a:stretch>
                            <a:fillRect/>
                          </a:stretch>
                        </pic:blipFill>
                        <pic:spPr>
                          <a:xfrm>
                            <a:off x="0" y="0"/>
                            <a:ext cx="5852160" cy="3121152"/>
                          </a:xfrm>
                          <a:prstGeom prst="rect"/>
                        </pic:spPr>
                      </pic:pic>
                    </a:graphicData>
                  </a:graphic>
                </wp:inline>
              </w:drawing>
            </w:r>
          </w:p>
          <w:p>
            <w:pPr>
              <w:spacing w:before="40" w:after="40"/>
            </w:pPr>
            <w:r>
              <w:rPr>
                <w:b/>
                <w:sz w:val="19"/>
              </w:rPr>
              <w:t xml:space="preserve">• What is shown: </w:t>
            </w:r>
            <w:r>
              <w:rPr>
                <w:sz w:val="19"/>
              </w:rPr>
              <w:t>User executing Download Multi-Tier CSN Package. Browser download manager confirms CV_BANK_V_multi_tier_package.csn.json (29.0 KB) downloaded with UI toast confirmation: 'Downloaded CV_BANK_V_multi_tier_package.csn.json (1:1 Multi-Tier Lineage Parity with HANA Studio)'.</w:t>
            </w:r>
          </w:p>
          <w:p>
            <w:pPr>
              <w:spacing w:before="40" w:after="40"/>
            </w:pPr>
            <w:r>
              <w:rPr>
                <w:b/>
                <w:color w:val="D1720A"/>
                <w:sz w:val="19"/>
              </w:rPr>
              <w:t xml:space="preserve">• Key Insights: </w:t>
            </w:r>
            <w:r>
              <w:rPr>
                <w:sz w:val="19"/>
              </w:rPr>
              <w:t>Self-contained packaging bundles all 10 participating artifacts (base tables, intermediate transformation views, fact view, and analytic model) in one single file.</w:t>
            </w:r>
          </w:p>
        </w:tc>
      </w:tr>
    </w:tbl>
    <w:p>
      <w:pPr>
        <w:spacing w:after="160"/>
      </w:pPr>
    </w:p>
    <w:tbl>
      <w:tblPr>
        <w:tblW w:type="auto" w:w="0"/>
        <w:jc w:val="center"/>
        <w:tblLook w:firstColumn="1" w:firstRow="1" w:lastColumn="0" w:lastRow="0" w:noHBand="0" w:noVBand="1" w:val="04A0"/>
      </w:tblPr>
      <w:tblGrid>
        <w:gridCol w:w="10080"/>
      </w:tblGrid>
      <w:tr>
        <w:tc>
          <w:tcPr>
            <w:tcW w:type="dxa" w:w="10080"/>
            <w:shd w:fill="FAFCFE"/>
            <w:tcMar>
              <w:top w:w="100" w:type="dxa"/>
              <w:bottom w:w="100" w:type="dxa"/>
              <w:left w:w="150" w:type="dxa"/>
              <w:right w:w="150" w:type="dxa"/>
            </w:tcMar>
            <w:tcBorders>
              <w:top w:val="single" w:sz="6" w:space="0" w:color="0A6ED1"/>
              <w:left w:val="single" w:sz="6" w:space="0" w:color="0A6ED1"/>
              <w:bottom w:val="single" w:sz="6" w:space="0" w:color="0A6ED1"/>
              <w:right w:val="single" w:sz="6" w:space="0" w:color="0A6ED1"/>
            </w:tcBorders>
          </w:tcPr>
          <w:p>
            <w:pPr>
              <w:spacing w:after="80"/>
            </w:pPr>
            <w:r>
              <w:rPr>
                <w:b/>
                <w:color w:val="003366"/>
                <w:sz w:val="22"/>
              </w:rPr>
              <w:t>EVIDENCE 09: SAP Datasphere Data Builder: Import Objects from CSN/JSON Action</w:t>
              <w:br/>
            </w:r>
          </w:p>
          <w:p>
            <w:pPr>
              <w:spacing w:before="80" w:after="120"/>
              <w:jc w:val="center"/>
            </w:pPr>
            <w:r>
              <w:drawing>
                <wp:inline xmlns:a="http://schemas.openxmlformats.org/drawingml/2006/main" xmlns:pic="http://schemas.openxmlformats.org/drawingml/2006/picture">
                  <wp:extent cx="5852160" cy="3121152"/>
                  <wp:docPr id="9" name="Picture 9"/>
                  <wp:cNvGraphicFramePr>
                    <a:graphicFrameLocks noChangeAspect="1"/>
                  </wp:cNvGraphicFramePr>
                  <a:graphic>
                    <a:graphicData uri="http://schemas.openxmlformats.org/drawingml/2006/picture">
                      <pic:pic>
                        <pic:nvPicPr>
                          <pic:cNvPr id="0" name="screenshot_06_35s.png"/>
                          <pic:cNvPicPr/>
                        </pic:nvPicPr>
                        <pic:blipFill>
                          <a:blip r:embed="rId17"/>
                          <a:stretch>
                            <a:fillRect/>
                          </a:stretch>
                        </pic:blipFill>
                        <pic:spPr>
                          <a:xfrm>
                            <a:off x="0" y="0"/>
                            <a:ext cx="5852160" cy="3121152"/>
                          </a:xfrm>
                          <a:prstGeom prst="rect"/>
                        </pic:spPr>
                      </pic:pic>
                    </a:graphicData>
                  </a:graphic>
                </wp:inline>
              </w:drawing>
            </w:r>
          </w:p>
          <w:p>
            <w:pPr>
              <w:spacing w:before="40" w:after="40"/>
            </w:pPr>
            <w:r>
              <w:rPr>
                <w:b/>
                <w:sz w:val="19"/>
              </w:rPr>
              <w:t xml:space="preserve">• What is shown: </w:t>
            </w:r>
            <w:r>
              <w:rPr>
                <w:sz w:val="19"/>
              </w:rPr>
              <w:t>SAP Datasphere web interface in space AIS_Harmonization, navigating to Data Builder -&gt; Import Objects from CSN/JSON File.</w:t>
            </w:r>
          </w:p>
          <w:p>
            <w:pPr>
              <w:spacing w:before="40" w:after="40"/>
            </w:pPr>
            <w:r>
              <w:rPr>
                <w:b/>
                <w:color w:val="D1720A"/>
                <w:sz w:val="19"/>
              </w:rPr>
              <w:t xml:space="preserve">• Key Insights: </w:t>
            </w:r>
            <w:r>
              <w:rPr>
                <w:sz w:val="19"/>
              </w:rPr>
              <w:t>Demonstrates standard, non-intrusive native Datasphere import workflow requiring zero CLI scripting or manual database elevation.</w:t>
            </w:r>
          </w:p>
        </w:tc>
      </w:tr>
    </w:tbl>
    <w:p>
      <w:pPr>
        <w:spacing w:after="160"/>
      </w:pPr>
    </w:p>
    <w:tbl>
      <w:tblPr>
        <w:tblW w:type="auto" w:w="0"/>
        <w:jc w:val="center"/>
        <w:tblLook w:firstColumn="1" w:firstRow="1" w:lastColumn="0" w:lastRow="0" w:noHBand="0" w:noVBand="1" w:val="04A0"/>
      </w:tblPr>
      <w:tblGrid>
        <w:gridCol w:w="10080"/>
      </w:tblGrid>
      <w:tr>
        <w:tc>
          <w:tcPr>
            <w:tcW w:type="dxa" w:w="10080"/>
            <w:shd w:fill="FAFCFE"/>
            <w:tcMar>
              <w:top w:w="100" w:type="dxa"/>
              <w:bottom w:w="100" w:type="dxa"/>
              <w:left w:w="150" w:type="dxa"/>
              <w:right w:w="150" w:type="dxa"/>
            </w:tcMar>
            <w:tcBorders>
              <w:top w:val="single" w:sz="6" w:space="0" w:color="0A6ED1"/>
              <w:left w:val="single" w:sz="6" w:space="0" w:color="0A6ED1"/>
              <w:bottom w:val="single" w:sz="6" w:space="0" w:color="0A6ED1"/>
              <w:right w:val="single" w:sz="6" w:space="0" w:color="0A6ED1"/>
            </w:tcBorders>
          </w:tcPr>
          <w:p>
            <w:pPr>
              <w:spacing w:after="80"/>
            </w:pPr>
            <w:r>
              <w:rPr>
                <w:b/>
                <w:color w:val="003366"/>
                <w:sz w:val="22"/>
              </w:rPr>
              <w:t>EVIDENCE 10: SAP Datasphere: Pre-Import Validation of Multi-Tier Entities</w:t>
              <w:br/>
            </w:r>
          </w:p>
          <w:p>
            <w:pPr>
              <w:spacing w:before="80" w:after="120"/>
              <w:jc w:val="center"/>
            </w:pPr>
            <w:r>
              <w:drawing>
                <wp:inline xmlns:a="http://schemas.openxmlformats.org/drawingml/2006/main" xmlns:pic="http://schemas.openxmlformats.org/drawingml/2006/picture">
                  <wp:extent cx="5852160" cy="3121152"/>
                  <wp:docPr id="10" name="Picture 10"/>
                  <wp:cNvGraphicFramePr>
                    <a:graphicFrameLocks noChangeAspect="1"/>
                  </wp:cNvGraphicFramePr>
                  <a:graphic>
                    <a:graphicData uri="http://schemas.openxmlformats.org/drawingml/2006/picture">
                      <pic:pic>
                        <pic:nvPicPr>
                          <pic:cNvPr id="0" name="screenshot_07_42s.png"/>
                          <pic:cNvPicPr/>
                        </pic:nvPicPr>
                        <pic:blipFill>
                          <a:blip r:embed="rId18"/>
                          <a:stretch>
                            <a:fillRect/>
                          </a:stretch>
                        </pic:blipFill>
                        <pic:spPr>
                          <a:xfrm>
                            <a:off x="0" y="0"/>
                            <a:ext cx="5852160" cy="3121152"/>
                          </a:xfrm>
                          <a:prstGeom prst="rect"/>
                        </pic:spPr>
                      </pic:pic>
                    </a:graphicData>
                  </a:graphic>
                </wp:inline>
              </w:drawing>
            </w:r>
          </w:p>
          <w:p>
            <w:pPr>
              <w:spacing w:before="40" w:after="40"/>
            </w:pPr>
            <w:r>
              <w:rPr>
                <w:b/>
                <w:sz w:val="19"/>
              </w:rPr>
              <w:t xml:space="preserve">• What is shown: </w:t>
            </w:r>
            <w:r>
              <w:rPr>
                <w:sz w:val="19"/>
              </w:rPr>
              <w:t>Datasphere dialog listing all 9 detected entities with Ready to Import status: Local Tables (BNKA, BP1010, CashLinefnt, CV_BANK_TBL, FCLM_BAM_BNKA_BP), Intermediate Views (CV_BANK_JOIN_1_V, CV_BANK_JOIN_2_V, CV_BANK_PROJECTION_1_V), and Analytical Fact View (CV_BANK_V).</w:t>
            </w:r>
          </w:p>
          <w:p>
            <w:pPr>
              <w:spacing w:before="40" w:after="40"/>
            </w:pPr>
            <w:r>
              <w:rPr>
                <w:b/>
                <w:color w:val="D1720A"/>
                <w:sz w:val="19"/>
              </w:rPr>
              <w:t xml:space="preserve">• Key Insights: </w:t>
            </w:r>
            <w:r>
              <w:rPr>
                <w:sz w:val="19"/>
              </w:rPr>
              <w:t>All physical tables and intermediate calculation tiers are recognized simultaneously as first-class space catalog entities.</w:t>
            </w:r>
          </w:p>
        </w:tc>
      </w:tr>
    </w:tbl>
    <w:p>
      <w:pPr>
        <w:spacing w:after="160"/>
      </w:pPr>
    </w:p>
    <w:tbl>
      <w:tblPr>
        <w:tblW w:type="auto" w:w="0"/>
        <w:jc w:val="center"/>
        <w:tblLook w:firstColumn="1" w:firstRow="1" w:lastColumn="0" w:lastRow="0" w:noHBand="0" w:noVBand="1" w:val="04A0"/>
      </w:tblPr>
      <w:tblGrid>
        <w:gridCol w:w="10080"/>
      </w:tblGrid>
      <w:tr>
        <w:tc>
          <w:tcPr>
            <w:tcW w:type="dxa" w:w="10080"/>
            <w:shd w:fill="FAFCFE"/>
            <w:tcMar>
              <w:top w:w="100" w:type="dxa"/>
              <w:bottom w:w="100" w:type="dxa"/>
              <w:left w:w="150" w:type="dxa"/>
              <w:right w:w="150" w:type="dxa"/>
            </w:tcMar>
            <w:tcBorders>
              <w:top w:val="single" w:sz="6" w:space="0" w:color="0A6ED1"/>
              <w:left w:val="single" w:sz="6" w:space="0" w:color="0A6ED1"/>
              <w:bottom w:val="single" w:sz="6" w:space="0" w:color="0A6ED1"/>
              <w:right w:val="single" w:sz="6" w:space="0" w:color="0A6ED1"/>
            </w:tcBorders>
          </w:tcPr>
          <w:p>
            <w:pPr>
              <w:spacing w:after="80"/>
            </w:pPr>
            <w:r>
              <w:rPr>
                <w:b/>
                <w:color w:val="003366"/>
                <w:sz w:val="22"/>
              </w:rPr>
              <w:t>EVIDENCE 11: SAP Datasphere: Import Completed Successfully Banner</w:t>
              <w:br/>
            </w:r>
          </w:p>
          <w:p>
            <w:pPr>
              <w:spacing w:before="80" w:after="120"/>
              <w:jc w:val="center"/>
            </w:pPr>
            <w:r>
              <w:drawing>
                <wp:inline xmlns:a="http://schemas.openxmlformats.org/drawingml/2006/main" xmlns:pic="http://schemas.openxmlformats.org/drawingml/2006/picture">
                  <wp:extent cx="5852160" cy="3121152"/>
                  <wp:docPr id="11" name="Picture 11"/>
                  <wp:cNvGraphicFramePr>
                    <a:graphicFrameLocks noChangeAspect="1"/>
                  </wp:cNvGraphicFramePr>
                  <a:graphic>
                    <a:graphicData uri="http://schemas.openxmlformats.org/drawingml/2006/picture">
                      <pic:pic>
                        <pic:nvPicPr>
                          <pic:cNvPr id="0" name="screenshot_08_50s.png"/>
                          <pic:cNvPicPr/>
                        </pic:nvPicPr>
                        <pic:blipFill>
                          <a:blip r:embed="rId19"/>
                          <a:stretch>
                            <a:fillRect/>
                          </a:stretch>
                        </pic:blipFill>
                        <pic:spPr>
                          <a:xfrm>
                            <a:off x="0" y="0"/>
                            <a:ext cx="5852160" cy="3121152"/>
                          </a:xfrm>
                          <a:prstGeom prst="rect"/>
                        </pic:spPr>
                      </pic:pic>
                    </a:graphicData>
                  </a:graphic>
                </wp:inline>
              </w:drawing>
            </w:r>
          </w:p>
          <w:p>
            <w:pPr>
              <w:spacing w:before="40" w:after="40"/>
            </w:pPr>
            <w:r>
              <w:rPr>
                <w:b/>
                <w:sz w:val="19"/>
              </w:rPr>
              <w:t xml:space="preserve">• What is shown: </w:t>
            </w:r>
            <w:r>
              <w:rPr>
                <w:sz w:val="19"/>
              </w:rPr>
              <w:t>Datasphere confirmation banner: The import of CV_BANK_V_multi_tier_package.csn (2).json completed.</w:t>
            </w:r>
          </w:p>
          <w:p>
            <w:pPr>
              <w:spacing w:before="40" w:after="40"/>
            </w:pPr>
            <w:r>
              <w:rPr>
                <w:b/>
                <w:color w:val="D1720A"/>
                <w:sz w:val="19"/>
              </w:rPr>
              <w:t xml:space="preserve">• Key Insights: </w:t>
            </w:r>
            <w:r>
              <w:rPr>
                <w:sz w:val="19"/>
              </w:rPr>
              <w:t>Validates that all join keys (PARTNER = PARTNR), null-handling calculated fields (RATING, VALID_FROM), and table schemas compiled without any missing object errors.</w:t>
            </w:r>
          </w:p>
        </w:tc>
      </w:tr>
    </w:tbl>
    <w:p>
      <w:pPr>
        <w:spacing w:after="160"/>
      </w:pPr>
    </w:p>
    <w:tbl>
      <w:tblPr>
        <w:tblW w:type="auto" w:w="0"/>
        <w:jc w:val="center"/>
        <w:tblLook w:firstColumn="1" w:firstRow="1" w:lastColumn="0" w:lastRow="0" w:noHBand="0" w:noVBand="1" w:val="04A0"/>
      </w:tblPr>
      <w:tblGrid>
        <w:gridCol w:w="10080"/>
      </w:tblGrid>
      <w:tr>
        <w:tc>
          <w:tcPr>
            <w:tcW w:type="dxa" w:w="10080"/>
            <w:shd w:fill="FAFCFE"/>
            <w:tcMar>
              <w:top w:w="100" w:type="dxa"/>
              <w:bottom w:w="100" w:type="dxa"/>
              <w:left w:w="150" w:type="dxa"/>
              <w:right w:w="150" w:type="dxa"/>
            </w:tcMar>
            <w:tcBorders>
              <w:top w:val="single" w:sz="6" w:space="0" w:color="0A6ED1"/>
              <w:left w:val="single" w:sz="6" w:space="0" w:color="0A6ED1"/>
              <w:bottom w:val="single" w:sz="6" w:space="0" w:color="0A6ED1"/>
              <w:right w:val="single" w:sz="6" w:space="0" w:color="0A6ED1"/>
            </w:tcBorders>
          </w:tcPr>
          <w:p>
            <w:pPr>
              <w:spacing w:after="80"/>
            </w:pPr>
            <w:r>
              <w:rPr>
                <w:b/>
                <w:color w:val="003366"/>
                <w:sz w:val="22"/>
              </w:rPr>
              <w:t>EVIDENCE 12: SAP Datasphere: Opening Deployed CV_BANK_V Fact View</w:t>
              <w:br/>
            </w:r>
          </w:p>
          <w:p>
            <w:pPr>
              <w:spacing w:before="80" w:after="120"/>
              <w:jc w:val="center"/>
            </w:pPr>
            <w:r>
              <w:drawing>
                <wp:inline xmlns:a="http://schemas.openxmlformats.org/drawingml/2006/main" xmlns:pic="http://schemas.openxmlformats.org/drawingml/2006/picture">
                  <wp:extent cx="5852160" cy="3121152"/>
                  <wp:docPr id="12" name="Picture 12"/>
                  <wp:cNvGraphicFramePr>
                    <a:graphicFrameLocks noChangeAspect="1"/>
                  </wp:cNvGraphicFramePr>
                  <a:graphic>
                    <a:graphicData uri="http://schemas.openxmlformats.org/drawingml/2006/picture">
                      <pic:pic>
                        <pic:nvPicPr>
                          <pic:cNvPr id="0" name="screenshot_09_58s.png"/>
                          <pic:cNvPicPr/>
                        </pic:nvPicPr>
                        <pic:blipFill>
                          <a:blip r:embed="rId20"/>
                          <a:stretch>
                            <a:fillRect/>
                          </a:stretch>
                        </pic:blipFill>
                        <pic:spPr>
                          <a:xfrm>
                            <a:off x="0" y="0"/>
                            <a:ext cx="5852160" cy="3121152"/>
                          </a:xfrm>
                          <a:prstGeom prst="rect"/>
                        </pic:spPr>
                      </pic:pic>
                    </a:graphicData>
                  </a:graphic>
                </wp:inline>
              </w:drawing>
            </w:r>
          </w:p>
          <w:p>
            <w:pPr>
              <w:spacing w:before="40" w:after="40"/>
            </w:pPr>
            <w:r>
              <w:rPr>
                <w:b/>
                <w:sz w:val="19"/>
              </w:rPr>
              <w:t xml:space="preserve">• What is shown: </w:t>
            </w:r>
            <w:r>
              <w:rPr>
                <w:sz w:val="19"/>
              </w:rPr>
              <w:t>Navigating directly to the generated CV_BANK_V Fact View inside AIS_Harmonization workspace.</w:t>
            </w:r>
          </w:p>
          <w:p>
            <w:pPr>
              <w:spacing w:before="40" w:after="40"/>
            </w:pPr>
            <w:r>
              <w:rPr>
                <w:b/>
                <w:color w:val="D1720A"/>
                <w:sz w:val="19"/>
              </w:rPr>
              <w:t xml:space="preserve">• Key Insights: </w:t>
            </w:r>
            <w:r>
              <w:rPr>
                <w:sz w:val="19"/>
              </w:rPr>
              <w:t>Seamless transition from import to object inspection in the native web modeler.</w:t>
            </w:r>
          </w:p>
        </w:tc>
      </w:tr>
    </w:tbl>
    <w:p>
      <w:pPr>
        <w:spacing w:after="160"/>
      </w:pPr>
    </w:p>
    <w:tbl>
      <w:tblPr>
        <w:tblW w:type="auto" w:w="0"/>
        <w:jc w:val="center"/>
        <w:tblLook w:firstColumn="1" w:firstRow="1" w:lastColumn="0" w:lastRow="0" w:noHBand="0" w:noVBand="1" w:val="04A0"/>
      </w:tblPr>
      <w:tblGrid>
        <w:gridCol w:w="10080"/>
      </w:tblGrid>
      <w:tr>
        <w:tc>
          <w:tcPr>
            <w:tcW w:type="dxa" w:w="10080"/>
            <w:shd w:fill="FAFCFE"/>
            <w:tcMar>
              <w:top w:w="100" w:type="dxa"/>
              <w:bottom w:w="100" w:type="dxa"/>
              <w:left w:w="150" w:type="dxa"/>
              <w:right w:w="150" w:type="dxa"/>
            </w:tcMar>
            <w:tcBorders>
              <w:top w:val="single" w:sz="6" w:space="0" w:color="0A6ED1"/>
              <w:left w:val="single" w:sz="6" w:space="0" w:color="0A6ED1"/>
              <w:bottom w:val="single" w:sz="6" w:space="0" w:color="0A6ED1"/>
              <w:right w:val="single" w:sz="6" w:space="0" w:color="0A6ED1"/>
            </w:tcBorders>
          </w:tcPr>
          <w:p>
            <w:pPr>
              <w:spacing w:after="80"/>
            </w:pPr>
            <w:r>
              <w:rPr>
                <w:b/>
                <w:color w:val="003366"/>
                <w:sz w:val="22"/>
              </w:rPr>
              <w:t>EVIDENCE 13: SAP Datasphere: Pure SELECT SQL View Editor &amp; Validation</w:t>
              <w:br/>
            </w:r>
          </w:p>
          <w:p>
            <w:pPr>
              <w:spacing w:before="80" w:after="120"/>
              <w:jc w:val="center"/>
            </w:pPr>
            <w:r>
              <w:drawing>
                <wp:inline xmlns:a="http://schemas.openxmlformats.org/drawingml/2006/main" xmlns:pic="http://schemas.openxmlformats.org/drawingml/2006/picture">
                  <wp:extent cx="5852160" cy="3121152"/>
                  <wp:docPr id="13" name="Picture 13"/>
                  <wp:cNvGraphicFramePr>
                    <a:graphicFrameLocks noChangeAspect="1"/>
                  </wp:cNvGraphicFramePr>
                  <a:graphic>
                    <a:graphicData uri="http://schemas.openxmlformats.org/drawingml/2006/picture">
                      <pic:pic>
                        <pic:nvPicPr>
                          <pic:cNvPr id="0" name="screenshot_10_65s.png"/>
                          <pic:cNvPicPr/>
                        </pic:nvPicPr>
                        <pic:blipFill>
                          <a:blip r:embed="rId21"/>
                          <a:stretch>
                            <a:fillRect/>
                          </a:stretch>
                        </pic:blipFill>
                        <pic:spPr>
                          <a:xfrm>
                            <a:off x="0" y="0"/>
                            <a:ext cx="5852160" cy="3121152"/>
                          </a:xfrm>
                          <a:prstGeom prst="rect"/>
                        </pic:spPr>
                      </pic:pic>
                    </a:graphicData>
                  </a:graphic>
                </wp:inline>
              </w:drawing>
            </w:r>
          </w:p>
          <w:p>
            <w:pPr>
              <w:spacing w:before="40" w:after="40"/>
            </w:pPr>
            <w:r>
              <w:rPr>
                <w:b/>
                <w:sz w:val="19"/>
              </w:rPr>
              <w:t xml:space="preserve">• What is shown: </w:t>
            </w:r>
            <w:r>
              <w:rPr>
                <w:sz w:val="19"/>
              </w:rPr>
              <w:t>The Datasphere SQL View Editor displaying the clean SELECT ... FROM "CV_BANK_JOIN_2_V" UNION ALL SELECT ... FROM "CV_BANK_PROJECTION_1_V". Green validation shield displays indicating 100% grammar compliance and zero syntax errors.</w:t>
            </w:r>
          </w:p>
          <w:p>
            <w:pPr>
              <w:spacing w:before="40" w:after="40"/>
            </w:pPr>
            <w:r>
              <w:rPr>
                <w:b/>
                <w:color w:val="D1720A"/>
                <w:sz w:val="19"/>
              </w:rPr>
              <w:t xml:space="preserve">• Key Insights: </w:t>
            </w:r>
            <w:r>
              <w:rPr>
                <w:sz w:val="19"/>
              </w:rPr>
              <w:t>Demonstrates complete adherence to Datasphere SQL grammar (pure top-level SELECT, zero disallowed WITH CTEs).</w:t>
            </w:r>
          </w:p>
        </w:tc>
      </w:tr>
    </w:tbl>
    <w:p>
      <w:pPr>
        <w:spacing w:after="160"/>
      </w:pPr>
    </w:p>
    <w:tbl>
      <w:tblPr>
        <w:tblW w:type="auto" w:w="0"/>
        <w:jc w:val="center"/>
        <w:tblLook w:firstColumn="1" w:firstRow="1" w:lastColumn="0" w:lastRow="0" w:noHBand="0" w:noVBand="1" w:val="04A0"/>
      </w:tblPr>
      <w:tblGrid>
        <w:gridCol w:w="10080"/>
      </w:tblGrid>
      <w:tr>
        <w:tc>
          <w:tcPr>
            <w:tcW w:type="dxa" w:w="10080"/>
            <w:shd w:fill="FAFCFE"/>
            <w:tcMar>
              <w:top w:w="100" w:type="dxa"/>
              <w:bottom w:w="100" w:type="dxa"/>
              <w:left w:w="150" w:type="dxa"/>
              <w:right w:w="150" w:type="dxa"/>
            </w:tcMar>
            <w:tcBorders>
              <w:top w:val="single" w:sz="6" w:space="0" w:color="0A6ED1"/>
              <w:left w:val="single" w:sz="6" w:space="0" w:color="0A6ED1"/>
              <w:bottom w:val="single" w:sz="6" w:space="0" w:color="0A6ED1"/>
              <w:right w:val="single" w:sz="6" w:space="0" w:color="0A6ED1"/>
            </w:tcBorders>
          </w:tcPr>
          <w:p>
            <w:pPr>
              <w:spacing w:after="80"/>
            </w:pPr>
            <w:r>
              <w:rPr>
                <w:b/>
                <w:color w:val="003366"/>
                <w:sz w:val="22"/>
              </w:rPr>
              <w:t>EVIDENCE 14: SAP Datasphere: Visual Lineage Parity Verification (Side-by-Side)</w:t>
              <w:br/>
            </w:r>
          </w:p>
          <w:p>
            <w:pPr>
              <w:spacing w:before="80" w:after="120"/>
              <w:jc w:val="center"/>
            </w:pPr>
            <w:r>
              <w:drawing>
                <wp:inline xmlns:a="http://schemas.openxmlformats.org/drawingml/2006/main" xmlns:pic="http://schemas.openxmlformats.org/drawingml/2006/picture">
                  <wp:extent cx="5852160" cy="3121152"/>
                  <wp:docPr id="14" name="Picture 14"/>
                  <wp:cNvGraphicFramePr>
                    <a:graphicFrameLocks noChangeAspect="1"/>
                  </wp:cNvGraphicFramePr>
                  <a:graphic>
                    <a:graphicData uri="http://schemas.openxmlformats.org/drawingml/2006/picture">
                      <pic:pic>
                        <pic:nvPicPr>
                          <pic:cNvPr id="0" name="screenshot_11_70s.png"/>
                          <pic:cNvPicPr/>
                        </pic:nvPicPr>
                        <pic:blipFill>
                          <a:blip r:embed="rId22"/>
                          <a:stretch>
                            <a:fillRect/>
                          </a:stretch>
                        </pic:blipFill>
                        <pic:spPr>
                          <a:xfrm>
                            <a:off x="0" y="0"/>
                            <a:ext cx="5852160" cy="3121152"/>
                          </a:xfrm>
                          <a:prstGeom prst="rect"/>
                        </pic:spPr>
                      </pic:pic>
                    </a:graphicData>
                  </a:graphic>
                </wp:inline>
              </w:drawing>
            </w:r>
          </w:p>
          <w:p>
            <w:pPr>
              <w:spacing w:before="40" w:after="40"/>
            </w:pPr>
            <w:r>
              <w:rPr>
                <w:b/>
                <w:sz w:val="19"/>
              </w:rPr>
              <w:t xml:space="preserve">• What is shown: </w:t>
            </w:r>
            <w:r>
              <w:rPr>
                <w:sz w:val="19"/>
              </w:rPr>
              <w:t>Datasphere Impact and Lineage Analysis displaying the complete multi-tier DAG: BNKA + FCLM_BAM_BNKA_BP -&gt; Join_1 (CV_BANK_JOIN_1_V), CV_BANK_JOIN_1_V + BP1010 -&gt; Join_2 (CV_BANK_JOIN_2_V), CashLinefnt -&gt; Projection_1 (CV_BANK_PROJECTION_1_V), and CV_BANK_JOIN_2_V + CV_BANK_PROJECTION_1_V -&gt; CV_BANK_V. An Eclipse thumbnail is overlaid directly on screen confirming identical visual geometry.</w:t>
            </w:r>
          </w:p>
          <w:p>
            <w:pPr>
              <w:spacing w:before="40" w:after="40"/>
            </w:pPr>
            <w:r>
              <w:rPr>
                <w:b/>
                <w:color w:val="D1720A"/>
                <w:sz w:val="19"/>
              </w:rPr>
              <w:t xml:space="preserve">• Key Insights: </w:t>
            </w:r>
            <w:r>
              <w:rPr>
                <w:sz w:val="19"/>
              </w:rPr>
              <w:t>Proves 100% architectural and visual parity between SAP HANA Studio and SAP Datasphere.</w:t>
            </w:r>
          </w:p>
        </w:tc>
      </w:tr>
    </w:tbl>
    <w:p>
      <w:pPr>
        <w:spacing w:after="160"/>
      </w:pPr>
    </w:p>
    <w:tbl>
      <w:tblPr>
        <w:tblW w:type="auto" w:w="0"/>
        <w:jc w:val="center"/>
        <w:tblLook w:firstColumn="1" w:firstRow="1" w:lastColumn="0" w:lastRow="0" w:noHBand="0" w:noVBand="1" w:val="04A0"/>
      </w:tblPr>
      <w:tblGrid>
        <w:gridCol w:w="10080"/>
      </w:tblGrid>
      <w:tr>
        <w:tc>
          <w:tcPr>
            <w:tcW w:type="dxa" w:w="10080"/>
            <w:shd w:fill="FAFCFE"/>
            <w:tcMar>
              <w:top w:w="100" w:type="dxa"/>
              <w:bottom w:w="100" w:type="dxa"/>
              <w:left w:w="150" w:type="dxa"/>
              <w:right w:w="150" w:type="dxa"/>
            </w:tcMar>
            <w:tcBorders>
              <w:top w:val="single" w:sz="6" w:space="0" w:color="0A6ED1"/>
              <w:left w:val="single" w:sz="6" w:space="0" w:color="0A6ED1"/>
              <w:bottom w:val="single" w:sz="6" w:space="0" w:color="0A6ED1"/>
              <w:right w:val="single" w:sz="6" w:space="0" w:color="0A6ED1"/>
            </w:tcBorders>
          </w:tcPr>
          <w:p>
            <w:pPr>
              <w:spacing w:after="80"/>
            </w:pPr>
            <w:r>
              <w:rPr>
                <w:b/>
                <w:color w:val="003366"/>
                <w:sz w:val="22"/>
              </w:rPr>
              <w:t>EVIDENCE 15: SAP Datasphere: Fullscreen Enterprise Lineage Graph</w:t>
              <w:br/>
            </w:r>
          </w:p>
          <w:p>
            <w:pPr>
              <w:spacing w:before="80" w:after="120"/>
              <w:jc w:val="center"/>
            </w:pPr>
            <w:r>
              <w:drawing>
                <wp:inline xmlns:a="http://schemas.openxmlformats.org/drawingml/2006/main" xmlns:pic="http://schemas.openxmlformats.org/drawingml/2006/picture">
                  <wp:extent cx="5852160" cy="3121152"/>
                  <wp:docPr id="15" name="Picture 15"/>
                  <wp:cNvGraphicFramePr>
                    <a:graphicFrameLocks noChangeAspect="1"/>
                  </wp:cNvGraphicFramePr>
                  <a:graphic>
                    <a:graphicData uri="http://schemas.openxmlformats.org/drawingml/2006/picture">
                      <pic:pic>
                        <pic:nvPicPr>
                          <pic:cNvPr id="0" name="screenshot_12_73s.png"/>
                          <pic:cNvPicPr/>
                        </pic:nvPicPr>
                        <pic:blipFill>
                          <a:blip r:embed="rId23"/>
                          <a:stretch>
                            <a:fillRect/>
                          </a:stretch>
                        </pic:blipFill>
                        <pic:spPr>
                          <a:xfrm>
                            <a:off x="0" y="0"/>
                            <a:ext cx="5852160" cy="3121152"/>
                          </a:xfrm>
                          <a:prstGeom prst="rect"/>
                        </pic:spPr>
                      </pic:pic>
                    </a:graphicData>
                  </a:graphic>
                </wp:inline>
              </w:drawing>
            </w:r>
          </w:p>
          <w:p>
            <w:pPr>
              <w:spacing w:before="40" w:after="40"/>
            </w:pPr>
            <w:r>
              <w:rPr>
                <w:b/>
                <w:sz w:val="19"/>
              </w:rPr>
              <w:t xml:space="preserve">• What is shown: </w:t>
            </w:r>
            <w:r>
              <w:rPr>
                <w:sz w:val="19"/>
              </w:rPr>
              <w:t>Full unobstructed view of the 8-object lineage graph inside space AIS_Harmonization, showing clean Left-Right dependency flow, column counts on each node (7, 5, 3, 20, 9, 13, 20, 11), and end-to-end data provenance.</w:t>
            </w:r>
          </w:p>
          <w:p>
            <w:pPr>
              <w:spacing w:before="40" w:after="40"/>
            </w:pPr>
            <w:r>
              <w:rPr>
                <w:b/>
                <w:color w:val="D1720A"/>
                <w:sz w:val="19"/>
              </w:rPr>
              <w:t xml:space="preserve">• Key Insights: </w:t>
            </w:r>
            <w:r>
              <w:rPr>
                <w:sz w:val="19"/>
              </w:rPr>
              <w:t>Production-ready governance and impact analysis ready for immediate deployment and consumption in SAP Analytics Cloud.</w:t>
            </w:r>
          </w:p>
        </w:tc>
      </w:tr>
    </w:tbl>
    <w:p>
      <w:pPr>
        <w:spacing w:after="160"/>
      </w:pPr>
    </w:p>
    <w:p>
      <w:pPr>
        <w:keepNext/>
        <w:spacing w:before="320" w:after="120"/>
        <w:pBdr>
          <w:bottom w:val="single" w:sz="12" w:space="4" w:color="0A6ED1"/>
        </w:pBdr>
      </w:pPr>
      <w:r>
        <w:rPr>
          <w:b/>
          <w:color w:val="D1720A"/>
          <w:sz w:val="28"/>
        </w:rPr>
        <w:t xml:space="preserve">6. </w:t>
      </w:r>
      <w:r>
        <w:rPr>
          <w:b/>
          <w:color w:val="003366"/>
          <w:sz w:val="28"/>
        </w:rPr>
        <w:t>SAP HUB ASSET INFORMATION</w:t>
      </w:r>
    </w:p>
    <w:tbl>
      <w:tblPr>
        <w:tblW w:type="auto" w:w="0"/>
        <w:jc w:val="center"/>
        <w:tblLook w:firstColumn="1" w:firstRow="1" w:lastColumn="0" w:lastRow="0" w:noHBand="0" w:noVBand="1" w:val="04A0"/>
      </w:tblPr>
      <w:tblGrid>
        <w:gridCol w:w="5040"/>
        <w:gridCol w:w="5040"/>
      </w:tblGrid>
      <w:tr>
        <w:tc>
          <w:tcPr>
            <w:tcW w:type="dxa" w:w="3168"/>
            <w:shd w:fill="EBF3FA"/>
            <w:tcMar>
              <w:top w:w="80" w:type="dxa"/>
              <w:bottom w:w="80" w:type="dxa"/>
              <w:left w:w="120" w:type="dxa"/>
              <w:right w:w="120" w:type="dxa"/>
            </w:tcMar>
            <w:tcBorders>
              <w:bottom w:val="single" w:sz="4" w:space="0" w:color="D0DCE5"/>
              <w:right w:val="single" w:sz="4" w:space="0" w:color="D0DCE5"/>
            </w:tcBorders>
          </w:tcPr>
          <w:p>
            <w:r>
              <w:rPr>
                <w:b/>
                <w:color w:val="003366"/>
                <w:sz w:val="20"/>
              </w:rPr>
              <w:t>Industry</w:t>
            </w:r>
          </w:p>
        </w:tc>
        <w:tc>
          <w:tcPr>
            <w:tcW w:type="dxa" w:w="6912"/>
            <w:shd w:fill="FAFCFE"/>
            <w:tcMar>
              <w:top w:w="80" w:type="dxa"/>
              <w:bottom w:w="80" w:type="dxa"/>
              <w:left w:w="120" w:type="dxa"/>
              <w:right w:w="120" w:type="dxa"/>
            </w:tcMar>
            <w:tcBorders>
              <w:bottom w:val="single" w:sz="4" w:space="0" w:color="D0DCE5"/>
            </w:tcBorders>
          </w:tcPr>
          <w:p>
            <w:r>
              <w:rPr>
                <w:sz w:val="20"/>
              </w:rPr>
              <w:t>Cross-Industry (Banking, Financial Services, Manufacturing, Consumer Products, Retail)</w:t>
            </w:r>
          </w:p>
        </w:tc>
      </w:tr>
      <w:tr>
        <w:tc>
          <w:tcPr>
            <w:tcW w:type="dxa" w:w="3168"/>
            <w:shd w:fill="EBF3FA"/>
            <w:tcMar>
              <w:top w:w="80" w:type="dxa"/>
              <w:bottom w:w="80" w:type="dxa"/>
              <w:left w:w="120" w:type="dxa"/>
              <w:right w:w="120" w:type="dxa"/>
            </w:tcMar>
            <w:tcBorders>
              <w:bottom w:val="single" w:sz="4" w:space="0" w:color="D0DCE5"/>
              <w:right w:val="single" w:sz="4" w:space="0" w:color="D0DCE5"/>
            </w:tcBorders>
          </w:tcPr>
          <w:p>
            <w:r>
              <w:rPr>
                <w:b/>
                <w:color w:val="003366"/>
                <w:sz w:val="20"/>
              </w:rPr>
              <w:t>Line of Business</w:t>
            </w:r>
          </w:p>
        </w:tc>
        <w:tc>
          <w:tcPr>
            <w:tcW w:type="dxa" w:w="6912"/>
            <w:shd w:fill="FFFFFF"/>
            <w:tcMar>
              <w:top w:w="80" w:type="dxa"/>
              <w:bottom w:w="80" w:type="dxa"/>
              <w:left w:w="120" w:type="dxa"/>
              <w:right w:w="120" w:type="dxa"/>
            </w:tcMar>
            <w:tcBorders>
              <w:bottom w:val="single" w:sz="4" w:space="0" w:color="D0DCE5"/>
            </w:tcBorders>
          </w:tcPr>
          <w:p>
            <w:r>
              <w:rPr>
                <w:sz w:val="20"/>
              </w:rPr>
              <w:t>Finance, Cash &amp; Treasury Management, IT &amp; Enterprise Data Architecture</w:t>
            </w:r>
          </w:p>
        </w:tc>
      </w:tr>
      <w:tr>
        <w:tc>
          <w:tcPr>
            <w:tcW w:type="dxa" w:w="3168"/>
            <w:shd w:fill="EBF3FA"/>
            <w:tcMar>
              <w:top w:w="80" w:type="dxa"/>
              <w:bottom w:w="80" w:type="dxa"/>
              <w:left w:w="120" w:type="dxa"/>
              <w:right w:w="120" w:type="dxa"/>
            </w:tcMar>
            <w:tcBorders>
              <w:bottom w:val="single" w:sz="4" w:space="0" w:color="D0DCE5"/>
              <w:right w:val="single" w:sz="4" w:space="0" w:color="D0DCE5"/>
            </w:tcBorders>
          </w:tcPr>
          <w:p>
            <w:r>
              <w:rPr>
                <w:b/>
                <w:color w:val="003366"/>
                <w:sz w:val="20"/>
              </w:rPr>
              <w:t>SAP Products Used</w:t>
            </w:r>
          </w:p>
        </w:tc>
        <w:tc>
          <w:tcPr>
            <w:tcW w:type="dxa" w:w="6912"/>
            <w:shd w:fill="FAFCFE"/>
            <w:tcMar>
              <w:top w:w="80" w:type="dxa"/>
              <w:bottom w:w="80" w:type="dxa"/>
              <w:left w:w="120" w:type="dxa"/>
              <w:right w:w="120" w:type="dxa"/>
            </w:tcMar>
            <w:tcBorders>
              <w:bottom w:val="single" w:sz="4" w:space="0" w:color="D0DCE5"/>
            </w:tcBorders>
          </w:tcPr>
          <w:p>
            <w:r>
              <w:rPr>
                <w:sz w:val="20"/>
              </w:rPr>
              <w:t>• SAP Datasphere (Data Builder, Impact &amp; Lineage Analysis, Business Builder)</w:t>
            </w:r>
            <w:r>
              <w:br/>
            </w:r>
            <w:r>
              <w:rPr>
                <w:sz w:val="20"/>
              </w:rPr>
              <w:t>• SAP S/4HANA &amp; SAP HANA 2.0 (Calculation Views, _SYS_REPO, Core Data Services)</w:t>
            </w:r>
            <w:r>
              <w:br/>
            </w:r>
            <w:r>
              <w:rPr>
                <w:sz w:val="20"/>
              </w:rPr>
              <w:t>• SAP Analytics Cloud (SAC Consumption Models)</w:t>
            </w:r>
            <w:r>
              <w:br/>
            </w:r>
            <w:r>
              <w:rPr>
                <w:sz w:val="20"/>
              </w:rPr>
              <w:t>• SAP Cloud Application Programming (CAP) Model &amp; SAPUI5</w:t>
            </w:r>
          </w:p>
        </w:tc>
      </w:tr>
      <w:tr>
        <w:tc>
          <w:tcPr>
            <w:tcW w:type="dxa" w:w="3168"/>
            <w:shd w:fill="EBF3FA"/>
            <w:tcMar>
              <w:top w:w="80" w:type="dxa"/>
              <w:bottom w:w="80" w:type="dxa"/>
              <w:left w:w="120" w:type="dxa"/>
              <w:right w:w="120" w:type="dxa"/>
            </w:tcMar>
            <w:tcBorders>
              <w:bottom w:val="single" w:sz="4" w:space="0" w:color="D0DCE5"/>
              <w:right w:val="single" w:sz="4" w:space="0" w:color="D0DCE5"/>
            </w:tcBorders>
          </w:tcPr>
          <w:p>
            <w:r>
              <w:rPr>
                <w:b/>
                <w:color w:val="003366"/>
                <w:sz w:val="20"/>
              </w:rPr>
              <w:t>Demo Availability</w:t>
            </w:r>
          </w:p>
        </w:tc>
        <w:tc>
          <w:tcPr>
            <w:tcW w:type="dxa" w:w="6912"/>
            <w:shd w:fill="FFFFFF"/>
            <w:tcMar>
              <w:top w:w="80" w:type="dxa"/>
              <w:bottom w:w="80" w:type="dxa"/>
              <w:left w:w="120" w:type="dxa"/>
              <w:right w:w="120" w:type="dxa"/>
            </w:tcMar>
            <w:tcBorders>
              <w:bottom w:val="single" w:sz="4" w:space="0" w:color="D0DCE5"/>
            </w:tcBorders>
          </w:tcPr>
          <w:p>
            <w:r>
              <w:rPr>
                <w:sz w:val="20"/>
              </w:rPr>
              <w:t>Yes (Automated live migration demonstration available on local port 4004)</w:t>
            </w:r>
          </w:p>
        </w:tc>
      </w:tr>
      <w:tr>
        <w:tc>
          <w:tcPr>
            <w:tcW w:type="dxa" w:w="3168"/>
            <w:shd w:fill="EBF3FA"/>
            <w:tcMar>
              <w:top w:w="80" w:type="dxa"/>
              <w:bottom w:w="80" w:type="dxa"/>
              <w:left w:w="120" w:type="dxa"/>
              <w:right w:w="120" w:type="dxa"/>
            </w:tcMar>
            <w:tcBorders>
              <w:bottom w:val="single" w:sz="4" w:space="0" w:color="D0DCE5"/>
              <w:right w:val="single" w:sz="4" w:space="0" w:color="D0DCE5"/>
            </w:tcBorders>
          </w:tcPr>
          <w:p>
            <w:r>
              <w:rPr>
                <w:b/>
                <w:color w:val="003366"/>
                <w:sz w:val="20"/>
              </w:rPr>
              <w:t>Video Available</w:t>
            </w:r>
          </w:p>
        </w:tc>
        <w:tc>
          <w:tcPr>
            <w:tcW w:type="dxa" w:w="6912"/>
            <w:shd w:fill="FAFCFE"/>
            <w:tcMar>
              <w:top w:w="80" w:type="dxa"/>
              <w:bottom w:w="80" w:type="dxa"/>
              <w:left w:w="120" w:type="dxa"/>
              <w:right w:w="120" w:type="dxa"/>
            </w:tcMar>
            <w:tcBorders>
              <w:bottom w:val="single" w:sz="4" w:space="0" w:color="D0DCE5"/>
            </w:tcBorders>
          </w:tcPr>
          <w:p>
            <w:r>
              <w:rPr>
                <w:sz w:val="20"/>
              </w:rPr>
              <w:t>Yes (Screen Recording 2026-10-30 111546.mp4 — 74s full E2E walkthrough)</w:t>
            </w:r>
          </w:p>
        </w:tc>
      </w:tr>
      <w:tr>
        <w:tc>
          <w:tcPr>
            <w:tcW w:type="dxa" w:w="3168"/>
            <w:shd w:fill="EBF3FA"/>
            <w:tcMar>
              <w:top w:w="80" w:type="dxa"/>
              <w:bottom w:w="80" w:type="dxa"/>
              <w:left w:w="120" w:type="dxa"/>
              <w:right w:w="120" w:type="dxa"/>
            </w:tcMar>
            <w:tcBorders>
              <w:bottom w:val="single" w:sz="4" w:space="0" w:color="D0DCE5"/>
              <w:right w:val="single" w:sz="4" w:space="0" w:color="D0DCE5"/>
            </w:tcBorders>
          </w:tcPr>
          <w:p>
            <w:r>
              <w:rPr>
                <w:b/>
                <w:color w:val="003366"/>
                <w:sz w:val="20"/>
              </w:rPr>
              <w:t>Documentation Available</w:t>
            </w:r>
          </w:p>
        </w:tc>
        <w:tc>
          <w:tcPr>
            <w:tcW w:type="dxa" w:w="6912"/>
            <w:shd w:fill="FFFFFF"/>
            <w:tcMar>
              <w:top w:w="80" w:type="dxa"/>
              <w:bottom w:w="80" w:type="dxa"/>
              <w:left w:w="120" w:type="dxa"/>
              <w:right w:w="120" w:type="dxa"/>
            </w:tcMar>
            <w:tcBorders>
              <w:bottom w:val="single" w:sz="4" w:space="0" w:color="D0DCE5"/>
            </w:tcBorders>
          </w:tcPr>
          <w:p>
            <w:r>
              <w:rPr>
                <w:sz w:val="20"/>
              </w:rPr>
              <w:t>Yes (Complete architectural blueprints, CSN schemas, and verified test suites included in codebase)</w:t>
            </w:r>
          </w:p>
        </w:tc>
      </w:tr>
    </w:tbl>
    <w:p>
      <w:pPr>
        <w:keepNext/>
        <w:spacing w:before="320" w:after="120"/>
        <w:pBdr>
          <w:bottom w:val="single" w:sz="12" w:space="4" w:color="0A6ED1"/>
        </w:pBdr>
      </w:pPr>
      <w:r>
        <w:rPr>
          <w:b/>
          <w:color w:val="D1720A"/>
          <w:sz w:val="28"/>
        </w:rPr>
        <w:t xml:space="preserve">7. </w:t>
      </w:r>
      <w:r>
        <w:rPr>
          <w:b/>
          <w:color w:val="003366"/>
          <w:sz w:val="28"/>
        </w:rPr>
        <w:t>ARCHITECTURAL ALIGNMENT SUMMARY TABLE</w:t>
      </w:r>
    </w:p>
    <w:tbl>
      <w:tblPr>
        <w:tblW w:type="auto" w:w="0"/>
        <w:jc w:val="center"/>
        <w:tblLook w:firstColumn="1" w:firstRow="1" w:lastColumn="0" w:lastRow="0" w:noHBand="0" w:noVBand="1" w:val="04A0"/>
      </w:tblPr>
      <w:tblGrid>
        <w:gridCol w:w="2520"/>
        <w:gridCol w:w="2520"/>
        <w:gridCol w:w="2520"/>
        <w:gridCol w:w="2520"/>
      </w:tblGrid>
      <w:tr>
        <w:tc>
          <w:tcPr>
            <w:tcW w:type="dxa" w:w="1728"/>
            <w:shd w:fill="003366"/>
            <w:tcMar>
              <w:top w:w="80" w:type="dxa"/>
              <w:bottom w:w="80" w:type="dxa"/>
              <w:left w:w="100" w:type="dxa"/>
              <w:right w:w="100" w:type="dxa"/>
            </w:tcMar>
          </w:tcPr>
          <w:p>
            <w:r>
              <w:rPr>
                <w:b/>
                <w:color w:val="FFFFFF"/>
                <w:sz w:val="19"/>
              </w:rPr>
              <w:t>Pipeline Layer</w:t>
            </w:r>
          </w:p>
        </w:tc>
        <w:tc>
          <w:tcPr>
            <w:tcW w:type="dxa" w:w="3168"/>
            <w:shd w:fill="003366"/>
            <w:tcMar>
              <w:top w:w="80" w:type="dxa"/>
              <w:bottom w:w="80" w:type="dxa"/>
              <w:left w:w="100" w:type="dxa"/>
              <w:right w:w="100" w:type="dxa"/>
            </w:tcMar>
          </w:tcPr>
          <w:p>
            <w:r>
              <w:rPr>
                <w:b/>
                <w:color w:val="FFFFFF"/>
                <w:sz w:val="19"/>
              </w:rPr>
              <w:t>HANA Studio / Eclipse Architecture</w:t>
            </w:r>
          </w:p>
        </w:tc>
        <w:tc>
          <w:tcPr>
            <w:tcW w:type="dxa" w:w="2592"/>
            <w:shd w:fill="003366"/>
            <w:tcMar>
              <w:top w:w="80" w:type="dxa"/>
              <w:bottom w:w="80" w:type="dxa"/>
              <w:left w:w="100" w:type="dxa"/>
              <w:right w:w="100" w:type="dxa"/>
            </w:tcMar>
          </w:tcPr>
          <w:p>
            <w:r>
              <w:rPr>
                <w:b/>
                <w:color w:val="FFFFFF"/>
                <w:sz w:val="19"/>
              </w:rPr>
              <w:t>HanaMorph Datasphere Object</w:t>
            </w:r>
          </w:p>
        </w:tc>
        <w:tc>
          <w:tcPr>
            <w:tcW w:type="dxa" w:w="2592"/>
            <w:shd w:fill="003366"/>
            <w:tcMar>
              <w:top w:w="80" w:type="dxa"/>
              <w:bottom w:w="80" w:type="dxa"/>
              <w:left w:w="100" w:type="dxa"/>
              <w:right w:w="100" w:type="dxa"/>
            </w:tcMar>
          </w:tcPr>
          <w:p>
            <w:r>
              <w:rPr>
                <w:b/>
                <w:color w:val="FFFFFF"/>
                <w:sz w:val="19"/>
              </w:rPr>
              <w:t>Datasphere Semantic Role</w:t>
            </w:r>
          </w:p>
        </w:tc>
      </w:tr>
      <w:tr>
        <w:tc>
          <w:tcPr>
            <w:tcW w:type="dxa" w:w="1728"/>
            <w:shd w:fill="FFFFFF"/>
            <w:tcMar>
              <w:top w:w="60" w:type="dxa"/>
              <w:bottom w:w="60" w:type="dxa"/>
              <w:left w:w="100" w:type="dxa"/>
              <w:right w:w="100" w:type="dxa"/>
            </w:tcMar>
            <w:tcBorders>
              <w:bottom w:val="single" w:sz="4" w:space="0" w:color="D8E2EC"/>
            </w:tcBorders>
          </w:tcPr>
          <w:p>
            <w:r>
              <w:rPr>
                <w:b/>
                <w:color w:val="003366"/>
                <w:sz w:val="18"/>
              </w:rPr>
              <w:t>Physical Table 1</w:t>
            </w:r>
          </w:p>
        </w:tc>
        <w:tc>
          <w:tcPr>
            <w:tcW w:type="dxa" w:w="3168"/>
            <w:shd w:fill="FFFFFF"/>
            <w:tcMar>
              <w:top w:w="60" w:type="dxa"/>
              <w:bottom w:w="60" w:type="dxa"/>
              <w:left w:w="100" w:type="dxa"/>
              <w:right w:w="100" w:type="dxa"/>
            </w:tcMar>
            <w:tcBorders>
              <w:bottom w:val="single" w:sz="4" w:space="0" w:color="D8E2EC"/>
            </w:tcBorders>
          </w:tcPr>
          <w:p>
            <w:r>
              <w:rPr>
                <w:sz w:val="18"/>
              </w:rPr>
              <w:t>BNKA (Bank Master Table)</w:t>
            </w:r>
          </w:p>
        </w:tc>
        <w:tc>
          <w:tcPr>
            <w:tcW w:type="dxa" w:w="2592"/>
            <w:shd w:fill="FFFFFF"/>
            <w:tcMar>
              <w:top w:w="60" w:type="dxa"/>
              <w:bottom w:w="60" w:type="dxa"/>
              <w:left w:w="100" w:type="dxa"/>
              <w:right w:w="100" w:type="dxa"/>
            </w:tcMar>
            <w:tcBorders>
              <w:bottom w:val="single" w:sz="4" w:space="0" w:color="D8E2EC"/>
            </w:tcBorders>
          </w:tcPr>
          <w:p>
            <w:r>
              <w:rPr>
                <w:sz w:val="18"/>
              </w:rPr>
              <w:t>BNKA Physical Table</w:t>
            </w:r>
          </w:p>
        </w:tc>
        <w:tc>
          <w:tcPr>
            <w:tcW w:type="dxa" w:w="2592"/>
            <w:shd w:fill="FFFFFF"/>
            <w:tcMar>
              <w:top w:w="60" w:type="dxa"/>
              <w:bottom w:w="60" w:type="dxa"/>
              <w:left w:w="100" w:type="dxa"/>
              <w:right w:w="100" w:type="dxa"/>
            </w:tcMar>
            <w:tcBorders>
              <w:bottom w:val="single" w:sz="4" w:space="0" w:color="D8E2EC"/>
            </w:tcBorders>
          </w:tcPr>
          <w:p>
            <w:r>
              <w:rPr>
                <w:sz w:val="18"/>
              </w:rPr>
              <w:t>Local Table (7 Elements)</w:t>
            </w:r>
          </w:p>
        </w:tc>
      </w:tr>
      <w:tr>
        <w:tc>
          <w:tcPr>
            <w:tcW w:type="dxa" w:w="1728"/>
            <w:shd w:fill="F4F7FA"/>
            <w:tcMar>
              <w:top w:w="60" w:type="dxa"/>
              <w:bottom w:w="60" w:type="dxa"/>
              <w:left w:w="100" w:type="dxa"/>
              <w:right w:w="100" w:type="dxa"/>
            </w:tcMar>
            <w:tcBorders>
              <w:bottom w:val="single" w:sz="4" w:space="0" w:color="D8E2EC"/>
            </w:tcBorders>
          </w:tcPr>
          <w:p>
            <w:r>
              <w:rPr>
                <w:b/>
                <w:color w:val="003366"/>
                <w:sz w:val="18"/>
              </w:rPr>
              <w:t>Physical Table 2</w:t>
            </w:r>
          </w:p>
        </w:tc>
        <w:tc>
          <w:tcPr>
            <w:tcW w:type="dxa" w:w="3168"/>
            <w:shd w:fill="F4F7FA"/>
            <w:tcMar>
              <w:top w:w="60" w:type="dxa"/>
              <w:bottom w:w="60" w:type="dxa"/>
              <w:left w:w="100" w:type="dxa"/>
              <w:right w:w="100" w:type="dxa"/>
            </w:tcMar>
            <w:tcBorders>
              <w:bottom w:val="single" w:sz="4" w:space="0" w:color="D8E2EC"/>
            </w:tcBorders>
          </w:tcPr>
          <w:p>
            <w:r>
              <w:rPr>
                <w:sz w:val="18"/>
              </w:rPr>
              <w:t>FCLM_BAM_BNKA_BP (Bank Partner Mapping)</w:t>
            </w:r>
          </w:p>
        </w:tc>
        <w:tc>
          <w:tcPr>
            <w:tcW w:type="dxa" w:w="2592"/>
            <w:shd w:fill="F4F7FA"/>
            <w:tcMar>
              <w:top w:w="60" w:type="dxa"/>
              <w:bottom w:w="60" w:type="dxa"/>
              <w:left w:w="100" w:type="dxa"/>
              <w:right w:w="100" w:type="dxa"/>
            </w:tcMar>
            <w:tcBorders>
              <w:bottom w:val="single" w:sz="4" w:space="0" w:color="D8E2EC"/>
            </w:tcBorders>
          </w:tcPr>
          <w:p>
            <w:r>
              <w:rPr>
                <w:sz w:val="18"/>
              </w:rPr>
              <w:t>FCLM_BAM_BNKA_BP Physical Table</w:t>
            </w:r>
          </w:p>
        </w:tc>
        <w:tc>
          <w:tcPr>
            <w:tcW w:type="dxa" w:w="2592"/>
            <w:shd w:fill="F4F7FA"/>
            <w:tcMar>
              <w:top w:w="60" w:type="dxa"/>
              <w:bottom w:w="60" w:type="dxa"/>
              <w:left w:w="100" w:type="dxa"/>
              <w:right w:w="100" w:type="dxa"/>
            </w:tcMar>
            <w:tcBorders>
              <w:bottom w:val="single" w:sz="4" w:space="0" w:color="D8E2EC"/>
            </w:tcBorders>
          </w:tcPr>
          <w:p>
            <w:r>
              <w:rPr>
                <w:sz w:val="18"/>
              </w:rPr>
              <w:t>Local Table (5 Elements)</w:t>
            </w:r>
          </w:p>
        </w:tc>
      </w:tr>
      <w:tr>
        <w:tc>
          <w:tcPr>
            <w:tcW w:type="dxa" w:w="1728"/>
            <w:shd w:fill="FFFFFF"/>
            <w:tcMar>
              <w:top w:w="60" w:type="dxa"/>
              <w:bottom w:w="60" w:type="dxa"/>
              <w:left w:w="100" w:type="dxa"/>
              <w:right w:w="100" w:type="dxa"/>
            </w:tcMar>
            <w:tcBorders>
              <w:bottom w:val="single" w:sz="4" w:space="0" w:color="D8E2EC"/>
            </w:tcBorders>
          </w:tcPr>
          <w:p>
            <w:r>
              <w:rPr>
                <w:b/>
                <w:color w:val="003366"/>
                <w:sz w:val="18"/>
              </w:rPr>
              <w:t>Physical Table 3</w:t>
            </w:r>
          </w:p>
        </w:tc>
        <w:tc>
          <w:tcPr>
            <w:tcW w:type="dxa" w:w="3168"/>
            <w:shd w:fill="FFFFFF"/>
            <w:tcMar>
              <w:top w:w="60" w:type="dxa"/>
              <w:bottom w:w="60" w:type="dxa"/>
              <w:left w:w="100" w:type="dxa"/>
              <w:right w:w="100" w:type="dxa"/>
            </w:tcMar>
            <w:tcBorders>
              <w:bottom w:val="single" w:sz="4" w:space="0" w:color="D8E2EC"/>
            </w:tcBorders>
          </w:tcPr>
          <w:p>
            <w:r>
              <w:rPr>
                <w:sz w:val="18"/>
              </w:rPr>
              <w:t>BP1010 (Business Partner Rating)</w:t>
            </w:r>
          </w:p>
        </w:tc>
        <w:tc>
          <w:tcPr>
            <w:tcW w:type="dxa" w:w="2592"/>
            <w:shd w:fill="FFFFFF"/>
            <w:tcMar>
              <w:top w:w="60" w:type="dxa"/>
              <w:bottom w:w="60" w:type="dxa"/>
              <w:left w:w="100" w:type="dxa"/>
              <w:right w:w="100" w:type="dxa"/>
            </w:tcMar>
            <w:tcBorders>
              <w:bottom w:val="single" w:sz="4" w:space="0" w:color="D8E2EC"/>
            </w:tcBorders>
          </w:tcPr>
          <w:p>
            <w:r>
              <w:rPr>
                <w:sz w:val="18"/>
              </w:rPr>
              <w:t>BP1010 Physical Table</w:t>
            </w:r>
          </w:p>
        </w:tc>
        <w:tc>
          <w:tcPr>
            <w:tcW w:type="dxa" w:w="2592"/>
            <w:shd w:fill="FFFFFF"/>
            <w:tcMar>
              <w:top w:w="60" w:type="dxa"/>
              <w:bottom w:w="60" w:type="dxa"/>
              <w:left w:w="100" w:type="dxa"/>
              <w:right w:w="100" w:type="dxa"/>
            </w:tcMar>
            <w:tcBorders>
              <w:bottom w:val="single" w:sz="4" w:space="0" w:color="D8E2EC"/>
            </w:tcBorders>
          </w:tcPr>
          <w:p>
            <w:r>
              <w:rPr>
                <w:sz w:val="18"/>
              </w:rPr>
              <w:t>Local Table (3 Elements)</w:t>
            </w:r>
          </w:p>
        </w:tc>
      </w:tr>
      <w:tr>
        <w:tc>
          <w:tcPr>
            <w:tcW w:type="dxa" w:w="1728"/>
            <w:shd w:fill="F4F7FA"/>
            <w:tcMar>
              <w:top w:w="60" w:type="dxa"/>
              <w:bottom w:w="60" w:type="dxa"/>
              <w:left w:w="100" w:type="dxa"/>
              <w:right w:w="100" w:type="dxa"/>
            </w:tcMar>
            <w:tcBorders>
              <w:bottom w:val="single" w:sz="4" w:space="0" w:color="D8E2EC"/>
            </w:tcBorders>
          </w:tcPr>
          <w:p>
            <w:r>
              <w:rPr>
                <w:b/>
                <w:color w:val="003366"/>
                <w:sz w:val="18"/>
              </w:rPr>
              <w:t>Helper Table</w:t>
            </w:r>
          </w:p>
        </w:tc>
        <w:tc>
          <w:tcPr>
            <w:tcW w:type="dxa" w:w="3168"/>
            <w:shd w:fill="F4F7FA"/>
            <w:tcMar>
              <w:top w:w="60" w:type="dxa"/>
              <w:bottom w:w="60" w:type="dxa"/>
              <w:left w:w="100" w:type="dxa"/>
              <w:right w:w="100" w:type="dxa"/>
            </w:tcMar>
            <w:tcBorders>
              <w:bottom w:val="single" w:sz="4" w:space="0" w:color="D8E2EC"/>
            </w:tcBorders>
          </w:tcPr>
          <w:p>
            <w:r>
              <w:rPr>
                <w:sz w:val="18"/>
              </w:rPr>
              <w:t>CashLinefnt (Placeholder Attributes)</w:t>
            </w:r>
          </w:p>
        </w:tc>
        <w:tc>
          <w:tcPr>
            <w:tcW w:type="dxa" w:w="2592"/>
            <w:shd w:fill="F4F7FA"/>
            <w:tcMar>
              <w:top w:w="60" w:type="dxa"/>
              <w:bottom w:w="60" w:type="dxa"/>
              <w:left w:w="100" w:type="dxa"/>
              <w:right w:w="100" w:type="dxa"/>
            </w:tcMar>
            <w:tcBorders>
              <w:bottom w:val="single" w:sz="4" w:space="0" w:color="D8E2EC"/>
            </w:tcBorders>
          </w:tcPr>
          <w:p>
            <w:r>
              <w:rPr>
                <w:sz w:val="18"/>
              </w:rPr>
              <w:t>CashLinefnt Physical Table</w:t>
            </w:r>
          </w:p>
        </w:tc>
        <w:tc>
          <w:tcPr>
            <w:tcW w:type="dxa" w:w="2592"/>
            <w:shd w:fill="F4F7FA"/>
            <w:tcMar>
              <w:top w:w="60" w:type="dxa"/>
              <w:bottom w:w="60" w:type="dxa"/>
              <w:left w:w="100" w:type="dxa"/>
              <w:right w:w="100" w:type="dxa"/>
            </w:tcMar>
            <w:tcBorders>
              <w:bottom w:val="single" w:sz="4" w:space="0" w:color="D8E2EC"/>
            </w:tcBorders>
          </w:tcPr>
          <w:p>
            <w:r>
              <w:rPr>
                <w:sz w:val="18"/>
              </w:rPr>
              <w:t>Local Table (20 Elements)</w:t>
            </w:r>
          </w:p>
        </w:tc>
      </w:tr>
      <w:tr>
        <w:tc>
          <w:tcPr>
            <w:tcW w:type="dxa" w:w="1728"/>
            <w:shd w:fill="FFFFFF"/>
            <w:tcMar>
              <w:top w:w="60" w:type="dxa"/>
              <w:bottom w:w="60" w:type="dxa"/>
              <w:left w:w="100" w:type="dxa"/>
              <w:right w:w="100" w:type="dxa"/>
            </w:tcMar>
            <w:tcBorders>
              <w:bottom w:val="single" w:sz="4" w:space="0" w:color="D8E2EC"/>
            </w:tcBorders>
          </w:tcPr>
          <w:p>
            <w:r>
              <w:rPr>
                <w:b/>
                <w:color w:val="003366"/>
                <w:sz w:val="18"/>
              </w:rPr>
              <w:t>Tier 1 Join</w:t>
            </w:r>
          </w:p>
        </w:tc>
        <w:tc>
          <w:tcPr>
            <w:tcW w:type="dxa" w:w="3168"/>
            <w:shd w:fill="FFFFFF"/>
            <w:tcMar>
              <w:top w:w="60" w:type="dxa"/>
              <w:bottom w:w="60" w:type="dxa"/>
              <w:left w:w="100" w:type="dxa"/>
              <w:right w:w="100" w:type="dxa"/>
            </w:tcMar>
            <w:tcBorders>
              <w:bottom w:val="single" w:sz="4" w:space="0" w:color="D8E2EC"/>
            </w:tcBorders>
          </w:tcPr>
          <w:p>
            <w:r>
              <w:rPr>
                <w:sz w:val="18"/>
              </w:rPr>
              <w:t>Join_1 (Left Outer: BNKA ⋈ FCLM_BAM_BNKA_BP)</w:t>
            </w:r>
          </w:p>
        </w:tc>
        <w:tc>
          <w:tcPr>
            <w:tcW w:type="dxa" w:w="2592"/>
            <w:shd w:fill="FFFFFF"/>
            <w:tcMar>
              <w:top w:w="60" w:type="dxa"/>
              <w:bottom w:w="60" w:type="dxa"/>
              <w:left w:w="100" w:type="dxa"/>
              <w:right w:w="100" w:type="dxa"/>
            </w:tcMar>
            <w:tcBorders>
              <w:bottom w:val="single" w:sz="4" w:space="0" w:color="D8E2EC"/>
            </w:tcBorders>
          </w:tcPr>
          <w:p>
            <w:r>
              <w:rPr>
                <w:sz w:val="18"/>
              </w:rPr>
              <w:t>CV_BANK_JOIN_1_V</w:t>
            </w:r>
          </w:p>
        </w:tc>
        <w:tc>
          <w:tcPr>
            <w:tcW w:type="dxa" w:w="2592"/>
            <w:shd w:fill="FFFFFF"/>
            <w:tcMar>
              <w:top w:w="60" w:type="dxa"/>
              <w:bottom w:w="60" w:type="dxa"/>
              <w:left w:w="100" w:type="dxa"/>
              <w:right w:w="100" w:type="dxa"/>
            </w:tcMar>
            <w:tcBorders>
              <w:bottom w:val="single" w:sz="4" w:space="0" w:color="D8E2EC"/>
            </w:tcBorders>
          </w:tcPr>
          <w:p>
            <w:r>
              <w:rPr>
                <w:sz w:val="18"/>
              </w:rPr>
              <w:t>Transformation View (9 Elements)</w:t>
            </w:r>
          </w:p>
        </w:tc>
      </w:tr>
      <w:tr>
        <w:tc>
          <w:tcPr>
            <w:tcW w:type="dxa" w:w="1728"/>
            <w:shd w:fill="F4F7FA"/>
            <w:tcMar>
              <w:top w:w="60" w:type="dxa"/>
              <w:bottom w:w="60" w:type="dxa"/>
              <w:left w:w="100" w:type="dxa"/>
              <w:right w:w="100" w:type="dxa"/>
            </w:tcMar>
            <w:tcBorders>
              <w:bottom w:val="single" w:sz="4" w:space="0" w:color="D8E2EC"/>
            </w:tcBorders>
          </w:tcPr>
          <w:p>
            <w:r>
              <w:rPr>
                <w:b/>
                <w:color w:val="003366"/>
                <w:sz w:val="18"/>
              </w:rPr>
              <w:t>Tier 2 Join</w:t>
            </w:r>
          </w:p>
        </w:tc>
        <w:tc>
          <w:tcPr>
            <w:tcW w:type="dxa" w:w="3168"/>
            <w:shd w:fill="F4F7FA"/>
            <w:tcMar>
              <w:top w:w="60" w:type="dxa"/>
              <w:bottom w:w="60" w:type="dxa"/>
              <w:left w:w="100" w:type="dxa"/>
              <w:right w:w="100" w:type="dxa"/>
            </w:tcMar>
            <w:tcBorders>
              <w:bottom w:val="single" w:sz="4" w:space="0" w:color="D8E2EC"/>
            </w:tcBorders>
          </w:tcPr>
          <w:p>
            <w:r>
              <w:rPr>
                <w:sz w:val="18"/>
              </w:rPr>
              <w:t>Join_2 (Left Outer: Join_1 ⋈ BP1010 on PARTNER=PARTNR)</w:t>
            </w:r>
          </w:p>
        </w:tc>
        <w:tc>
          <w:tcPr>
            <w:tcW w:type="dxa" w:w="2592"/>
            <w:shd w:fill="F4F7FA"/>
            <w:tcMar>
              <w:top w:w="60" w:type="dxa"/>
              <w:bottom w:w="60" w:type="dxa"/>
              <w:left w:w="100" w:type="dxa"/>
              <w:right w:w="100" w:type="dxa"/>
            </w:tcMar>
            <w:tcBorders>
              <w:bottom w:val="single" w:sz="4" w:space="0" w:color="D8E2EC"/>
            </w:tcBorders>
          </w:tcPr>
          <w:p>
            <w:r>
              <w:rPr>
                <w:sz w:val="18"/>
              </w:rPr>
              <w:t>CV_BANK_JOIN_2_V</w:t>
            </w:r>
          </w:p>
        </w:tc>
        <w:tc>
          <w:tcPr>
            <w:tcW w:type="dxa" w:w="2592"/>
            <w:shd w:fill="F4F7FA"/>
            <w:tcMar>
              <w:top w:w="60" w:type="dxa"/>
              <w:bottom w:w="60" w:type="dxa"/>
              <w:left w:w="100" w:type="dxa"/>
              <w:right w:w="100" w:type="dxa"/>
            </w:tcMar>
            <w:tcBorders>
              <w:bottom w:val="single" w:sz="4" w:space="0" w:color="D8E2EC"/>
            </w:tcBorders>
          </w:tcPr>
          <w:p>
            <w:r>
              <w:rPr>
                <w:sz w:val="18"/>
              </w:rPr>
              <w:t>Transformation View (13 Elements + Coalesced)</w:t>
            </w:r>
          </w:p>
        </w:tc>
      </w:tr>
      <w:tr>
        <w:tc>
          <w:tcPr>
            <w:tcW w:type="dxa" w:w="1728"/>
            <w:shd w:fill="FFFFFF"/>
            <w:tcMar>
              <w:top w:w="60" w:type="dxa"/>
              <w:bottom w:w="60" w:type="dxa"/>
              <w:left w:w="100" w:type="dxa"/>
              <w:right w:w="100" w:type="dxa"/>
            </w:tcMar>
            <w:tcBorders>
              <w:bottom w:val="single" w:sz="4" w:space="0" w:color="D8E2EC"/>
            </w:tcBorders>
          </w:tcPr>
          <w:p>
            <w:r>
              <w:rPr>
                <w:b/>
                <w:color w:val="003366"/>
                <w:sz w:val="18"/>
              </w:rPr>
              <w:t>Tier 2 Projection</w:t>
            </w:r>
          </w:p>
        </w:tc>
        <w:tc>
          <w:tcPr>
            <w:tcW w:type="dxa" w:w="3168"/>
            <w:shd w:fill="FFFFFF"/>
            <w:tcMar>
              <w:top w:w="60" w:type="dxa"/>
              <w:bottom w:w="60" w:type="dxa"/>
              <w:left w:w="100" w:type="dxa"/>
              <w:right w:w="100" w:type="dxa"/>
            </w:tcMar>
            <w:tcBorders>
              <w:bottom w:val="single" w:sz="4" w:space="0" w:color="D8E2EC"/>
            </w:tcBorders>
          </w:tcPr>
          <w:p>
            <w:r>
              <w:rPr>
                <w:sz w:val="18"/>
              </w:rPr>
              <w:t>Projection_1 (CashLinefnt Projection)</w:t>
            </w:r>
          </w:p>
        </w:tc>
        <w:tc>
          <w:tcPr>
            <w:tcW w:type="dxa" w:w="2592"/>
            <w:shd w:fill="FFFFFF"/>
            <w:tcMar>
              <w:top w:w="60" w:type="dxa"/>
              <w:bottom w:w="60" w:type="dxa"/>
              <w:left w:w="100" w:type="dxa"/>
              <w:right w:w="100" w:type="dxa"/>
            </w:tcMar>
            <w:tcBorders>
              <w:bottom w:val="single" w:sz="4" w:space="0" w:color="D8E2EC"/>
            </w:tcBorders>
          </w:tcPr>
          <w:p>
            <w:r>
              <w:rPr>
                <w:sz w:val="18"/>
              </w:rPr>
              <w:t>CV_BANK_PROJECTION_1_V</w:t>
            </w:r>
          </w:p>
        </w:tc>
        <w:tc>
          <w:tcPr>
            <w:tcW w:type="dxa" w:w="2592"/>
            <w:shd w:fill="FFFFFF"/>
            <w:tcMar>
              <w:top w:w="60" w:type="dxa"/>
              <w:bottom w:w="60" w:type="dxa"/>
              <w:left w:w="100" w:type="dxa"/>
              <w:right w:w="100" w:type="dxa"/>
            </w:tcMar>
            <w:tcBorders>
              <w:bottom w:val="single" w:sz="4" w:space="0" w:color="D8E2EC"/>
            </w:tcBorders>
          </w:tcPr>
          <w:p>
            <w:r>
              <w:rPr>
                <w:sz w:val="18"/>
              </w:rPr>
              <w:t>Transformation View (20 Elements)</w:t>
            </w:r>
          </w:p>
        </w:tc>
      </w:tr>
      <w:tr>
        <w:tc>
          <w:tcPr>
            <w:tcW w:type="dxa" w:w="1728"/>
            <w:shd w:fill="F4F7FA"/>
            <w:tcMar>
              <w:top w:w="60" w:type="dxa"/>
              <w:bottom w:w="60" w:type="dxa"/>
              <w:left w:w="100" w:type="dxa"/>
              <w:right w:w="100" w:type="dxa"/>
            </w:tcMar>
            <w:tcBorders>
              <w:bottom w:val="single" w:sz="4" w:space="0" w:color="D8E2EC"/>
            </w:tcBorders>
          </w:tcPr>
          <w:p>
            <w:r>
              <w:rPr>
                <w:b/>
                <w:color w:val="003366"/>
                <w:sz w:val="18"/>
              </w:rPr>
              <w:t>Root Tier Union</w:t>
            </w:r>
          </w:p>
        </w:tc>
        <w:tc>
          <w:tcPr>
            <w:tcW w:type="dxa" w:w="3168"/>
            <w:shd w:fill="F4F7FA"/>
            <w:tcMar>
              <w:top w:w="60" w:type="dxa"/>
              <w:bottom w:w="60" w:type="dxa"/>
              <w:left w:w="100" w:type="dxa"/>
              <w:right w:w="100" w:type="dxa"/>
            </w:tcMar>
            <w:tcBorders>
              <w:bottom w:val="single" w:sz="4" w:space="0" w:color="D8E2EC"/>
            </w:tcBorders>
          </w:tcPr>
          <w:p>
            <w:r>
              <w:rPr>
                <w:sz w:val="18"/>
              </w:rPr>
              <w:t>Union_1 (UNION ALL: Join_2 ∪ Projection_1)</w:t>
            </w:r>
          </w:p>
        </w:tc>
        <w:tc>
          <w:tcPr>
            <w:tcW w:type="dxa" w:w="2592"/>
            <w:shd w:fill="F4F7FA"/>
            <w:tcMar>
              <w:top w:w="60" w:type="dxa"/>
              <w:bottom w:w="60" w:type="dxa"/>
              <w:left w:w="100" w:type="dxa"/>
              <w:right w:w="100" w:type="dxa"/>
            </w:tcMar>
            <w:tcBorders>
              <w:bottom w:val="single" w:sz="4" w:space="0" w:color="D8E2EC"/>
            </w:tcBorders>
          </w:tcPr>
          <w:p>
            <w:r>
              <w:rPr>
                <w:sz w:val="18"/>
              </w:rPr>
              <w:t>CV_BANK_V</w:t>
            </w:r>
          </w:p>
        </w:tc>
        <w:tc>
          <w:tcPr>
            <w:tcW w:type="dxa" w:w="2592"/>
            <w:shd w:fill="F4F7FA"/>
            <w:tcMar>
              <w:top w:w="60" w:type="dxa"/>
              <w:bottom w:w="60" w:type="dxa"/>
              <w:left w:w="100" w:type="dxa"/>
              <w:right w:w="100" w:type="dxa"/>
            </w:tcMar>
            <w:tcBorders>
              <w:bottom w:val="single" w:sz="4" w:space="0" w:color="D8E2EC"/>
            </w:tcBorders>
          </w:tcPr>
          <w:p>
            <w:r>
              <w:rPr>
                <w:sz w:val="18"/>
              </w:rPr>
              <w:t>Analytical Fact View (#CUBE, 11 Elements)</w:t>
            </w:r>
          </w:p>
        </w:tc>
      </w:tr>
      <w:tr>
        <w:tc>
          <w:tcPr>
            <w:tcW w:type="dxa" w:w="1728"/>
            <w:shd w:fill="FFFFFF"/>
            <w:tcMar>
              <w:top w:w="60" w:type="dxa"/>
              <w:bottom w:w="60" w:type="dxa"/>
              <w:left w:w="100" w:type="dxa"/>
              <w:right w:w="100" w:type="dxa"/>
            </w:tcMar>
            <w:tcBorders>
              <w:bottom w:val="single" w:sz="4" w:space="0" w:color="D8E2EC"/>
            </w:tcBorders>
          </w:tcPr>
          <w:p>
            <w:r>
              <w:rPr>
                <w:b/>
                <w:color w:val="003366"/>
                <w:sz w:val="18"/>
              </w:rPr>
              <w:t>Consumption Layer</w:t>
            </w:r>
          </w:p>
        </w:tc>
        <w:tc>
          <w:tcPr>
            <w:tcW w:type="dxa" w:w="3168"/>
            <w:shd w:fill="FFFFFF"/>
            <w:tcMar>
              <w:top w:w="60" w:type="dxa"/>
              <w:bottom w:w="60" w:type="dxa"/>
              <w:left w:w="100" w:type="dxa"/>
              <w:right w:w="100" w:type="dxa"/>
            </w:tcMar>
            <w:tcBorders>
              <w:bottom w:val="single" w:sz="4" w:space="0" w:color="D8E2EC"/>
            </w:tcBorders>
          </w:tcPr>
          <w:p>
            <w:r>
              <w:rPr>
                <w:sz w:val="18"/>
              </w:rPr>
              <w:t>Analytical Query / Semantics</w:t>
            </w:r>
          </w:p>
        </w:tc>
        <w:tc>
          <w:tcPr>
            <w:tcW w:type="dxa" w:w="2592"/>
            <w:shd w:fill="FFFFFF"/>
            <w:tcMar>
              <w:top w:w="60" w:type="dxa"/>
              <w:bottom w:w="60" w:type="dxa"/>
              <w:left w:w="100" w:type="dxa"/>
              <w:right w:w="100" w:type="dxa"/>
            </w:tcMar>
            <w:tcBorders>
              <w:bottom w:val="single" w:sz="4" w:space="0" w:color="D8E2EC"/>
            </w:tcBorders>
          </w:tcPr>
          <w:p>
            <w:r>
              <w:rPr>
                <w:sz w:val="18"/>
              </w:rPr>
              <w:t>CV_BANK_AM</w:t>
            </w:r>
          </w:p>
        </w:tc>
        <w:tc>
          <w:tcPr>
            <w:tcW w:type="dxa" w:w="2592"/>
            <w:shd w:fill="FFFFFF"/>
            <w:tcMar>
              <w:top w:w="60" w:type="dxa"/>
              <w:bottom w:w="60" w:type="dxa"/>
              <w:left w:w="100" w:type="dxa"/>
              <w:right w:w="100" w:type="dxa"/>
            </w:tcMar>
            <w:tcBorders>
              <w:bottom w:val="single" w:sz="4" w:space="0" w:color="D8E2EC"/>
            </w:tcBorders>
          </w:tcPr>
          <w:p>
            <w:r>
              <w:rPr>
                <w:sz w:val="18"/>
              </w:rPr>
              <w:t>Analytic Model (Business Builder)</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A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