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632"/>
        <w:gridCol w:w="2894"/>
      </w:tblGrid>
      <w:tr>
        <w:tc>
          <w:tcPr>
            <w:tcW w:type="dxa" w:w="5263"/>
          </w:tcPr>
          <w:p>
            <w:pPr>
              <w:spacing w:after="20"/>
            </w:pPr>
            <w:r>
              <w:rPr>
                <w:b/>
                <w:color w:val="0F2744"/>
                <w:sz w:val="30"/>
              </w:rPr>
              <w:t>PODZO — Solution Overview</w:t>
              <w:br/>
            </w:r>
            <w:r>
              <w:rPr>
                <w:b/>
                <w:color w:val="0A6ED1"/>
                <w:sz w:val="18"/>
              </w:rPr>
              <w:t>SAP-Connected Delivery &amp; Transport Management Platform</w:t>
            </w:r>
          </w:p>
        </w:tc>
        <w:tc>
          <w:tcPr>
            <w:tcW w:type="dxa" w:w="5263"/>
          </w:tcPr>
          <w:p>
            <w:pPr>
              <w:spacing w:after="0"/>
              <w:jc w:val="right"/>
            </w:pPr>
            <w:r>
              <w:rPr>
                <w:b/>
                <w:color w:val="0854A0"/>
                <w:sz w:val="16"/>
              </w:rPr>
              <w:t>CLIENT SOLUTION OVERVIEW</w:t>
              <w:br/>
            </w:r>
            <w:r>
              <w:rPr>
                <w:color w:val="5B738B"/>
                <w:sz w:val="15"/>
              </w:rPr>
              <w:t>Version 1.0 • September 2026</w:t>
            </w:r>
          </w:p>
        </w:tc>
      </w:tr>
    </w:tbl>
    <w:p>
      <w:pPr>
        <w:spacing w:before="40" w:after="60"/>
      </w:pPr>
      <w:r>
        <w:rPr>
          <w:color w:val="0A6ED1"/>
          <w:sz w:val="14"/>
        </w:rPr>
        <w:t>――――――――――――――――――――――――――――――――――――――――――――――――――――――――――――――――</w:t>
      </w:r>
    </w:p>
    <w:tbl>
      <w:tblPr>
        <w:tblW w:type="auto" w:w="0"/>
        <w:jc w:val="center"/>
        <w:tblLook w:firstColumn="1" w:firstRow="1" w:lastColumn="0" w:lastRow="0" w:noHBand="0" w:noVBand="1" w:val="04A0"/>
      </w:tblPr>
      <w:tblGrid>
        <w:gridCol w:w="10526"/>
      </w:tblGrid>
      <w:tr>
        <w:tc>
          <w:tcPr>
            <w:tcW w:type="dxa" w:w="10527"/>
            <w:shd w:fill="F8FAFC"/>
            <w:tcBorders>
              <w:top w:val="single" w:sz="4" w:space="0" w:color="E2E8F0"/>
              <w:left w:val="single" w:sz="20" w:space="0" w:color="0A6ED1"/>
              <w:bottom w:val="single" w:sz="4" w:space="0" w:color="E2E8F0"/>
              <w:right w:val="single" w:sz="4" w:space="0" w:color="E2E8F0"/>
            </w:tcBorders>
            <w:tcMar>
              <w:top w:w="55" w:type="dxa"/>
              <w:bottom w:w="55" w:type="dxa"/>
              <w:left w:w="90" w:type="dxa"/>
              <w:right w:w="90" w:type="dxa"/>
            </w:tcMar>
          </w:tcPr>
          <w:p>
            <w:pPr>
              <w:spacing w:after="0"/>
            </w:pPr>
            <w:r>
              <w:rPr>
                <w:b/>
                <w:color w:val="0F2744"/>
                <w:sz w:val="16"/>
              </w:rPr>
              <w:t xml:space="preserve">Executive Summary: </w:t>
            </w:r>
            <w:r>
              <w:rPr>
                <w:sz w:val="16"/>
              </w:rPr>
              <w:t>PODZO provides a centralized operational interface for managing SAP-connected contracts and purchase orders, transport allocation, delivery execution, proof-of-delivery (POD) verification, and freight invoicing through to SAP MIRO supplier invoice parking and payment clearing.</w:t>
            </w:r>
          </w:p>
        </w:tc>
      </w:tr>
    </w:tbl>
    <w:p>
      <w:pPr>
        <w:spacing w:before="100" w:after="40"/>
      </w:pPr>
      <w:r>
        <w:rPr>
          <w:b/>
          <w:color w:val="0854A0"/>
          <w:sz w:val="17"/>
        </w:rPr>
        <w:t>SECTION 1 — PODZO AT A GLANCE</w:t>
      </w:r>
    </w:p>
    <w:tbl>
      <w:tblPr>
        <w:tblW w:type="auto" w:w="0"/>
        <w:jc w:val="center"/>
        <w:tblLook w:firstColumn="1" w:firstRow="1" w:lastColumn="0" w:lastRow="0" w:noHBand="0" w:noVBand="1" w:val="04A0"/>
      </w:tblPr>
      <w:tblGrid>
        <w:gridCol w:w="10526"/>
      </w:tblGrid>
      <w:tr>
        <w:tc>
          <w:tcPr>
            <w:tcW w:type="dxa" w:w="10527"/>
            <w:shd w:fill="FFFFFF"/>
            <w:tcBorders>
              <w:top w:val="single" w:sz="4" w:space="0" w:color="D9E1E8"/>
              <w:left w:val="single" w:sz="4" w:space="0" w:color="D9E1E8"/>
              <w:bottom w:val="single" w:sz="4" w:space="0" w:color="D9E1E8"/>
              <w:right w:val="single" w:sz="4" w:space="0" w:color="D9E1E8"/>
            </w:tcBorders>
            <w:tcMar>
              <w:top w:w="55" w:type="dxa"/>
              <w:bottom w:w="55" w:type="dxa"/>
              <w:left w:w="90" w:type="dxa"/>
              <w:right w:w="90" w:type="dxa"/>
            </w:tcMar>
          </w:tcPr>
          <w:p>
            <w:pPr>
              <w:spacing w:after="0"/>
            </w:pPr>
            <w:r>
              <w:rPr>
                <w:sz w:val="15"/>
              </w:rPr>
              <w:t>PODZO is an enterprise operational execution platform designed to bridge SAP S/21 with day-to-day transport logistics and bulk haulage fulfillment. Used by industrial shippers, commercial hauliers, siding supervisors, drivers, and receiving customers, PODZO manages the physical realization of transport purchase orders. By retrieving active contracts and released POs directly from SAP S/21, PODZO governs vehicle allocation, 4-point weighbridge validation, digital journey tracking, and OCR-assisted POD verification—delivering end-to-end operational visibility while preserving SAP as the single authoritative financial core.</w:t>
            </w:r>
          </w:p>
        </w:tc>
      </w:tr>
      <w:tr>
        <w:tc>
          <w:tcPr>
            <w:tcW w:type="dxa" w:w="10527"/>
            <w:shd w:fill="F8FAFC"/>
            <w:tcBorders>
              <w:left w:val="single" w:sz="4" w:space="0" w:color="D9E1E8"/>
              <w:bottom w:val="single" w:sz="4" w:space="0" w:color="D9E1E8"/>
              <w:right w:val="single" w:sz="4" w:space="0" w:color="D9E1E8"/>
            </w:tcBorders>
            <w:tcMar>
              <w:top w:w="45" w:type="dxa"/>
              <w:bottom w:w="45" w:type="dxa"/>
              <w:left w:w="90" w:type="dxa"/>
              <w:right w:w="90" w:type="dxa"/>
            </w:tcMar>
          </w:tcPr>
          <w:p>
            <w:pPr>
              <w:spacing w:after="0"/>
            </w:pPr>
            <w:r>
              <w:rPr>
                <w:color w:val="0854A0"/>
                <w:sz w:val="14"/>
              </w:rPr>
              <w:t>✓ Direct SAP S/21 Alignment: OData/REST live integration  •  ✓ 4-Point Weight Governance: Origin &amp; destination verification  •  ✓ Automated Settlement: Direct SAP MIRO parking</w:t>
            </w:r>
          </w:p>
        </w:tc>
      </w:tr>
    </w:tbl>
    <w:p>
      <w:pPr>
        <w:spacing w:before="100" w:after="40"/>
      </w:pPr>
      <w:r>
        <w:rPr>
          <w:b/>
          <w:color w:val="0854A0"/>
          <w:sz w:val="17"/>
        </w:rPr>
        <w:t>SECTION 2 — KEY CAPABILITIES</w:t>
      </w:r>
    </w:p>
    <w:tbl>
      <w:tblPr>
        <w:tblW w:type="auto" w:w="0"/>
        <w:jc w:val="center"/>
        <w:tblLook w:firstColumn="1" w:firstRow="1" w:lastColumn="0" w:lastRow="0" w:noHBand="0" w:noVBand="1" w:val="04A0"/>
      </w:tblPr>
      <w:tblGrid>
        <w:gridCol w:w="5256"/>
        <w:gridCol w:w="5256"/>
      </w:tblGrid>
      <w:tr>
        <w:tc>
          <w:tcPr>
            <w:tcW w:type="dxa" w:w="5263"/>
            <w:shd w:fill="FFFFFF"/>
            <w:tcBorders>
              <w:top w:val="single" w:sz="16" w:space="0" w:color="0A6ED1"/>
              <w:left w:val="single" w:sz="4" w:space="0" w:color="D9E1E8"/>
              <w:bottom w:val="single" w:sz="4" w:space="0" w:color="D9E1E8"/>
              <w:right w:val="single" w:sz="4" w:space="0" w:color="D9E1E8"/>
            </w:tcBorders>
            <w:tcMar>
              <w:top w:w="50" w:type="dxa"/>
              <w:bottom w:w="50" w:type="dxa"/>
              <w:left w:w="70" w:type="dxa"/>
              <w:right w:w="70" w:type="dxa"/>
            </w:tcMar>
          </w:tcPr>
          <w:p>
            <w:pPr>
              <w:spacing w:after="0"/>
            </w:pPr>
            <w:r>
              <w:rPr>
                <w:b/>
                <w:color w:val="0F2744"/>
                <w:sz w:val="15"/>
              </w:rPr>
              <w:t>◆ SAP S/21 Synchronization</w:t>
              <w:br/>
            </w:r>
            <w:r>
              <w:rPr>
                <w:color w:val="486581"/>
                <w:sz w:val="13"/>
              </w:rPr>
              <w:t>Direct ingestion of active outline agreements (ME33K) and transport purchase orders (ME23N) with materials, target tonnage, agreed rates, and validity windows.</w:t>
            </w:r>
          </w:p>
        </w:tc>
        <w:tc>
          <w:tcPr>
            <w:tcW w:type="dxa" w:w="5263"/>
            <w:shd w:fill="FFFFFF"/>
            <w:tcBorders>
              <w:top w:val="single" w:sz="16" w:space="0" w:color="0A6ED1"/>
              <w:left w:val="single" w:sz="4" w:space="0" w:color="D9E1E8"/>
              <w:bottom w:val="single" w:sz="4" w:space="0" w:color="D9E1E8"/>
              <w:right w:val="single" w:sz="4" w:space="0" w:color="D9E1E8"/>
            </w:tcBorders>
            <w:tcMar>
              <w:top w:w="50" w:type="dxa"/>
              <w:bottom w:w="50" w:type="dxa"/>
              <w:left w:w="70" w:type="dxa"/>
              <w:right w:w="70" w:type="dxa"/>
            </w:tcMar>
          </w:tcPr>
          <w:p>
            <w:pPr>
              <w:spacing w:after="0"/>
            </w:pPr>
            <w:r>
              <w:rPr>
                <w:b/>
                <w:color w:val="0F2744"/>
                <w:sz w:val="15"/>
              </w:rPr>
              <w:t>◆ Transport Allocation &amp; E-Sign</w:t>
              <w:br/>
            </w:r>
            <w:r>
              <w:rPr>
                <w:color w:val="486581"/>
                <w:sz w:val="13"/>
              </w:rPr>
              <w:t>Timebound PO allocation to certified transporters with mandatory digital signature acknowledgment and electronic carrier waybill (bilty) assignment.</w:t>
            </w:r>
          </w:p>
        </w:tc>
      </w:tr>
      <w:tr>
        <w:tc>
          <w:tcPr>
            <w:tcW w:type="dxa" w:w="5263"/>
            <w:shd w:fill="FFFFFF"/>
            <w:tcBorders>
              <w:top w:val="single" w:sz="16" w:space="0" w:color="0A6ED1"/>
              <w:left w:val="single" w:sz="4" w:space="0" w:color="D9E1E8"/>
              <w:bottom w:val="single" w:sz="4" w:space="0" w:color="D9E1E8"/>
              <w:right w:val="single" w:sz="4" w:space="0" w:color="D9E1E8"/>
            </w:tcBorders>
            <w:tcMar>
              <w:top w:w="50" w:type="dxa"/>
              <w:bottom w:w="50" w:type="dxa"/>
              <w:left w:w="70" w:type="dxa"/>
              <w:right w:w="70" w:type="dxa"/>
            </w:tcMar>
          </w:tcPr>
          <w:p>
            <w:pPr>
              <w:spacing w:after="0"/>
            </w:pPr>
            <w:r>
              <w:rPr>
                <w:b/>
                <w:color w:val="0F2744"/>
                <w:sz w:val="15"/>
              </w:rPr>
              <w:t>◆ 4-Point Weighbridge Control</w:t>
              <w:br/>
            </w:r>
            <w:r>
              <w:rPr>
                <w:color w:val="486581"/>
                <w:sz w:val="13"/>
              </w:rPr>
              <w:t>Captures dispatch tare/gross (loading siding) and destination tare/gross (receiving yard) to guarantee net payload accuracy and detect transit weight loss.</w:t>
            </w:r>
          </w:p>
        </w:tc>
        <w:tc>
          <w:tcPr>
            <w:tcW w:type="dxa" w:w="5263"/>
            <w:shd w:fill="FFFFFF"/>
            <w:tcBorders>
              <w:top w:val="single" w:sz="16" w:space="0" w:color="0A6ED1"/>
              <w:left w:val="single" w:sz="4" w:space="0" w:color="D9E1E8"/>
              <w:bottom w:val="single" w:sz="4" w:space="0" w:color="D9E1E8"/>
              <w:right w:val="single" w:sz="4" w:space="0" w:color="D9E1E8"/>
            </w:tcBorders>
            <w:tcMar>
              <w:top w:w="50" w:type="dxa"/>
              <w:bottom w:w="50" w:type="dxa"/>
              <w:left w:w="70" w:type="dxa"/>
              <w:right w:w="70" w:type="dxa"/>
            </w:tcMar>
          </w:tcPr>
          <w:p>
            <w:pPr>
              <w:spacing w:after="0"/>
            </w:pPr>
            <w:r>
              <w:rPr>
                <w:b/>
                <w:color w:val="0F2744"/>
                <w:sz w:val="15"/>
              </w:rPr>
              <w:t>◆ Driver Mobile Execution</w:t>
              <w:br/>
            </w:r>
            <w:r>
              <w:rPr>
                <w:color w:val="486581"/>
                <w:sz w:val="13"/>
              </w:rPr>
              <w:t>Mobile-first driver web console for route navigation, arrival timestamp logging, gate check-in, and instant camera capture of stamped physical POD slips.</w:t>
            </w:r>
          </w:p>
        </w:tc>
      </w:tr>
      <w:tr>
        <w:tc>
          <w:tcPr>
            <w:tcW w:type="dxa" w:w="5263"/>
            <w:shd w:fill="FFFFFF"/>
            <w:tcBorders>
              <w:top w:val="single" w:sz="16" w:space="0" w:color="0A6ED1"/>
              <w:left w:val="single" w:sz="4" w:space="0" w:color="D9E1E8"/>
              <w:bottom w:val="single" w:sz="4" w:space="0" w:color="D9E1E8"/>
              <w:right w:val="single" w:sz="4" w:space="0" w:color="D9E1E8"/>
            </w:tcBorders>
            <w:tcMar>
              <w:top w:w="50" w:type="dxa"/>
              <w:bottom w:w="50" w:type="dxa"/>
              <w:left w:w="70" w:type="dxa"/>
              <w:right w:w="70" w:type="dxa"/>
            </w:tcMar>
          </w:tcPr>
          <w:p>
            <w:pPr>
              <w:spacing w:after="0"/>
            </w:pPr>
            <w:r>
              <w:rPr>
                <w:b/>
                <w:color w:val="0F2744"/>
                <w:sz w:val="15"/>
              </w:rPr>
              <w:t>◆ OCR POD Verification Desk</w:t>
              <w:br/>
            </w:r>
            <w:r>
              <w:rPr>
                <w:color w:val="486581"/>
                <w:sz w:val="13"/>
              </w:rPr>
              <w:t>Automated document data extraction matching waybill numbers, truck registrations, and delivered weights against SAP records with confidence scoring and exception review.</w:t>
            </w:r>
          </w:p>
        </w:tc>
        <w:tc>
          <w:tcPr>
            <w:tcW w:type="dxa" w:w="5263"/>
            <w:shd w:fill="FFFFFF"/>
            <w:tcBorders>
              <w:top w:val="single" w:sz="16" w:space="0" w:color="0A6ED1"/>
              <w:left w:val="single" w:sz="4" w:space="0" w:color="D9E1E8"/>
              <w:bottom w:val="single" w:sz="4" w:space="0" w:color="D9E1E8"/>
              <w:right w:val="single" w:sz="4" w:space="0" w:color="D9E1E8"/>
            </w:tcBorders>
            <w:tcMar>
              <w:top w:w="50" w:type="dxa"/>
              <w:bottom w:w="50" w:type="dxa"/>
              <w:left w:w="70" w:type="dxa"/>
              <w:right w:w="70" w:type="dxa"/>
            </w:tcMar>
          </w:tcPr>
          <w:p>
            <w:pPr>
              <w:spacing w:after="0"/>
            </w:pPr>
            <w:r>
              <w:rPr>
                <w:b/>
                <w:color w:val="0F2744"/>
                <w:sz w:val="15"/>
              </w:rPr>
              <w:t>◆ Invoicing &amp; SAP MIRO Posting</w:t>
              <w:br/>
            </w:r>
            <w:r>
              <w:rPr>
                <w:color w:val="486581"/>
                <w:sz w:val="13"/>
              </w:rPr>
              <w:t>Consolidation of verified delivered tonnage into freight invoices, staging audit-ready data for SAP MIRO supplier invoice parking, posting, and AP settlement.</w:t>
            </w:r>
          </w:p>
        </w:tc>
      </w:tr>
    </w:tbl>
    <w:p>
      <w:pPr>
        <w:spacing w:before="100" w:after="40"/>
      </w:pPr>
      <w:r>
        <w:rPr>
          <w:b/>
          <w:color w:val="0854A0"/>
          <w:sz w:val="17"/>
        </w:rPr>
        <w:t>SECTION 3 — ROLE-BASED OPERATIONS</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5"/>
            <w:shd w:fill="F8FAFC"/>
            <w:tcBorders>
              <w:top w:val="single" w:sz="4" w:space="0" w:color="D9E1E8"/>
              <w:left w:val="single" w:sz="4" w:space="0" w:color="D9E1E8"/>
              <w:bottom w:val="single" w:sz="4" w:space="0" w:color="D9E1E8"/>
              <w:right w:val="single" w:sz="4" w:space="0" w:color="D9E1E8"/>
            </w:tcBorders>
            <w:tcMar>
              <w:top w:w="45" w:type="dxa"/>
              <w:bottom w:w="45" w:type="dxa"/>
              <w:left w:w="50" w:type="dxa"/>
              <w:right w:w="50" w:type="dxa"/>
            </w:tcMar>
          </w:tcPr>
          <w:p>
            <w:pPr>
              <w:spacing w:after="0"/>
              <w:jc w:val="center"/>
            </w:pPr>
            <w:r>
              <w:rPr>
                <w:b/>
                <w:color w:val="0A6ED1"/>
                <w:sz w:val="14"/>
              </w:rPr>
              <w:t>[CA] Company Admin</w:t>
              <w:br/>
            </w:r>
            <w:r>
              <w:rPr>
                <w:color w:val="486581"/>
                <w:sz w:val="12"/>
              </w:rPr>
              <w:t>Manages contracts, PO quotas, variance review queues, and final MIRO invoice approvals.</w:t>
            </w:r>
          </w:p>
        </w:tc>
        <w:tc>
          <w:tcPr>
            <w:tcW w:type="dxa" w:w="2105"/>
            <w:shd w:fill="F8FAFC"/>
            <w:tcBorders>
              <w:top w:val="single" w:sz="4" w:space="0" w:color="D9E1E8"/>
              <w:left w:val="single" w:sz="4" w:space="0" w:color="D9E1E8"/>
              <w:bottom w:val="single" w:sz="4" w:space="0" w:color="D9E1E8"/>
              <w:right w:val="single" w:sz="4" w:space="0" w:color="D9E1E8"/>
            </w:tcBorders>
            <w:tcMar>
              <w:top w:w="45" w:type="dxa"/>
              <w:bottom w:w="45" w:type="dxa"/>
              <w:left w:w="50" w:type="dxa"/>
              <w:right w:w="50" w:type="dxa"/>
            </w:tcMar>
          </w:tcPr>
          <w:p>
            <w:pPr>
              <w:spacing w:after="0"/>
              <w:jc w:val="center"/>
            </w:pPr>
            <w:r>
              <w:rPr>
                <w:b/>
                <w:color w:val="0A6ED1"/>
                <w:sz w:val="14"/>
              </w:rPr>
              <w:t>[TA] Transporter Admin</w:t>
              <w:br/>
            </w:r>
            <w:r>
              <w:rPr>
                <w:color w:val="486581"/>
                <w:sz w:val="12"/>
              </w:rPr>
              <w:t>Accepts allocated POs via digital signature, schedules fleet/drivers, and submits freight invoices.</w:t>
            </w:r>
          </w:p>
        </w:tc>
        <w:tc>
          <w:tcPr>
            <w:tcW w:type="dxa" w:w="2105"/>
            <w:shd w:fill="F8FAFC"/>
            <w:tcBorders>
              <w:top w:val="single" w:sz="4" w:space="0" w:color="D9E1E8"/>
              <w:left w:val="single" w:sz="4" w:space="0" w:color="D9E1E8"/>
              <w:bottom w:val="single" w:sz="4" w:space="0" w:color="D9E1E8"/>
              <w:right w:val="single" w:sz="4" w:space="0" w:color="D9E1E8"/>
            </w:tcBorders>
            <w:tcMar>
              <w:top w:w="45" w:type="dxa"/>
              <w:bottom w:w="45" w:type="dxa"/>
              <w:left w:w="50" w:type="dxa"/>
              <w:right w:w="50" w:type="dxa"/>
            </w:tcMar>
          </w:tcPr>
          <w:p>
            <w:pPr>
              <w:spacing w:after="0"/>
              <w:jc w:val="center"/>
            </w:pPr>
            <w:r>
              <w:rPr>
                <w:b/>
                <w:color w:val="0A6ED1"/>
                <w:sz w:val="14"/>
              </w:rPr>
              <w:t>[SR] Supervisor</w:t>
              <w:br/>
            </w:r>
            <w:r>
              <w:rPr>
                <w:color w:val="486581"/>
                <w:sz w:val="12"/>
              </w:rPr>
              <w:t>Conducts siding inspections, logs weighbridge weights, and authorizes gate dispatch release.</w:t>
            </w:r>
          </w:p>
        </w:tc>
        <w:tc>
          <w:tcPr>
            <w:tcW w:type="dxa" w:w="2105"/>
            <w:shd w:fill="F8FAFC"/>
            <w:tcBorders>
              <w:top w:val="single" w:sz="4" w:space="0" w:color="D9E1E8"/>
              <w:left w:val="single" w:sz="4" w:space="0" w:color="D9E1E8"/>
              <w:bottom w:val="single" w:sz="4" w:space="0" w:color="D9E1E8"/>
              <w:right w:val="single" w:sz="4" w:space="0" w:color="D9E1E8"/>
            </w:tcBorders>
            <w:tcMar>
              <w:top w:w="45" w:type="dxa"/>
              <w:bottom w:w="45" w:type="dxa"/>
              <w:left w:w="50" w:type="dxa"/>
              <w:right w:w="50" w:type="dxa"/>
            </w:tcMar>
          </w:tcPr>
          <w:p>
            <w:pPr>
              <w:spacing w:after="0"/>
              <w:jc w:val="center"/>
            </w:pPr>
            <w:r>
              <w:rPr>
                <w:b/>
                <w:color w:val="0A6ED1"/>
                <w:sz w:val="14"/>
              </w:rPr>
              <w:t>[DR] Driver</w:t>
              <w:br/>
            </w:r>
            <w:r>
              <w:rPr>
                <w:color w:val="486581"/>
                <w:sz w:val="12"/>
              </w:rPr>
              <w:t>Executes assignments via mobile web, verifies loading, and uploads stamped physical POD slips.</w:t>
            </w:r>
          </w:p>
        </w:tc>
        <w:tc>
          <w:tcPr>
            <w:tcW w:type="dxa" w:w="2105"/>
            <w:shd w:fill="F8FAFC"/>
            <w:tcBorders>
              <w:top w:val="single" w:sz="4" w:space="0" w:color="D9E1E8"/>
              <w:left w:val="single" w:sz="4" w:space="0" w:color="D9E1E8"/>
              <w:bottom w:val="single" w:sz="4" w:space="0" w:color="D9E1E8"/>
              <w:right w:val="single" w:sz="4" w:space="0" w:color="D9E1E8"/>
            </w:tcBorders>
            <w:tcMar>
              <w:top w:w="45" w:type="dxa"/>
              <w:bottom w:w="45" w:type="dxa"/>
              <w:left w:w="50" w:type="dxa"/>
              <w:right w:w="50" w:type="dxa"/>
            </w:tcMar>
          </w:tcPr>
          <w:p>
            <w:pPr>
              <w:spacing w:after="0"/>
              <w:jc w:val="center"/>
            </w:pPr>
            <w:r>
              <w:rPr>
                <w:b/>
                <w:color w:val="0A6ED1"/>
                <w:sz w:val="14"/>
              </w:rPr>
              <w:t>[CR] Customer</w:t>
              <w:br/>
            </w:r>
            <w:r>
              <w:rPr>
                <w:color w:val="486581"/>
                <w:sz w:val="12"/>
              </w:rPr>
              <w:t>Captures receiving weighbridge readings, records transit deviations, and confirms delivery acceptance.</w:t>
            </w:r>
          </w:p>
        </w:tc>
      </w:tr>
    </w:tbl>
    <w:p>
      <w:pPr>
        <w:spacing w:before="100" w:after="40"/>
      </w:pPr>
      <w:r>
        <w:rPr>
          <w:b/>
          <w:color w:val="0854A0"/>
          <w:sz w:val="17"/>
        </w:rPr>
        <w:t>SECTION 4 — END-TO-END OPERATIONAL WORKFLOW</w:t>
      </w:r>
    </w:p>
    <w:tbl>
      <w:tblPr>
        <w:tblW w:type="auto" w:w="0"/>
        <w:jc w:val="center"/>
        <w:tblLook w:firstColumn="1" w:firstRow="1" w:lastColumn="0" w:lastRow="0" w:noHBand="0" w:noVBand="1" w:val="04A0"/>
      </w:tblPr>
      <w:tblGrid>
        <w:gridCol w:w="1498"/>
        <w:gridCol w:w="1498"/>
        <w:gridCol w:w="1498"/>
        <w:gridCol w:w="1498"/>
        <w:gridCol w:w="1498"/>
        <w:gridCol w:w="1498"/>
        <w:gridCol w:w="1498"/>
      </w:tblGrid>
      <w:tr>
        <w:tc>
          <w:tcPr>
            <w:tcW w:type="dxa" w:w="1504"/>
            <w:shd w:fill="EAF3FC"/>
            <w:tcBorders>
              <w:top w:val="single" w:sz="4" w:space="0" w:color="0A6ED1"/>
              <w:left w:val="single" w:sz="4" w:space="0" w:color="0A6ED1"/>
              <w:bottom w:val="single" w:sz="4" w:space="0" w:color="0A6ED1"/>
              <w:right w:val="single" w:sz="4" w:space="0" w:color="0A6ED1"/>
            </w:tcBorders>
            <w:tcMar>
              <w:top w:w="40" w:type="dxa"/>
              <w:bottom w:w="40" w:type="dxa"/>
              <w:left w:w="30" w:type="dxa"/>
              <w:right w:w="30" w:type="dxa"/>
            </w:tcMar>
          </w:tcPr>
          <w:p>
            <w:pPr>
              <w:spacing w:after="0"/>
              <w:jc w:val="center"/>
            </w:pPr>
            <w:r>
              <w:rPr>
                <w:b/>
                <w:color w:val="0A6ED1"/>
                <w:sz w:val="12"/>
              </w:rPr>
              <w:t>Step 1</w:t>
              <w:br/>
            </w:r>
            <w:r>
              <w:rPr>
                <w:b/>
                <w:color w:val="0F2744"/>
                <w:sz w:val="13"/>
              </w:rPr>
              <w:t>SAP S/21 Sync</w:t>
              <w:br/>
            </w:r>
            <w:r>
              <w:rPr>
                <w:color w:val="5B738B"/>
                <w:sz w:val="12"/>
              </w:rPr>
              <w:t>Contracts &amp; POs</w:t>
            </w:r>
          </w:p>
        </w:tc>
        <w:tc>
          <w:tcPr>
            <w:tcW w:type="dxa" w:w="1504"/>
            <w:shd w:fill="FFFFFF"/>
            <w:tcBorders>
              <w:top w:val="single" w:sz="4" w:space="0" w:color="CBD5E1"/>
              <w:left w:val="single" w:sz="4" w:space="0" w:color="CBD5E1"/>
              <w:bottom w:val="single" w:sz="4" w:space="0" w:color="CBD5E1"/>
              <w:right w:val="single" w:sz="4" w:space="0" w:color="CBD5E1"/>
            </w:tcBorders>
            <w:tcMar>
              <w:top w:w="40" w:type="dxa"/>
              <w:bottom w:w="40" w:type="dxa"/>
              <w:left w:w="30" w:type="dxa"/>
              <w:right w:w="30" w:type="dxa"/>
            </w:tcMar>
          </w:tcPr>
          <w:p>
            <w:pPr>
              <w:spacing w:after="0"/>
              <w:jc w:val="center"/>
            </w:pPr>
            <w:r>
              <w:rPr>
                <w:b/>
                <w:color w:val="0A6ED1"/>
                <w:sz w:val="12"/>
              </w:rPr>
              <w:t>Step 2</w:t>
              <w:br/>
            </w:r>
            <w:r>
              <w:rPr>
                <w:b/>
                <w:color w:val="0F2744"/>
                <w:sz w:val="13"/>
              </w:rPr>
              <w:t>PO E-Acceptance</w:t>
              <w:br/>
            </w:r>
            <w:r>
              <w:rPr>
                <w:color w:val="5B738B"/>
                <w:sz w:val="12"/>
              </w:rPr>
              <w:t>Transporter (TA)</w:t>
            </w:r>
          </w:p>
        </w:tc>
        <w:tc>
          <w:tcPr>
            <w:tcW w:type="dxa" w:w="1504"/>
            <w:shd w:fill="FFFFFF"/>
            <w:tcBorders>
              <w:top w:val="single" w:sz="4" w:space="0" w:color="CBD5E1"/>
              <w:left w:val="single" w:sz="4" w:space="0" w:color="CBD5E1"/>
              <w:bottom w:val="single" w:sz="4" w:space="0" w:color="CBD5E1"/>
              <w:right w:val="single" w:sz="4" w:space="0" w:color="CBD5E1"/>
            </w:tcBorders>
            <w:tcMar>
              <w:top w:w="40" w:type="dxa"/>
              <w:bottom w:w="40" w:type="dxa"/>
              <w:left w:w="30" w:type="dxa"/>
              <w:right w:w="30" w:type="dxa"/>
            </w:tcMar>
          </w:tcPr>
          <w:p>
            <w:pPr>
              <w:spacing w:after="0"/>
              <w:jc w:val="center"/>
            </w:pPr>
            <w:r>
              <w:rPr>
                <w:b/>
                <w:color w:val="0A6ED1"/>
                <w:sz w:val="12"/>
              </w:rPr>
              <w:t>Step 3</w:t>
              <w:br/>
            </w:r>
            <w:r>
              <w:rPr>
                <w:b/>
                <w:color w:val="0F2744"/>
                <w:sz w:val="13"/>
              </w:rPr>
              <w:t>Siding Dispatch</w:t>
              <w:br/>
            </w:r>
            <w:r>
              <w:rPr>
                <w:color w:val="5B738B"/>
                <w:sz w:val="12"/>
              </w:rPr>
              <w:t>Supervisor (SR)</w:t>
            </w:r>
          </w:p>
        </w:tc>
        <w:tc>
          <w:tcPr>
            <w:tcW w:type="dxa" w:w="1504"/>
            <w:shd w:fill="FFFFFF"/>
            <w:tcBorders>
              <w:top w:val="single" w:sz="4" w:space="0" w:color="CBD5E1"/>
              <w:left w:val="single" w:sz="4" w:space="0" w:color="CBD5E1"/>
              <w:bottom w:val="single" w:sz="4" w:space="0" w:color="CBD5E1"/>
              <w:right w:val="single" w:sz="4" w:space="0" w:color="CBD5E1"/>
            </w:tcBorders>
            <w:tcMar>
              <w:top w:w="40" w:type="dxa"/>
              <w:bottom w:w="40" w:type="dxa"/>
              <w:left w:w="30" w:type="dxa"/>
              <w:right w:w="30" w:type="dxa"/>
            </w:tcMar>
          </w:tcPr>
          <w:p>
            <w:pPr>
              <w:spacing w:after="0"/>
              <w:jc w:val="center"/>
            </w:pPr>
            <w:r>
              <w:rPr>
                <w:b/>
                <w:color w:val="0A6ED1"/>
                <w:sz w:val="12"/>
              </w:rPr>
              <w:t>Step 4</w:t>
              <w:br/>
            </w:r>
            <w:r>
              <w:rPr>
                <w:b/>
                <w:color w:val="0F2744"/>
                <w:sz w:val="13"/>
              </w:rPr>
              <w:t>Transit Execution</w:t>
              <w:br/>
            </w:r>
            <w:r>
              <w:rPr>
                <w:color w:val="5B738B"/>
                <w:sz w:val="12"/>
              </w:rPr>
              <w:t>Driver (DR)</w:t>
            </w:r>
          </w:p>
        </w:tc>
        <w:tc>
          <w:tcPr>
            <w:tcW w:type="dxa" w:w="1504"/>
            <w:shd w:fill="FFFFFF"/>
            <w:tcBorders>
              <w:top w:val="single" w:sz="4" w:space="0" w:color="CBD5E1"/>
              <w:left w:val="single" w:sz="4" w:space="0" w:color="CBD5E1"/>
              <w:bottom w:val="single" w:sz="4" w:space="0" w:color="CBD5E1"/>
              <w:right w:val="single" w:sz="4" w:space="0" w:color="CBD5E1"/>
            </w:tcBorders>
            <w:tcMar>
              <w:top w:w="40" w:type="dxa"/>
              <w:bottom w:w="40" w:type="dxa"/>
              <w:left w:w="30" w:type="dxa"/>
              <w:right w:w="30" w:type="dxa"/>
            </w:tcMar>
          </w:tcPr>
          <w:p>
            <w:pPr>
              <w:spacing w:after="0"/>
              <w:jc w:val="center"/>
            </w:pPr>
            <w:r>
              <w:rPr>
                <w:b/>
                <w:color w:val="0A6ED1"/>
                <w:sz w:val="12"/>
              </w:rPr>
              <w:t>Step 5</w:t>
              <w:br/>
            </w:r>
            <w:r>
              <w:rPr>
                <w:b/>
                <w:color w:val="0F2744"/>
                <w:sz w:val="13"/>
              </w:rPr>
              <w:t>Yard Receiving</w:t>
              <w:br/>
            </w:r>
            <w:r>
              <w:rPr>
                <w:color w:val="5B738B"/>
                <w:sz w:val="12"/>
              </w:rPr>
              <w:t>Customer (CR)</w:t>
            </w:r>
          </w:p>
        </w:tc>
        <w:tc>
          <w:tcPr>
            <w:tcW w:type="dxa" w:w="1504"/>
            <w:shd w:fill="FFFFFF"/>
            <w:tcBorders>
              <w:top w:val="single" w:sz="4" w:space="0" w:color="CBD5E1"/>
              <w:left w:val="single" w:sz="4" w:space="0" w:color="CBD5E1"/>
              <w:bottom w:val="single" w:sz="4" w:space="0" w:color="CBD5E1"/>
              <w:right w:val="single" w:sz="4" w:space="0" w:color="CBD5E1"/>
            </w:tcBorders>
            <w:tcMar>
              <w:top w:w="40" w:type="dxa"/>
              <w:bottom w:w="40" w:type="dxa"/>
              <w:left w:w="30" w:type="dxa"/>
              <w:right w:w="30" w:type="dxa"/>
            </w:tcMar>
          </w:tcPr>
          <w:p>
            <w:pPr>
              <w:spacing w:after="0"/>
              <w:jc w:val="center"/>
            </w:pPr>
            <w:r>
              <w:rPr>
                <w:b/>
                <w:color w:val="0A6ED1"/>
                <w:sz w:val="12"/>
              </w:rPr>
              <w:t>Step 6</w:t>
              <w:br/>
            </w:r>
            <w:r>
              <w:rPr>
                <w:b/>
                <w:color w:val="0F2744"/>
                <w:sz w:val="13"/>
              </w:rPr>
              <w:t>OCR POD Review</w:t>
              <w:br/>
            </w:r>
            <w:r>
              <w:rPr>
                <w:color w:val="5B738B"/>
                <w:sz w:val="12"/>
              </w:rPr>
              <w:t>Company Admin (CA)</w:t>
            </w:r>
          </w:p>
        </w:tc>
        <w:tc>
          <w:tcPr>
            <w:tcW w:type="dxa" w:w="1504"/>
            <w:shd w:fill="EAF3FC"/>
            <w:tcBorders>
              <w:top w:val="single" w:sz="4" w:space="0" w:color="0A6ED1"/>
              <w:left w:val="single" w:sz="4" w:space="0" w:color="0A6ED1"/>
              <w:bottom w:val="single" w:sz="4" w:space="0" w:color="0A6ED1"/>
              <w:right w:val="single" w:sz="4" w:space="0" w:color="0A6ED1"/>
            </w:tcBorders>
            <w:tcMar>
              <w:top w:w="40" w:type="dxa"/>
              <w:bottom w:w="40" w:type="dxa"/>
              <w:left w:w="30" w:type="dxa"/>
              <w:right w:w="30" w:type="dxa"/>
            </w:tcMar>
          </w:tcPr>
          <w:p>
            <w:pPr>
              <w:spacing w:after="0"/>
              <w:jc w:val="center"/>
            </w:pPr>
            <w:r>
              <w:rPr>
                <w:b/>
                <w:color w:val="0A6ED1"/>
                <w:sz w:val="12"/>
              </w:rPr>
              <w:t>Step 7</w:t>
              <w:br/>
            </w:r>
            <w:r>
              <w:rPr>
                <w:b/>
                <w:color w:val="0F2744"/>
                <w:sz w:val="13"/>
              </w:rPr>
              <w:t>SAP MIRO Clear</w:t>
              <w:br/>
            </w:r>
            <w:r>
              <w:rPr>
                <w:color w:val="5B738B"/>
                <w:sz w:val="12"/>
              </w:rPr>
              <w:t>Park &amp; Post Invoice</w:t>
            </w:r>
          </w:p>
        </w:tc>
      </w:tr>
    </w:tbl>
    <w:p>
      <w:pPr>
        <w:spacing w:before="60" w:after="0"/>
      </w:pPr>
      <w:r>
        <w:rPr>
          <w:b/>
          <w:color w:val="0854A0"/>
          <w:sz w:val="13"/>
        </w:rPr>
        <w:t xml:space="preserve">Operational Data Continuity: </w:t>
      </w:r>
      <w:r>
        <w:rPr>
          <w:color w:val="5B738B"/>
          <w:sz w:val="13"/>
        </w:rPr>
        <w:t>SAP S/21 Contracts &amp; POs • Transporter E-Acceptance &amp; Bilty • Siding Weighbridge Clearance • Driver Mobile Telemetry • Yard Stamping • OCR 3-Way Verification • SAP MIRO Invoicing &amp; Clearing.</w:t>
      </w:r>
    </w:p>
    <w:p>
      <w:pPr>
        <w:spacing w:before="80" w:after="0"/>
      </w:pPr>
      <w:r>
        <w:rPr>
          <w:color w:val="5B738B"/>
          <w:sz w:val="14"/>
        </w:rPr>
        <w:t>PODZO — SAP-Connected Delivery &amp; Transport Management Platform  |  Page 1 of 2</w:t>
      </w:r>
    </w:p>
    <w:p>
      <w:r>
        <w:br w:type="page"/>
      </w:r>
    </w:p>
    <w:tbl>
      <w:tblPr>
        <w:tblW w:type="auto" w:w="0"/>
        <w:jc w:val="center"/>
        <w:tblLook w:firstColumn="1" w:firstRow="1" w:lastColumn="0" w:lastRow="0" w:noHBand="0" w:noVBand="1" w:val="04A0"/>
      </w:tblPr>
      <w:tblGrid>
        <w:gridCol w:w="7632"/>
        <w:gridCol w:w="2894"/>
      </w:tblGrid>
      <w:tr>
        <w:tc>
          <w:tcPr>
            <w:tcW w:type="dxa" w:w="5263"/>
          </w:tcPr>
          <w:p>
            <w:pPr>
              <w:spacing w:after="20"/>
            </w:pPr>
            <w:r>
              <w:rPr>
                <w:b/>
                <w:color w:val="0F2744"/>
                <w:sz w:val="22"/>
              </w:rPr>
              <w:t>PODZO — Integration &amp; Technical Architecture</w:t>
              <w:br/>
            </w:r>
            <w:r>
              <w:rPr>
                <w:b/>
                <w:color w:val="0A6ED1"/>
                <w:sz w:val="16"/>
              </w:rPr>
              <w:t>SAP S/21 Integration, Architectural Blueprint &amp; Enterprise Value</w:t>
            </w:r>
          </w:p>
        </w:tc>
        <w:tc>
          <w:tcPr>
            <w:tcW w:type="dxa" w:w="5263"/>
          </w:tcPr>
          <w:p>
            <w:pPr>
              <w:spacing w:after="0"/>
              <w:jc w:val="right"/>
            </w:pPr>
            <w:r>
              <w:rPr>
                <w:b/>
                <w:color w:val="0854A0"/>
                <w:sz w:val="16"/>
              </w:rPr>
              <w:t>ENTERPRISE BLUEPRINT</w:t>
              <w:br/>
            </w:r>
            <w:r>
              <w:rPr>
                <w:color w:val="5B738B"/>
                <w:sz w:val="15"/>
              </w:rPr>
              <w:t>Page 2 of 2</w:t>
            </w:r>
          </w:p>
        </w:tc>
      </w:tr>
    </w:tbl>
    <w:p>
      <w:pPr>
        <w:spacing w:before="40" w:after="60"/>
      </w:pPr>
      <w:r>
        <w:rPr>
          <w:color w:val="0A6ED1"/>
          <w:sz w:val="14"/>
        </w:rPr>
        <w:t>――――――――――――――――――――――――――――――――――――――――――――――――――――――――――――――――</w:t>
      </w:r>
    </w:p>
    <w:p>
      <w:pPr>
        <w:spacing w:before="80" w:after="40"/>
      </w:pPr>
      <w:r>
        <w:rPr>
          <w:b/>
          <w:color w:val="0854A0"/>
          <w:sz w:val="17"/>
        </w:rPr>
        <w:t>SECTION 5 — SAP S/21 INTEGRATION</w:t>
      </w:r>
    </w:p>
    <w:tbl>
      <w:tblPr>
        <w:tblW w:type="auto" w:w="0"/>
        <w:jc w:val="center"/>
        <w:tblLook w:firstColumn="1" w:firstRow="1" w:lastColumn="0" w:lastRow="0" w:noHBand="0" w:noVBand="1" w:val="04A0"/>
      </w:tblPr>
      <w:tblGrid>
        <w:gridCol w:w="2592"/>
        <w:gridCol w:w="4766"/>
        <w:gridCol w:w="3168"/>
      </w:tblGrid>
      <w:tr>
        <w:tc>
          <w:tcPr>
            <w:tcW w:type="dxa" w:w="3509"/>
            <w:shd w:fill="0854A0"/>
            <w:tcMar>
              <w:top w:w="50" w:type="dxa"/>
              <w:bottom w:w="50" w:type="dxa"/>
              <w:left w:w="70" w:type="dxa"/>
              <w:right w:w="70" w:type="dxa"/>
            </w:tcMar>
          </w:tcPr>
          <w:p>
            <w:pPr>
              <w:spacing w:after="0"/>
            </w:pPr>
            <w:r>
              <w:rPr>
                <w:b/>
                <w:color w:val="FFFFFF"/>
                <w:sz w:val="14"/>
              </w:rPr>
              <w:t>Integration Dimension</w:t>
            </w:r>
          </w:p>
        </w:tc>
        <w:tc>
          <w:tcPr>
            <w:tcW w:type="dxa" w:w="3509"/>
            <w:shd w:fill="0854A0"/>
            <w:tcMar>
              <w:top w:w="50" w:type="dxa"/>
              <w:bottom w:w="50" w:type="dxa"/>
              <w:left w:w="70" w:type="dxa"/>
              <w:right w:w="70" w:type="dxa"/>
            </w:tcMar>
          </w:tcPr>
          <w:p>
            <w:pPr>
              <w:spacing w:after="0"/>
            </w:pPr>
            <w:r>
              <w:rPr>
                <w:b/>
                <w:color w:val="FFFFFF"/>
                <w:sz w:val="14"/>
              </w:rPr>
              <w:t>Data Scope &amp; Functional Mapping</w:t>
            </w:r>
          </w:p>
        </w:tc>
        <w:tc>
          <w:tcPr>
            <w:tcW w:type="dxa" w:w="3509"/>
            <w:shd w:fill="0854A0"/>
            <w:tcMar>
              <w:top w:w="50" w:type="dxa"/>
              <w:bottom w:w="50" w:type="dxa"/>
              <w:left w:w="70" w:type="dxa"/>
              <w:right w:w="70" w:type="dxa"/>
            </w:tcMar>
          </w:tcPr>
          <w:p>
            <w:pPr>
              <w:spacing w:after="0"/>
            </w:pPr>
            <w:r>
              <w:rPr>
                <w:b/>
                <w:color w:val="FFFFFF"/>
                <w:sz w:val="14"/>
              </w:rPr>
              <w:t>Data Governance &amp; Storage Boundary</w:t>
            </w:r>
          </w:p>
        </w:tc>
      </w:tr>
      <w:tr>
        <w:tc>
          <w:tcPr>
            <w:tcW w:type="dxa" w:w="3509"/>
            <w:shd w:fill="F8FAFC"/>
            <w:tcBorders>
              <w:bottom w:val="single" w:sz="4" w:space="0" w:color="E2E8F0"/>
            </w:tcBorders>
            <w:tcMar>
              <w:top w:w="45" w:type="dxa"/>
              <w:bottom w:w="45" w:type="dxa"/>
              <w:left w:w="70" w:type="dxa"/>
              <w:right w:w="70" w:type="dxa"/>
            </w:tcMar>
          </w:tcPr>
          <w:p>
            <w:pPr>
              <w:spacing w:after="0"/>
            </w:pPr>
            <w:r>
              <w:rPr>
                <w:color w:val="1D2D3E"/>
                <w:sz w:val="13"/>
              </w:rPr>
              <w:t>Inbound from SAP S/21</w:t>
              <w:br/>
              <w:t>[OData / REST APIs]</w:t>
            </w:r>
          </w:p>
        </w:tc>
        <w:tc>
          <w:tcPr>
            <w:tcW w:type="dxa" w:w="3509"/>
            <w:shd w:fill="F8FAFC"/>
            <w:tcBorders>
              <w:bottom w:val="single" w:sz="4" w:space="0" w:color="E2E8F0"/>
            </w:tcBorders>
            <w:tcMar>
              <w:top w:w="45" w:type="dxa"/>
              <w:bottom w:w="45" w:type="dxa"/>
              <w:left w:w="70" w:type="dxa"/>
              <w:right w:w="70" w:type="dxa"/>
            </w:tcMar>
          </w:tcPr>
          <w:p>
            <w:pPr>
              <w:spacing w:after="0"/>
            </w:pPr>
            <w:r>
              <w:rPr>
                <w:color w:val="1D2D3E"/>
                <w:sz w:val="13"/>
              </w:rPr>
              <w:t>Outline Contracts (ME33K), Transport POs (ME23N), Line Items, Target Tonnage, Unit Rates, Cost Centers, Delivery Sites, Vendor Master (LFA1).</w:t>
            </w:r>
          </w:p>
        </w:tc>
        <w:tc>
          <w:tcPr>
            <w:tcW w:type="dxa" w:w="3509"/>
            <w:shd w:fill="F8FAFC"/>
            <w:tcBorders>
              <w:bottom w:val="single" w:sz="4" w:space="0" w:color="E2E8F0"/>
            </w:tcBorders>
            <w:tcMar>
              <w:top w:w="45" w:type="dxa"/>
              <w:bottom w:w="45" w:type="dxa"/>
              <w:left w:w="70" w:type="dxa"/>
              <w:right w:w="70" w:type="dxa"/>
            </w:tcMar>
          </w:tcPr>
          <w:p>
            <w:pPr>
              <w:spacing w:after="0"/>
            </w:pPr>
            <w:r>
              <w:rPr>
                <w:color w:val="1D2D3E"/>
                <w:sz w:val="13"/>
              </w:rPr>
              <w:t>Retrieved from SAP. Master records remain governed exclusively in SAP S/21; cached for operational display.</w:t>
            </w:r>
          </w:p>
        </w:tc>
      </w:tr>
      <w:tr>
        <w:tc>
          <w:tcPr>
            <w:tcW w:type="dxa" w:w="3509"/>
            <w:shd w:fill="FFFFFF"/>
            <w:tcBorders>
              <w:bottom w:val="single" w:sz="4" w:space="0" w:color="E2E8F0"/>
            </w:tcBorders>
            <w:tcMar>
              <w:top w:w="45" w:type="dxa"/>
              <w:bottom w:w="45" w:type="dxa"/>
              <w:left w:w="70" w:type="dxa"/>
              <w:right w:w="70" w:type="dxa"/>
            </w:tcMar>
          </w:tcPr>
          <w:p>
            <w:pPr>
              <w:spacing w:after="0"/>
            </w:pPr>
            <w:r>
              <w:rPr>
                <w:color w:val="1D2D3E"/>
                <w:sz w:val="13"/>
              </w:rPr>
              <w:t>Operational Processing</w:t>
              <w:br/>
              <w:t>[PODZO Core Layer]</w:t>
            </w:r>
          </w:p>
        </w:tc>
        <w:tc>
          <w:tcPr>
            <w:tcW w:type="dxa" w:w="3509"/>
            <w:shd w:fill="FFFFFF"/>
            <w:tcBorders>
              <w:bottom w:val="single" w:sz="4" w:space="0" w:color="E2E8F0"/>
            </w:tcBorders>
            <w:tcMar>
              <w:top w:w="45" w:type="dxa"/>
              <w:bottom w:w="45" w:type="dxa"/>
              <w:left w:w="70" w:type="dxa"/>
              <w:right w:w="70" w:type="dxa"/>
            </w:tcMar>
          </w:tcPr>
          <w:p>
            <w:pPr>
              <w:spacing w:after="0"/>
            </w:pPr>
            <w:r>
              <w:rPr>
                <w:color w:val="1D2D3E"/>
                <w:sz w:val="13"/>
              </w:rPr>
              <w:t>Digital PO acceptance signature hashes, carrier waybills (bilties), 4-point weighbridge tickets, OTP verifications, driver stamps, uploaded POD scans.</w:t>
            </w:r>
          </w:p>
        </w:tc>
        <w:tc>
          <w:tcPr>
            <w:tcW w:type="dxa" w:w="3509"/>
            <w:shd w:fill="FFFFFF"/>
            <w:tcBorders>
              <w:bottom w:val="single" w:sz="4" w:space="0" w:color="E2E8F0"/>
            </w:tcBorders>
            <w:tcMar>
              <w:top w:w="45" w:type="dxa"/>
              <w:bottom w:w="45" w:type="dxa"/>
              <w:left w:w="70" w:type="dxa"/>
              <w:right w:w="70" w:type="dxa"/>
            </w:tcMar>
          </w:tcPr>
          <w:p>
            <w:pPr>
              <w:spacing w:after="0"/>
            </w:pPr>
            <w:r>
              <w:rPr>
                <w:color w:val="1D2D3E"/>
                <w:sz w:val="13"/>
              </w:rPr>
              <w:t>Stored in PODZO. Field execution logs and audit telemetry are persisted locally in PODZO's transactional database.</w:t>
            </w:r>
          </w:p>
        </w:tc>
      </w:tr>
      <w:tr>
        <w:tc>
          <w:tcPr>
            <w:tcW w:type="dxa" w:w="3509"/>
            <w:shd w:fill="F8FAFC"/>
            <w:tcBorders>
              <w:bottom w:val="single" w:sz="4" w:space="0" w:color="E2E8F0"/>
            </w:tcBorders>
            <w:tcMar>
              <w:top w:w="45" w:type="dxa"/>
              <w:bottom w:w="45" w:type="dxa"/>
              <w:left w:w="70" w:type="dxa"/>
              <w:right w:w="70" w:type="dxa"/>
            </w:tcMar>
          </w:tcPr>
          <w:p>
            <w:pPr>
              <w:spacing w:after="0"/>
            </w:pPr>
            <w:r>
              <w:rPr>
                <w:color w:val="1D2D3E"/>
                <w:sz w:val="13"/>
              </w:rPr>
              <w:t>Outbound to SAP S/21</w:t>
              <w:br/>
              <w:t>[ABAP RFC / MIRO API]</w:t>
            </w:r>
          </w:p>
        </w:tc>
        <w:tc>
          <w:tcPr>
            <w:tcW w:type="dxa" w:w="3509"/>
            <w:shd w:fill="F8FAFC"/>
            <w:tcBorders>
              <w:bottom w:val="single" w:sz="4" w:space="0" w:color="E2E8F0"/>
            </w:tcBorders>
            <w:tcMar>
              <w:top w:w="45" w:type="dxa"/>
              <w:bottom w:w="45" w:type="dxa"/>
              <w:left w:w="70" w:type="dxa"/>
              <w:right w:w="70" w:type="dxa"/>
            </w:tcMar>
          </w:tcPr>
          <w:p>
            <w:pPr>
              <w:spacing w:after="0"/>
            </w:pPr>
            <w:r>
              <w:rPr>
                <w:color w:val="1D2D3E"/>
                <w:sz w:val="13"/>
              </w:rPr>
              <w:t>Verified delivered quantities, Service Entry Sheet (SES / ML81N) triggers, MIRO supplier invoice parking/posting, ArchiveLink POD attachments.</w:t>
            </w:r>
          </w:p>
        </w:tc>
        <w:tc>
          <w:tcPr>
            <w:tcW w:type="dxa" w:w="3509"/>
            <w:shd w:fill="F8FAFC"/>
            <w:tcBorders>
              <w:bottom w:val="single" w:sz="4" w:space="0" w:color="E2E8F0"/>
            </w:tcBorders>
            <w:tcMar>
              <w:top w:w="45" w:type="dxa"/>
              <w:bottom w:w="45" w:type="dxa"/>
              <w:left w:w="70" w:type="dxa"/>
              <w:right w:w="70" w:type="dxa"/>
            </w:tcMar>
          </w:tcPr>
          <w:p>
            <w:pPr>
              <w:spacing w:after="0"/>
            </w:pPr>
            <w:r>
              <w:rPr>
                <w:color w:val="1D2D3E"/>
                <w:sz w:val="13"/>
              </w:rPr>
              <w:t>Posted to SAP. Final financial and compliance artifacts are transmitted back to SAP for settlement.</w:t>
            </w:r>
          </w:p>
        </w:tc>
      </w:tr>
    </w:tbl>
    <w:p>
      <w:pPr>
        <w:spacing w:before="100" w:after="40"/>
      </w:pPr>
      <w:r>
        <w:rPr>
          <w:b/>
          <w:color w:val="0854A0"/>
          <w:sz w:val="17"/>
        </w:rPr>
        <w:t>SECTION 6 — HIGH-LEVEL SOLUTION ARCHITECTURE</w:t>
      </w:r>
    </w:p>
    <w:tbl>
      <w:tblPr>
        <w:tblW w:type="auto" w:w="0"/>
        <w:jc w:val="center"/>
        <w:tblLook w:firstColumn="1" w:firstRow="1" w:lastColumn="0" w:lastRow="0" w:noHBand="0" w:noVBand="1" w:val="04A0"/>
      </w:tblPr>
      <w:tblGrid>
        <w:gridCol w:w="10526"/>
      </w:tblGrid>
      <w:tr>
        <w:tc>
          <w:tcPr>
            <w:tcW w:type="dxa" w:w="10527"/>
            <w:shd w:fill="F8FAFC"/>
            <w:tcBorders>
              <w:top w:val="single" w:sz="4" w:space="0" w:color="CBD5E1"/>
              <w:left w:val="single" w:sz="4" w:space="0" w:color="CBD5E1"/>
              <w:bottom w:val="single" w:sz="4" w:space="0" w:color="CBD5E1"/>
              <w:right w:val="single" w:sz="4" w:space="0" w:color="CBD5E1"/>
            </w:tcBorders>
            <w:tcMar>
              <w:top w:w="45" w:type="dxa"/>
              <w:bottom w:w="45" w:type="dxa"/>
              <w:left w:w="90" w:type="dxa"/>
              <w:right w:w="90" w:type="dxa"/>
            </w:tcMar>
          </w:tcPr>
          <w:p>
            <w:pPr>
              <w:spacing w:after="0"/>
            </w:pPr>
            <w:r>
              <w:rPr>
                <w:b/>
                <w:color w:val="0F2744"/>
                <w:sz w:val="14"/>
              </w:rPr>
              <w:t>1. Enterprise ERP Layer (SAP S/21 System of Record)</w:t>
              <w:br/>
            </w:r>
            <w:r>
              <w:rPr>
                <w:color w:val="486581"/>
                <w:sz w:val="13"/>
              </w:rPr>
              <w:t>SAP ECC / S/4HANA Core  •  Contracts (ME33K)  •  Purchase Orders (ME23N)  •  Service Entry Sheets (ML81N)  •  Supplier Invoicing (MIRO)  •  ArchiveLink / DMS</w:t>
            </w:r>
          </w:p>
        </w:tc>
      </w:tr>
      <w:tr>
        <w:tc>
          <w:tcPr>
            <w:tcW w:type="dxa" w:w="10527"/>
            <w:shd w:fill="FFFFFF"/>
            <w:tcBorders>
              <w:top w:val="single" w:sz="4" w:space="0" w:color="0A6ED1"/>
              <w:left w:val="single" w:sz="4" w:space="0" w:color="0A6ED1"/>
              <w:bottom w:val="single" w:sz="4" w:space="0" w:color="0A6ED1"/>
              <w:right w:val="single" w:sz="4" w:space="0" w:color="0A6ED1"/>
            </w:tcBorders>
            <w:tcMar>
              <w:top w:w="45" w:type="dxa"/>
              <w:bottom w:w="45" w:type="dxa"/>
              <w:left w:w="90" w:type="dxa"/>
              <w:right w:w="90" w:type="dxa"/>
            </w:tcMar>
          </w:tcPr>
          <w:p>
            <w:pPr>
              <w:spacing w:after="0"/>
            </w:pPr>
            <w:r>
              <w:rPr>
                <w:b/>
                <w:color w:val="0F2744"/>
                <w:sz w:val="14"/>
              </w:rPr>
              <w:t>2. PODZO Operational Core Platform (Execution &amp; Verification Layer)</w:t>
              <w:br/>
            </w:r>
            <w:r>
              <w:rPr>
                <w:color w:val="486581"/>
                <w:sz w:val="13"/>
              </w:rPr>
              <w:t>S21 REST/OData Client  •  4-Point Weighbridge Engine  •  OCR Document Matching Desk  •  Variance Checking  •  Review Queue  •  Secure Storage  •  Audit Logs</w:t>
            </w:r>
          </w:p>
        </w:tc>
      </w:tr>
      <w:tr>
        <w:tc>
          <w:tcPr>
            <w:tcW w:type="dxa" w:w="10527"/>
            <w:shd w:fill="F8FAFC"/>
            <w:tcBorders>
              <w:top w:val="single" w:sz="4" w:space="0" w:color="CBD5E1"/>
              <w:left w:val="single" w:sz="4" w:space="0" w:color="CBD5E1"/>
              <w:bottom w:val="single" w:sz="4" w:space="0" w:color="CBD5E1"/>
              <w:right w:val="single" w:sz="4" w:space="0" w:color="CBD5E1"/>
            </w:tcBorders>
            <w:tcMar>
              <w:top w:w="45" w:type="dxa"/>
              <w:bottom w:w="45" w:type="dxa"/>
              <w:left w:w="90" w:type="dxa"/>
              <w:right w:w="90" w:type="dxa"/>
            </w:tcMar>
          </w:tcPr>
          <w:p>
            <w:pPr>
              <w:spacing w:after="0"/>
            </w:pPr>
            <w:r>
              <w:rPr>
                <w:b/>
                <w:color w:val="0F2744"/>
                <w:sz w:val="14"/>
              </w:rPr>
              <w:t>3. Role-Tailored Operational Consoles (SAP Fiori-Inspired UX)</w:t>
              <w:br/>
            </w:r>
            <w:r>
              <w:rPr>
                <w:color w:val="486581"/>
                <w:sz w:val="13"/>
              </w:rPr>
              <w:t>Company Admin Control Tower  •  Transporter POs &amp; Fleet Portal  •  Supervisor Siding Console  •  Driver Mobile Web App  •  Customer Receiving Yard</w:t>
            </w:r>
          </w:p>
        </w:tc>
      </w:tr>
    </w:tbl>
    <w:p>
      <w:pPr>
        <w:spacing w:before="100" w:after="40"/>
      </w:pPr>
      <w:r>
        <w:rPr>
          <w:b/>
          <w:color w:val="0854A0"/>
          <w:sz w:val="17"/>
        </w:rPr>
        <w:t>SECTION 7 — TECHNOLOGY OVERVIEW</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5"/>
            <w:shd w:fill="FFFFFF"/>
            <w:tcBorders>
              <w:top w:val="single" w:sz="4" w:space="0" w:color="D9E1E8"/>
              <w:left w:val="single" w:sz="4" w:space="0" w:color="D9E1E8"/>
              <w:bottom w:val="single" w:sz="4" w:space="0" w:color="D9E1E8"/>
              <w:right w:val="single" w:sz="4" w:space="0" w:color="D9E1E8"/>
            </w:tcBorders>
            <w:tcMar>
              <w:top w:w="45" w:type="dxa"/>
              <w:bottom w:w="45" w:type="dxa"/>
              <w:left w:w="50" w:type="dxa"/>
              <w:right w:w="50" w:type="dxa"/>
            </w:tcMar>
          </w:tcPr>
          <w:p>
            <w:pPr>
              <w:spacing w:after="0"/>
            </w:pPr>
            <w:r>
              <w:rPr>
                <w:b/>
                <w:color w:val="0A6ED1"/>
                <w:sz w:val="12"/>
              </w:rPr>
              <w:t>FRONTEND</w:t>
              <w:br/>
            </w:r>
            <w:r>
              <w:rPr>
                <w:b/>
                <w:color w:val="0F2744"/>
                <w:sz w:val="13"/>
              </w:rPr>
              <w:t>React 19 • Vite</w:t>
              <w:br/>
            </w:r>
            <w:r>
              <w:rPr>
                <w:color w:val="5B738B"/>
                <w:sz w:val="12"/>
              </w:rPr>
              <w:t>TypeScript, React Router 7</w:t>
            </w:r>
          </w:p>
        </w:tc>
        <w:tc>
          <w:tcPr>
            <w:tcW w:type="dxa" w:w="2105"/>
            <w:shd w:fill="FFFFFF"/>
            <w:tcBorders>
              <w:top w:val="single" w:sz="4" w:space="0" w:color="D9E1E8"/>
              <w:left w:val="single" w:sz="4" w:space="0" w:color="D9E1E8"/>
              <w:bottom w:val="single" w:sz="4" w:space="0" w:color="D9E1E8"/>
              <w:right w:val="single" w:sz="4" w:space="0" w:color="D9E1E8"/>
            </w:tcBorders>
            <w:tcMar>
              <w:top w:w="45" w:type="dxa"/>
              <w:bottom w:w="45" w:type="dxa"/>
              <w:left w:w="50" w:type="dxa"/>
              <w:right w:w="50" w:type="dxa"/>
            </w:tcMar>
          </w:tcPr>
          <w:p>
            <w:pPr>
              <w:spacing w:after="0"/>
            </w:pPr>
            <w:r>
              <w:rPr>
                <w:b/>
                <w:color w:val="0A6ED1"/>
                <w:sz w:val="12"/>
              </w:rPr>
              <w:t>BACKEND SERVICES</w:t>
              <w:br/>
            </w:r>
            <w:r>
              <w:rPr>
                <w:b/>
                <w:color w:val="0F2744"/>
                <w:sz w:val="13"/>
              </w:rPr>
              <w:t>Node.js • Express 5</w:t>
              <w:br/>
            </w:r>
            <w:r>
              <w:rPr>
                <w:color w:val="5B738B"/>
                <w:sz w:val="12"/>
              </w:rPr>
              <w:t>RESTful API Architecture</w:t>
            </w:r>
          </w:p>
        </w:tc>
        <w:tc>
          <w:tcPr>
            <w:tcW w:type="dxa" w:w="2105"/>
            <w:shd w:fill="FFFFFF"/>
            <w:tcBorders>
              <w:top w:val="single" w:sz="4" w:space="0" w:color="D9E1E8"/>
              <w:left w:val="single" w:sz="4" w:space="0" w:color="D9E1E8"/>
              <w:bottom w:val="single" w:sz="4" w:space="0" w:color="D9E1E8"/>
              <w:right w:val="single" w:sz="4" w:space="0" w:color="D9E1E8"/>
            </w:tcBorders>
            <w:tcMar>
              <w:top w:w="45" w:type="dxa"/>
              <w:bottom w:w="45" w:type="dxa"/>
              <w:left w:w="50" w:type="dxa"/>
              <w:right w:w="50" w:type="dxa"/>
            </w:tcMar>
          </w:tcPr>
          <w:p>
            <w:pPr>
              <w:spacing w:after="0"/>
            </w:pPr>
            <w:r>
              <w:rPr>
                <w:b/>
                <w:color w:val="0A6ED1"/>
                <w:sz w:val="12"/>
              </w:rPr>
              <w:t>SAP INTEGRATION</w:t>
              <w:br/>
            </w:r>
            <w:r>
              <w:rPr>
                <w:b/>
                <w:color w:val="0F2744"/>
                <w:sz w:val="13"/>
              </w:rPr>
              <w:t>S21 OData / REST</w:t>
              <w:br/>
            </w:r>
            <w:r>
              <w:rPr>
                <w:color w:val="5B738B"/>
                <w:sz w:val="12"/>
              </w:rPr>
              <w:t>OData, RFC Proxy, Sync Logs</w:t>
            </w:r>
          </w:p>
        </w:tc>
        <w:tc>
          <w:tcPr>
            <w:tcW w:type="dxa" w:w="2105"/>
            <w:shd w:fill="FFFFFF"/>
            <w:tcBorders>
              <w:top w:val="single" w:sz="4" w:space="0" w:color="D9E1E8"/>
              <w:left w:val="single" w:sz="4" w:space="0" w:color="D9E1E8"/>
              <w:bottom w:val="single" w:sz="4" w:space="0" w:color="D9E1E8"/>
              <w:right w:val="single" w:sz="4" w:space="0" w:color="D9E1E8"/>
            </w:tcBorders>
            <w:tcMar>
              <w:top w:w="45" w:type="dxa"/>
              <w:bottom w:w="45" w:type="dxa"/>
              <w:left w:w="50" w:type="dxa"/>
              <w:right w:w="50" w:type="dxa"/>
            </w:tcMar>
          </w:tcPr>
          <w:p>
            <w:pPr>
              <w:spacing w:after="0"/>
            </w:pPr>
            <w:r>
              <w:rPr>
                <w:b/>
                <w:color w:val="0A6ED1"/>
                <w:sz w:val="12"/>
              </w:rPr>
              <w:t>DATA STORE</w:t>
              <w:br/>
            </w:r>
            <w:r>
              <w:rPr>
                <w:b/>
                <w:color w:val="0F2744"/>
                <w:sz w:val="13"/>
              </w:rPr>
              <w:t>SQLite (WAL Mode)</w:t>
              <w:br/>
            </w:r>
            <w:r>
              <w:rPr>
                <w:color w:val="5B738B"/>
                <w:sz w:val="12"/>
              </w:rPr>
              <w:t>Full Transactional Durability</w:t>
            </w:r>
          </w:p>
        </w:tc>
        <w:tc>
          <w:tcPr>
            <w:tcW w:type="dxa" w:w="2105"/>
            <w:shd w:fill="FFFFFF"/>
            <w:tcBorders>
              <w:top w:val="single" w:sz="4" w:space="0" w:color="D9E1E8"/>
              <w:left w:val="single" w:sz="4" w:space="0" w:color="D9E1E8"/>
              <w:bottom w:val="single" w:sz="4" w:space="0" w:color="D9E1E8"/>
              <w:right w:val="single" w:sz="4" w:space="0" w:color="D9E1E8"/>
            </w:tcBorders>
            <w:tcMar>
              <w:top w:w="45" w:type="dxa"/>
              <w:bottom w:w="45" w:type="dxa"/>
              <w:left w:w="50" w:type="dxa"/>
              <w:right w:w="50" w:type="dxa"/>
            </w:tcMar>
          </w:tcPr>
          <w:p>
            <w:pPr>
              <w:spacing w:after="0"/>
            </w:pPr>
            <w:r>
              <w:rPr>
                <w:b/>
                <w:color w:val="0A6ED1"/>
                <w:sz w:val="12"/>
              </w:rPr>
              <w:t>DESIGN SYSTEM</w:t>
              <w:br/>
            </w:r>
            <w:r>
              <w:rPr>
                <w:b/>
                <w:color w:val="0F2744"/>
                <w:sz w:val="13"/>
              </w:rPr>
              <w:t>SAP Fiori Inspired</w:t>
              <w:br/>
            </w:r>
            <w:r>
              <w:rPr>
                <w:color w:val="5B738B"/>
                <w:sz w:val="12"/>
              </w:rPr>
              <w:t>Responsive Desktop &amp; Mobile</w:t>
            </w:r>
          </w:p>
        </w:tc>
      </w:tr>
    </w:tbl>
    <w:p>
      <w:pPr>
        <w:spacing w:before="100" w:after="40"/>
      </w:pPr>
      <w:r>
        <w:rPr>
          <w:b/>
          <w:color w:val="0854A0"/>
          <w:sz w:val="17"/>
        </w:rPr>
        <w:t>SECTION 8 — BUSINESS VALUE</w:t>
      </w:r>
    </w:p>
    <w:tbl>
      <w:tblPr>
        <w:tblW w:type="auto" w:w="0"/>
        <w:jc w:val="center"/>
        <w:tblLook w:firstColumn="1" w:firstRow="1" w:lastColumn="0" w:lastRow="0" w:noHBand="0" w:noVBand="1" w:val="04A0"/>
      </w:tblPr>
      <w:tblGrid>
        <w:gridCol w:w="5256"/>
        <w:gridCol w:w="5256"/>
      </w:tblGrid>
      <w:tr>
        <w:tc>
          <w:tcPr>
            <w:tcW w:type="dxa" w:w="5263"/>
            <w:shd w:fill="FFFFFF"/>
            <w:tcBorders>
              <w:top w:val="single" w:sz="4" w:space="0" w:color="D9E1E8"/>
              <w:left w:val="single" w:sz="16" w:space="0" w:color="107E3E"/>
              <w:bottom w:val="single" w:sz="4" w:space="0" w:color="D9E1E8"/>
              <w:right w:val="single" w:sz="4" w:space="0" w:color="D9E1E8"/>
            </w:tcBorders>
            <w:tcMar>
              <w:top w:w="45" w:type="dxa"/>
              <w:bottom w:w="45" w:type="dxa"/>
              <w:left w:w="70" w:type="dxa"/>
              <w:right w:w="70" w:type="dxa"/>
            </w:tcMar>
          </w:tcPr>
          <w:p>
            <w:pPr>
              <w:spacing w:after="0"/>
            </w:pPr>
            <w:r>
              <w:rPr>
                <w:b/>
                <w:color w:val="0F2744"/>
                <w:sz w:val="14"/>
              </w:rPr>
              <w:t>Unified Operational Truth</w:t>
              <w:br/>
            </w:r>
            <w:r>
              <w:rPr>
                <w:color w:val="486581"/>
                <w:sz w:val="13"/>
              </w:rPr>
              <w:t>Bridges SAP S/21 with field transporters and receiving yards without requiring third-party hauliers to hold full enterprise SAP user licenses.</w:t>
            </w:r>
          </w:p>
        </w:tc>
        <w:tc>
          <w:tcPr>
            <w:tcW w:type="dxa" w:w="5263"/>
            <w:shd w:fill="FFFFFF"/>
            <w:tcBorders>
              <w:top w:val="single" w:sz="4" w:space="0" w:color="D9E1E8"/>
              <w:left w:val="single" w:sz="16" w:space="0" w:color="107E3E"/>
              <w:bottom w:val="single" w:sz="4" w:space="0" w:color="D9E1E8"/>
              <w:right w:val="single" w:sz="4" w:space="0" w:color="D9E1E8"/>
            </w:tcBorders>
            <w:tcMar>
              <w:top w:w="45" w:type="dxa"/>
              <w:bottom w:w="45" w:type="dxa"/>
              <w:left w:w="70" w:type="dxa"/>
              <w:right w:w="70" w:type="dxa"/>
            </w:tcMar>
          </w:tcPr>
          <w:p>
            <w:pPr>
              <w:spacing w:after="0"/>
            </w:pPr>
            <w:r>
              <w:rPr>
                <w:b/>
                <w:color w:val="0F2744"/>
                <w:sz w:val="14"/>
              </w:rPr>
              <w:t>Dispute-Free Weight Verification</w:t>
              <w:br/>
            </w:r>
            <w:r>
              <w:rPr>
                <w:color w:val="486581"/>
                <w:sz w:val="13"/>
              </w:rPr>
              <w:t>Mandatory 4-point weighbridge logging captures tare and gross weights at both origin and destination, eliminating payload discrepancies and transit loss disputes.</w:t>
            </w:r>
          </w:p>
        </w:tc>
      </w:tr>
      <w:tr>
        <w:tc>
          <w:tcPr>
            <w:tcW w:type="dxa" w:w="5263"/>
            <w:shd w:fill="FFFFFF"/>
            <w:tcBorders>
              <w:top w:val="single" w:sz="4" w:space="0" w:color="D9E1E8"/>
              <w:left w:val="single" w:sz="16" w:space="0" w:color="107E3E"/>
              <w:bottom w:val="single" w:sz="4" w:space="0" w:color="D9E1E8"/>
              <w:right w:val="single" w:sz="4" w:space="0" w:color="D9E1E8"/>
            </w:tcBorders>
            <w:tcMar>
              <w:top w:w="45" w:type="dxa"/>
              <w:bottom w:w="45" w:type="dxa"/>
              <w:left w:w="70" w:type="dxa"/>
              <w:right w:w="70" w:type="dxa"/>
            </w:tcMar>
          </w:tcPr>
          <w:p>
            <w:pPr>
              <w:spacing w:after="0"/>
            </w:pPr>
            <w:r>
              <w:rPr>
                <w:b/>
                <w:color w:val="0F2744"/>
                <w:sz w:val="14"/>
              </w:rPr>
              <w:t>Compressed Invoicing Cycles</w:t>
              <w:br/>
            </w:r>
            <w:r>
              <w:rPr>
                <w:color w:val="486581"/>
                <w:sz w:val="13"/>
              </w:rPr>
              <w:t>Immediate digital POD capture paired with OCR verification replaces multi-week physical paper transit, collapsing billing and MIRO clearing to hours.</w:t>
            </w:r>
          </w:p>
        </w:tc>
        <w:tc>
          <w:tcPr>
            <w:tcW w:type="dxa" w:w="5263"/>
            <w:shd w:fill="FFFFFF"/>
            <w:tcBorders>
              <w:top w:val="single" w:sz="4" w:space="0" w:color="D9E1E8"/>
              <w:left w:val="single" w:sz="16" w:space="0" w:color="107E3E"/>
              <w:bottom w:val="single" w:sz="4" w:space="0" w:color="D9E1E8"/>
              <w:right w:val="single" w:sz="4" w:space="0" w:color="D9E1E8"/>
            </w:tcBorders>
            <w:tcMar>
              <w:top w:w="45" w:type="dxa"/>
              <w:bottom w:w="45" w:type="dxa"/>
              <w:left w:w="70" w:type="dxa"/>
              <w:right w:w="70" w:type="dxa"/>
            </w:tcMar>
          </w:tcPr>
          <w:p>
            <w:pPr>
              <w:spacing w:after="0"/>
            </w:pPr>
            <w:r>
              <w:rPr>
                <w:b/>
                <w:color w:val="0F2744"/>
                <w:sz w:val="14"/>
              </w:rPr>
              <w:t>Complete Audit Governance</w:t>
              <w:br/>
            </w:r>
            <w:r>
              <w:rPr>
                <w:color w:val="486581"/>
                <w:sz w:val="13"/>
              </w:rPr>
              <w:t>Every vehicle dispatch, weighbridge entry, tolerance override, and MIRO posting is immutably timestamped with user credentials and audit logs.</w:t>
            </w:r>
          </w:p>
        </w:tc>
      </w:tr>
    </w:tbl>
    <w:tbl>
      <w:tblPr>
        <w:tblW w:type="auto" w:w="0"/>
        <w:jc w:val="center"/>
        <w:tblLook w:firstColumn="1" w:firstRow="1" w:lastColumn="0" w:lastRow="0" w:noHBand="0" w:noVBand="1" w:val="04A0"/>
      </w:tblPr>
      <w:tblGrid>
        <w:gridCol w:w="10526"/>
      </w:tblGrid>
      <w:tr>
        <w:tc>
          <w:tcPr>
            <w:tcW w:type="dxa" w:w="10527"/>
            <w:shd w:fill="EAF3FC"/>
            <w:tcBorders>
              <w:top w:val="single" w:sz="4" w:space="0" w:color="B8D8F8"/>
              <w:left w:val="single" w:sz="4" w:space="0" w:color="B8D8F8"/>
              <w:bottom w:val="single" w:sz="4" w:space="0" w:color="B8D8F8"/>
              <w:right w:val="single" w:sz="4" w:space="0" w:color="B8D8F8"/>
            </w:tcBorders>
            <w:tcMar>
              <w:top w:w="50" w:type="dxa"/>
              <w:bottom w:w="50" w:type="dxa"/>
              <w:left w:w="90" w:type="dxa"/>
              <w:right w:w="90" w:type="dxa"/>
            </w:tcMar>
          </w:tcPr>
          <w:p>
            <w:pPr>
              <w:spacing w:after="0"/>
            </w:pPr>
            <w:r>
              <w:rPr>
                <w:b/>
                <w:color w:val="0854A0"/>
                <w:sz w:val="14"/>
              </w:rPr>
              <w:t>SOLUTION APPROACH &amp; POSITIONING</w:t>
              <w:br/>
            </w:r>
            <w:r>
              <w:rPr>
                <w:color w:val="0F2744"/>
                <w:sz w:val="13"/>
              </w:rPr>
              <w:t>PODZO provides a purpose-built operational execution and verification layer around SAP-connected contract and purchase order workflows. It enables business users, logistics providers, and drivers to collaborate through a modern, role-based interface while preserving strict alignment, security, and traceability with SAP S/21 business data.</w:t>
            </w:r>
          </w:p>
        </w:tc>
      </w:tr>
    </w:tbl>
    <w:p>
      <w:pPr>
        <w:spacing w:before="100" w:after="0"/>
      </w:pPr>
      <w:r>
        <w:rPr>
          <w:color w:val="5B738B"/>
          <w:sz w:val="14"/>
        </w:rPr>
        <w:t>PODZO — Solution Overview v1.0  •  Confidential Client Document  |  Page 2 of 2</w:t>
      </w:r>
    </w:p>
    <w:sectPr w:rsidR="00FC693F" w:rsidRPr="0006063C" w:rsidSect="00034616">
      <w:pgSz w:w="11909" w:h="16834"/>
      <w:pgMar w:top="547" w:right="691" w:bottom="504"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before="0"/>
    </w:pPr>
    <w:rPr>
      <w:rFonts w:ascii="Segoe UI" w:hAnsi="Segoe UI"/>
      <w:color w:val="1D2D3E"/>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