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B00"/>
        </w:rPr>
        <w:t>PODZO — Comprehensive Project &amp; Architecture Review Report</w:t>
      </w:r>
    </w:p>
    <w:p>
      <w:pPr>
        <w:spacing w:after="40"/>
      </w:pPr>
    </w:p>
    <w:p>
      <w:pPr>
        <w:spacing w:after="80"/>
      </w:pPr>
    </w:p>
    <w:p>
      <w:pPr>
        <w:spacing w:after="40"/>
      </w:pPr>
    </w:p>
    <w:p>
      <w:pPr>
        <w:pStyle w:val="Heading2"/>
      </w:pPr>
      <w:r>
        <w:rPr>
          <w:color w:val="2563EB"/>
        </w:rPr>
        <w:t>1. Executive Summary</w:t>
      </w:r>
    </w:p>
    <w:p>
      <w:pPr>
        <w:spacing w:after="40"/>
      </w:pPr>
    </w:p>
    <w:p>
      <w:pPr>
        <w:pStyle w:val="Heading3"/>
      </w:pPr>
      <w:r>
        <w:t>1.1 Product Purpose &amp; Domain Overview</w:t>
      </w:r>
    </w:p>
    <w:p>
      <w:r>
        <w:rPr>
          <w:sz w:val="20"/>
        </w:rPr>
      </w:r>
      <w:r>
        <w:rPr>
          <w:b/>
          <w:sz w:val="20"/>
        </w:rPr>
        <w:t>PODZO</w:t>
      </w:r>
      <w:r>
        <w:rPr>
          <w:sz w:val="20"/>
        </w:rPr>
        <w:t xml:space="preserve"> is an enterprise logistics execution, Proof-of-Delivery (POD) verification, and automated freight billing platform. Engineered for industrial bulk haulage (e.g., coal, minerals, aggregates, and heavy raw materials), PODZO acts as an operational execution layer operating between enterprise ERP systems (</w:t>
      </w:r>
      <w:r>
        <w:rPr>
          <w:b/>
          <w:sz w:val="20"/>
        </w:rPr>
        <w:t>SAP S4/HANA and SAP S21</w:t>
      </w:r>
      <w:r>
        <w:rPr>
          <w:sz w:val="20"/>
        </w:rPr>
        <w:t>) and physical transport operations on the ground.</w:t>
      </w:r>
    </w:p>
    <w:p>
      <w:pPr>
        <w:spacing w:after="40"/>
      </w:pPr>
    </w:p>
    <w:p>
      <w:pPr>
        <w:pStyle w:val="Heading3"/>
      </w:pPr>
      <w:r>
        <w:t>1.2 Core Business Problems Solved</w:t>
      </w:r>
    </w:p>
    <w:p>
      <w:pPr>
        <w:pStyle w:val="ListBullet"/>
      </w:pPr>
      <w:r>
        <w:rPr>
          <w:sz w:val="20"/>
        </w:rPr>
      </w:r>
      <w:r>
        <w:rPr>
          <w:b/>
          <w:sz w:val="20"/>
        </w:rPr>
        <w:t>Manual Paper POD Delays</w:t>
      </w:r>
      <w:r>
        <w:rPr>
          <w:sz w:val="20"/>
        </w:rPr>
        <w:t>: Traditional delivery slips take 30 to 90 days to collect, verify, and settle manually. PODZO automates verification within minutes of delivery.</w:t>
      </w:r>
    </w:p>
    <w:p>
      <w:pPr>
        <w:pStyle w:val="ListBullet"/>
      </w:pPr>
      <w:r>
        <w:rPr>
          <w:sz w:val="20"/>
        </w:rPr>
      </w:r>
      <w:r>
        <w:rPr>
          <w:b/>
          <w:sz w:val="20"/>
        </w:rPr>
        <w:t>Cargo Theft &amp; Weight Discrepancies</w:t>
      </w:r>
      <w:r>
        <w:rPr>
          <w:sz w:val="20"/>
        </w:rPr>
        <w:t xml:space="preserve">: Unmonitored weight loss between siding dispatch weighbridges and customer destination weighbridges leads to undetected losses. PODZO enforces </w:t>
      </w:r>
      <w:r>
        <w:rPr>
          <w:b/>
          <w:sz w:val="20"/>
        </w:rPr>
        <w:t>quad-gate weighbridge reconciliation</w:t>
      </w:r>
      <w:r>
        <w:rPr>
          <w:sz w:val="20"/>
        </w:rPr>
        <w:t xml:space="preserve"> across every run.</w:t>
      </w:r>
    </w:p>
    <w:p>
      <w:pPr>
        <w:pStyle w:val="ListBullet"/>
      </w:pPr>
      <w:r>
        <w:rPr>
          <w:sz w:val="20"/>
        </w:rPr>
      </w:r>
      <w:r>
        <w:rPr>
          <w:b/>
          <w:sz w:val="20"/>
        </w:rPr>
        <w:t>Billing Fraud &amp; Miscalculations</w:t>
      </w:r>
      <w:r>
        <w:rPr>
          <w:sz w:val="20"/>
        </w:rPr>
        <w:t>: Freight invoices raised against incorrect weights or non-contractual rates are eliminated through automated tolerance matching and rate-binding algorithms.</w:t>
      </w:r>
    </w:p>
    <w:p>
      <w:pPr>
        <w:pStyle w:val="ListBullet"/>
      </w:pPr>
      <w:r>
        <w:rPr>
          <w:sz w:val="20"/>
        </w:rPr>
      </w:r>
      <w:r>
        <w:rPr>
          <w:b/>
          <w:sz w:val="20"/>
        </w:rPr>
        <w:t>Data Silos Across Stakeholders</w:t>
      </w:r>
      <w:r>
        <w:rPr>
          <w:sz w:val="20"/>
        </w:rPr>
        <w:t>: Mine managers, transport contractors, truck drivers, gate supervisors, and customer receiving stations operate on a single shared execution ledger.</w:t>
      </w:r>
    </w:p>
    <w:p>
      <w:pPr>
        <w:spacing w:after="40"/>
      </w:pPr>
    </w:p>
    <w:p>
      <w:pPr>
        <w:spacing w:after="80"/>
      </w:pPr>
    </w:p>
    <w:p>
      <w:pPr>
        <w:spacing w:after="40"/>
      </w:pPr>
    </w:p>
    <w:p>
      <w:pPr>
        <w:pStyle w:val="Heading2"/>
      </w:pPr>
      <w:r>
        <w:rPr>
          <w:color w:val="2563EB"/>
        </w:rPr>
        <w:t>2. Technology Stack &amp; System Architecture</w:t>
      </w:r>
    </w:p>
    <w:p>
      <w:pPr>
        <w:spacing w:after="40"/>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43447"/>
          </w:tcPr>
          <w:p>
            <w:pPr>
              <w:spacing w:before="20" w:after="20"/>
            </w:pPr>
            <w:r>
              <w:rPr>
                <w:b/>
                <w:color w:val="F1F5F9"/>
                <w:sz w:val="18"/>
              </w:rPr>
            </w:r>
            <w:r>
              <w:rPr>
                <w:b/>
                <w:color w:val="F1F5F9"/>
                <w:sz w:val="18"/>
              </w:rPr>
              <w:t>Architecture Layer</w:t>
            </w:r>
          </w:p>
        </w:tc>
        <w:tc>
          <w:tcPr>
            <w:tcW w:type="dxa" w:w="3135"/>
            <w:shd w:val="clear" w:color="auto" w:fill="243447"/>
          </w:tcPr>
          <w:p>
            <w:pPr>
              <w:spacing w:before="20" w:after="20"/>
            </w:pPr>
            <w:r>
              <w:rPr>
                <w:b/>
                <w:color w:val="F1F5F9"/>
                <w:sz w:val="18"/>
              </w:rPr>
            </w:r>
            <w:r>
              <w:rPr>
                <w:b/>
                <w:color w:val="F1F5F9"/>
                <w:sz w:val="18"/>
              </w:rPr>
              <w:t>Technology Selection</w:t>
            </w:r>
          </w:p>
        </w:tc>
        <w:tc>
          <w:tcPr>
            <w:tcW w:type="dxa" w:w="3135"/>
            <w:shd w:val="clear" w:color="auto" w:fill="243447"/>
          </w:tcPr>
          <w:p>
            <w:pPr>
              <w:spacing w:before="20" w:after="20"/>
            </w:pPr>
            <w:r>
              <w:rPr>
                <w:b/>
                <w:color w:val="F1F5F9"/>
                <w:sz w:val="18"/>
              </w:rPr>
            </w:r>
            <w:r>
              <w:rPr>
                <w:b/>
                <w:color w:val="F1F5F9"/>
                <w:sz w:val="18"/>
              </w:rPr>
              <w:t>Core Responsibilities</w:t>
            </w:r>
          </w:p>
        </w:tc>
      </w:tr>
      <w:tr>
        <w:tc>
          <w:tcPr>
            <w:tcW w:type="dxa" w:w="3135"/>
          </w:tcPr>
          <w:p>
            <w:pPr>
              <w:spacing w:before="20" w:after="20"/>
            </w:pPr>
            <w:r>
              <w:rPr>
                <w:sz w:val="18"/>
              </w:rPr>
            </w:r>
            <w:r>
              <w:rPr>
                <w:sz w:val="18"/>
              </w:rPr>
            </w:r>
            <w:r>
              <w:rPr>
                <w:b/>
                <w:sz w:val="18"/>
              </w:rPr>
              <w:t>Frontend Framework</w:t>
            </w:r>
            <w:r>
              <w:rPr>
                <w:sz w:val="18"/>
              </w:rPr>
            </w:r>
          </w:p>
        </w:tc>
        <w:tc>
          <w:tcPr>
            <w:tcW w:type="dxa" w:w="3135"/>
          </w:tcPr>
          <w:p>
            <w:pPr>
              <w:spacing w:before="20" w:after="20"/>
            </w:pPr>
            <w:r>
              <w:rPr>
                <w:sz w:val="18"/>
              </w:rPr>
            </w:r>
            <w:r>
              <w:rPr>
                <w:sz w:val="18"/>
              </w:rPr>
              <w:t>React 19 + TypeScript + Vite 8</w:t>
            </w:r>
          </w:p>
        </w:tc>
        <w:tc>
          <w:tcPr>
            <w:tcW w:type="dxa" w:w="3135"/>
          </w:tcPr>
          <w:p>
            <w:pPr>
              <w:spacing w:before="20" w:after="20"/>
            </w:pPr>
            <w:r>
              <w:rPr>
                <w:sz w:val="18"/>
              </w:rPr>
            </w:r>
            <w:r>
              <w:rPr>
                <w:sz w:val="18"/>
              </w:rPr>
              <w:t>Responsive SPA supporting 5 distinct operational persona views</w:t>
            </w:r>
          </w:p>
        </w:tc>
      </w:tr>
      <w:tr>
        <w:tc>
          <w:tcPr>
            <w:tcW w:type="dxa" w:w="3135"/>
            <w:shd w:val="clear" w:color="auto" w:fill="F8FAFC"/>
          </w:tcPr>
          <w:p>
            <w:pPr>
              <w:spacing w:before="20" w:after="20"/>
            </w:pPr>
            <w:r>
              <w:rPr>
                <w:sz w:val="18"/>
              </w:rPr>
            </w:r>
            <w:r>
              <w:rPr>
                <w:sz w:val="18"/>
              </w:rPr>
            </w:r>
            <w:r>
              <w:rPr>
                <w:b/>
                <w:sz w:val="18"/>
              </w:rPr>
              <w:t>UI Design &amp; Theme</w:t>
            </w:r>
            <w:r>
              <w:rPr>
                <w:sz w:val="18"/>
              </w:rPr>
            </w:r>
          </w:p>
        </w:tc>
        <w:tc>
          <w:tcPr>
            <w:tcW w:type="dxa" w:w="3135"/>
            <w:shd w:val="clear" w:color="auto" w:fill="F8FAFC"/>
          </w:tcPr>
          <w:p>
            <w:pPr>
              <w:spacing w:before="20" w:after="20"/>
            </w:pPr>
            <w:r>
              <w:rPr>
                <w:sz w:val="18"/>
              </w:rPr>
            </w:r>
            <w:r>
              <w:rPr>
                <w:sz w:val="18"/>
              </w:rPr>
              <w:t>Custom CSS Theme (`theme.css`) + Lucide React</w:t>
            </w:r>
          </w:p>
        </w:tc>
        <w:tc>
          <w:tcPr>
            <w:tcW w:type="dxa" w:w="3135"/>
            <w:shd w:val="clear" w:color="auto" w:fill="F8FAFC"/>
          </w:tcPr>
          <w:p>
            <w:pPr>
              <w:spacing w:before="20" w:after="20"/>
            </w:pPr>
            <w:r>
              <w:rPr>
                <w:sz w:val="18"/>
              </w:rPr>
            </w:r>
            <w:r>
              <w:rPr>
                <w:sz w:val="18"/>
              </w:rPr>
              <w:t>Industrial Modern design palette (`#0A192F` Navy, `#FF5B00` Accent)</w:t>
            </w:r>
          </w:p>
        </w:tc>
      </w:tr>
      <w:tr>
        <w:tc>
          <w:tcPr>
            <w:tcW w:type="dxa" w:w="3135"/>
          </w:tcPr>
          <w:p>
            <w:pPr>
              <w:spacing w:before="20" w:after="20"/>
            </w:pPr>
            <w:r>
              <w:rPr>
                <w:sz w:val="18"/>
              </w:rPr>
            </w:r>
            <w:r>
              <w:rPr>
                <w:sz w:val="18"/>
              </w:rPr>
            </w:r>
            <w:r>
              <w:rPr>
                <w:b/>
                <w:sz w:val="18"/>
              </w:rPr>
              <w:t>State &amp; Routing</w:t>
            </w:r>
            <w:r>
              <w:rPr>
                <w:sz w:val="18"/>
              </w:rPr>
            </w:r>
          </w:p>
        </w:tc>
        <w:tc>
          <w:tcPr>
            <w:tcW w:type="dxa" w:w="3135"/>
          </w:tcPr>
          <w:p>
            <w:pPr>
              <w:spacing w:before="20" w:after="20"/>
            </w:pPr>
            <w:r>
              <w:rPr>
                <w:sz w:val="18"/>
              </w:rPr>
            </w:r>
            <w:r>
              <w:rPr>
                <w:sz w:val="18"/>
              </w:rPr>
              <w:t>React Router DOM 7 + React Context API</w:t>
            </w:r>
          </w:p>
        </w:tc>
        <w:tc>
          <w:tcPr>
            <w:tcW w:type="dxa" w:w="3135"/>
          </w:tcPr>
          <w:p>
            <w:pPr>
              <w:spacing w:before="20" w:after="20"/>
            </w:pPr>
            <w:r>
              <w:rPr>
                <w:sz w:val="18"/>
              </w:rPr>
            </w:r>
            <w:r>
              <w:rPr>
                <w:sz w:val="18"/>
              </w:rPr>
              <w:t>Persona route authorization, JWT context (`AuthContextV3`), contract scoping</w:t>
            </w:r>
          </w:p>
        </w:tc>
      </w:tr>
      <w:tr>
        <w:tc>
          <w:tcPr>
            <w:tcW w:type="dxa" w:w="3135"/>
            <w:shd w:val="clear" w:color="auto" w:fill="F8FAFC"/>
          </w:tcPr>
          <w:p>
            <w:pPr>
              <w:spacing w:before="20" w:after="20"/>
            </w:pPr>
            <w:r>
              <w:rPr>
                <w:sz w:val="18"/>
              </w:rPr>
            </w:r>
            <w:r>
              <w:rPr>
                <w:sz w:val="18"/>
              </w:rPr>
            </w:r>
            <w:r>
              <w:rPr>
                <w:b/>
                <w:sz w:val="18"/>
              </w:rPr>
              <w:t>Backend Server</w:t>
            </w:r>
            <w:r>
              <w:rPr>
                <w:sz w:val="18"/>
              </w:rPr>
            </w:r>
          </w:p>
        </w:tc>
        <w:tc>
          <w:tcPr>
            <w:tcW w:type="dxa" w:w="3135"/>
            <w:shd w:val="clear" w:color="auto" w:fill="F8FAFC"/>
          </w:tcPr>
          <w:p>
            <w:pPr>
              <w:spacing w:before="20" w:after="20"/>
            </w:pPr>
            <w:r>
              <w:rPr>
                <w:sz w:val="18"/>
              </w:rPr>
            </w:r>
            <w:r>
              <w:rPr>
                <w:sz w:val="18"/>
              </w:rPr>
              <w:t>Node.js + Express 5.2.1 + `tsx`</w:t>
            </w:r>
          </w:p>
        </w:tc>
        <w:tc>
          <w:tcPr>
            <w:tcW w:type="dxa" w:w="3135"/>
            <w:shd w:val="clear" w:color="auto" w:fill="F8FAFC"/>
          </w:tcPr>
          <w:p>
            <w:pPr>
              <w:spacing w:before="20" w:after="20"/>
            </w:pPr>
            <w:r>
              <w:rPr>
                <w:sz w:val="18"/>
              </w:rPr>
            </w:r>
            <w:r>
              <w:rPr>
                <w:sz w:val="18"/>
              </w:rPr>
              <w:t>RESTful API endpoints (`/api/v3`), JWT auth, file upload middleware</w:t>
            </w:r>
          </w:p>
        </w:tc>
      </w:tr>
      <w:tr>
        <w:tc>
          <w:tcPr>
            <w:tcW w:type="dxa" w:w="3135"/>
          </w:tcPr>
          <w:p>
            <w:pPr>
              <w:spacing w:before="20" w:after="20"/>
            </w:pPr>
            <w:r>
              <w:rPr>
                <w:sz w:val="18"/>
              </w:rPr>
            </w:r>
            <w:r>
              <w:rPr>
                <w:sz w:val="18"/>
              </w:rPr>
            </w:r>
            <w:r>
              <w:rPr>
                <w:b/>
                <w:sz w:val="18"/>
              </w:rPr>
              <w:t>Database Storage</w:t>
            </w:r>
            <w:r>
              <w:rPr>
                <w:sz w:val="18"/>
              </w:rPr>
            </w:r>
          </w:p>
        </w:tc>
        <w:tc>
          <w:tcPr>
            <w:tcW w:type="dxa" w:w="3135"/>
          </w:tcPr>
          <w:p>
            <w:pPr>
              <w:spacing w:before="20" w:after="20"/>
            </w:pPr>
            <w:r>
              <w:rPr>
                <w:sz w:val="18"/>
              </w:rPr>
            </w:r>
            <w:r>
              <w:rPr>
                <w:sz w:val="18"/>
              </w:rPr>
              <w:t>SQLite + `better-sqlite3` 13.0.3</w:t>
            </w:r>
          </w:p>
        </w:tc>
        <w:tc>
          <w:tcPr>
            <w:tcW w:type="dxa" w:w="3135"/>
          </w:tcPr>
          <w:p>
            <w:pPr>
              <w:spacing w:before="20" w:after="20"/>
            </w:pPr>
            <w:r>
              <w:rPr>
                <w:sz w:val="18"/>
              </w:rPr>
            </w:r>
            <w:r>
              <w:rPr>
                <w:sz w:val="18"/>
              </w:rPr>
              <w:t>High-performance relational database (`podzo_portal_v3.db`)</w:t>
            </w:r>
          </w:p>
        </w:tc>
      </w:tr>
      <w:tr>
        <w:tc>
          <w:tcPr>
            <w:tcW w:type="dxa" w:w="3135"/>
            <w:shd w:val="clear" w:color="auto" w:fill="F8FAFC"/>
          </w:tcPr>
          <w:p>
            <w:pPr>
              <w:spacing w:before="20" w:after="20"/>
            </w:pPr>
            <w:r>
              <w:rPr>
                <w:sz w:val="18"/>
              </w:rPr>
            </w:r>
            <w:r>
              <w:rPr>
                <w:sz w:val="18"/>
              </w:rPr>
            </w:r>
            <w:r>
              <w:rPr>
                <w:b/>
                <w:sz w:val="18"/>
              </w:rPr>
              <w:t>SAP ERP Integration</w:t>
            </w:r>
            <w:r>
              <w:rPr>
                <w:sz w:val="18"/>
              </w:rPr>
            </w:r>
          </w:p>
        </w:tc>
        <w:tc>
          <w:tcPr>
            <w:tcW w:type="dxa" w:w="3135"/>
            <w:shd w:val="clear" w:color="auto" w:fill="F8FAFC"/>
          </w:tcPr>
          <w:p>
            <w:pPr>
              <w:spacing w:before="20" w:after="20"/>
            </w:pPr>
            <w:r>
              <w:rPr>
                <w:sz w:val="18"/>
              </w:rPr>
            </w:r>
            <w:r>
              <w:rPr>
                <w:sz w:val="18"/>
              </w:rPr>
              <w:t>TypeScript Adapter Pattern (`ISAPAdapter`)</w:t>
            </w:r>
          </w:p>
        </w:tc>
        <w:tc>
          <w:tcPr>
            <w:tcW w:type="dxa" w:w="3135"/>
            <w:shd w:val="clear" w:color="auto" w:fill="F8FAFC"/>
          </w:tcPr>
          <w:p>
            <w:pPr>
              <w:spacing w:before="20" w:after="20"/>
            </w:pPr>
            <w:r>
              <w:rPr>
                <w:sz w:val="18"/>
              </w:rPr>
            </w:r>
            <w:r>
              <w:rPr>
                <w:sz w:val="18"/>
              </w:rPr>
              <w:t>Dual-mode: OData HTTP integration with fallback to local database endpoints</w:t>
            </w:r>
          </w:p>
        </w:tc>
      </w:tr>
      <w:tr>
        <w:tc>
          <w:tcPr>
            <w:tcW w:type="dxa" w:w="3135"/>
          </w:tcPr>
          <w:p>
            <w:pPr>
              <w:spacing w:before="20" w:after="20"/>
            </w:pPr>
            <w:r>
              <w:rPr>
                <w:sz w:val="18"/>
              </w:rPr>
            </w:r>
            <w:r>
              <w:rPr>
                <w:sz w:val="18"/>
              </w:rPr>
            </w:r>
            <w:r>
              <w:rPr>
                <w:b/>
                <w:sz w:val="18"/>
              </w:rPr>
              <w:t>Cloud Deployment</w:t>
            </w:r>
            <w:r>
              <w:rPr>
                <w:sz w:val="18"/>
              </w:rPr>
            </w:r>
          </w:p>
        </w:tc>
        <w:tc>
          <w:tcPr>
            <w:tcW w:type="dxa" w:w="3135"/>
          </w:tcPr>
          <w:p>
            <w:pPr>
              <w:spacing w:before="20" w:after="20"/>
            </w:pPr>
            <w:r>
              <w:rPr>
                <w:sz w:val="18"/>
              </w:rPr>
            </w:r>
            <w:r>
              <w:rPr>
                <w:sz w:val="18"/>
              </w:rPr>
              <w:t>SAP BTP / Cloud Foundry (`mta.yaml`, `manifest.yml`)</w:t>
            </w:r>
          </w:p>
        </w:tc>
        <w:tc>
          <w:tcPr>
            <w:tcW w:type="dxa" w:w="3135"/>
          </w:tcPr>
          <w:p>
            <w:pPr>
              <w:spacing w:before="20" w:after="20"/>
            </w:pPr>
            <w:r>
              <w:rPr>
                <w:sz w:val="18"/>
              </w:rPr>
            </w:r>
            <w:r>
              <w:rPr>
                <w:sz w:val="18"/>
              </w:rPr>
              <w:t>Multi-Target Application descriptor for enterprise cloud hosting</w:t>
            </w:r>
          </w:p>
        </w:tc>
      </w:tr>
    </w:tbl>
    <w:p>
      <w:pPr>
        <w:spacing w:after="120"/>
      </w:pPr>
    </w:p>
    <w:p>
      <w:pPr>
        <w:spacing w:after="40"/>
      </w:pPr>
    </w:p>
    <w:p>
      <w:pPr>
        <w:spacing w:after="80"/>
      </w:pPr>
    </w:p>
    <w:p>
      <w:pPr>
        <w:spacing w:after="40"/>
      </w:pPr>
    </w:p>
    <w:p>
      <w:pPr>
        <w:pStyle w:val="Heading2"/>
      </w:pPr>
      <w:r>
        <w:rPr>
          <w:color w:val="2563EB"/>
        </w:rPr>
        <w:t>3. Persona Matrix &amp; Role-Based Access Control (RBAC)</w:t>
      </w:r>
    </w:p>
    <w:p>
      <w:pPr>
        <w:spacing w:after="40"/>
      </w:pPr>
    </w:p>
    <w:p>
      <w:r>
        <w:rPr>
          <w:sz w:val="20"/>
        </w:rPr>
        <w:t xml:space="preserve">PODZO organizes system access into </w:t>
      </w:r>
      <w:r>
        <w:rPr>
          <w:b/>
          <w:sz w:val="20"/>
        </w:rPr>
        <w:t>5 operational personas</w:t>
      </w:r>
      <w:r>
        <w:rPr>
          <w:sz w:val="20"/>
        </w:rPr>
        <w:t>, each tailored to a specific operational role:</w:t>
      </w:r>
    </w:p>
    <w:p>
      <w:pPr>
        <w:spacing w:after="40"/>
      </w:pPr>
    </w:p>
    <w:p>
      <w:pPr>
        <w:pStyle w:val="Heading3"/>
      </w:pPr>
      <w:r>
        <w:t>3.1 Role Responsibilities &amp; Component Mapping</w:t>
      </w:r>
    </w:p>
    <w:p>
      <w:pPr>
        <w:spacing w:after="40"/>
      </w:pPr>
    </w:p>
    <w:p>
      <w:pPr>
        <w:pStyle w:val="ListBullet"/>
      </w:pPr>
      <w:r>
        <w:rPr>
          <w:sz w:val="20"/>
        </w:rPr>
      </w:r>
      <w:r>
        <w:rPr>
          <w:b/>
          <w:sz w:val="20"/>
        </w:rPr>
        <w:t>Company Admin (`CA`) — Mine / Logistics Manager</w:t>
      </w:r>
      <w:r>
        <w:rPr>
          <w:sz w:val="20"/>
        </w:rPr>
      </w:r>
    </w:p>
    <w:p>
      <w:pPr>
        <w:pStyle w:val="ListBullet2"/>
      </w:pPr>
      <w:r>
        <w:rPr>
          <w:sz w:val="20"/>
        </w:rPr>
      </w:r>
      <w:r>
        <w:rPr>
          <w:b/>
          <w:sz w:val="20"/>
        </w:rPr>
        <w:t>Responsibilities</w:t>
      </w:r>
      <w:r>
        <w:rPr>
          <w:sz w:val="20"/>
        </w:rPr>
        <w:t>: Contract management, PO distribution, audit/review queue resolution, invoice approval, SAP MIRO invoice posting, and system demo reset.</w:t>
      </w:r>
    </w:p>
    <w:p>
      <w:pPr>
        <w:pStyle w:val="ListBullet2"/>
      </w:pPr>
      <w:r>
        <w:rPr>
          <w:sz w:val="20"/>
        </w:rPr>
      </w:r>
      <w:r>
        <w:rPr>
          <w:b/>
          <w:sz w:val="20"/>
        </w:rPr>
        <w:t>Key Pages</w:t>
      </w:r>
      <w:r>
        <w:rPr>
          <w:sz w:val="20"/>
        </w:rPr>
        <w:t>: `AdminDashboard.tsx`, `AdminContracts.tsx`, `AdminApprovals.tsx`, `AdminInvoices.tsx`.</w:t>
      </w:r>
    </w:p>
    <w:p>
      <w:pPr>
        <w:pStyle w:val="ListBullet2"/>
      </w:pPr>
      <w:r>
        <w:rPr>
          <w:sz w:val="20"/>
        </w:rPr>
      </w:r>
      <w:r>
        <w:rPr>
          <w:b/>
          <w:sz w:val="20"/>
        </w:rPr>
        <w:t>Demo Accounts</w:t>
      </w:r>
      <w:r>
        <w:rPr>
          <w:sz w:val="20"/>
        </w:rPr>
        <w:t>: `ca_thandiwe`, `company_admin`.</w:t>
      </w:r>
    </w:p>
    <w:p>
      <w:pPr>
        <w:spacing w:after="40"/>
      </w:pPr>
    </w:p>
    <w:p>
      <w:pPr>
        <w:pStyle w:val="ListBullet"/>
      </w:pPr>
      <w:r>
        <w:rPr>
          <w:sz w:val="20"/>
        </w:rPr>
      </w:r>
      <w:r>
        <w:rPr>
          <w:b/>
          <w:sz w:val="20"/>
        </w:rPr>
        <w:t>Transporter Admin (`TA`) — Transport Vendor Supervisor</w:t>
      </w:r>
      <w:r>
        <w:rPr>
          <w:sz w:val="20"/>
        </w:rPr>
      </w:r>
    </w:p>
    <w:p>
      <w:pPr>
        <w:pStyle w:val="ListBullet2"/>
      </w:pPr>
      <w:r>
        <w:rPr>
          <w:sz w:val="20"/>
        </w:rPr>
      </w:r>
      <w:r>
        <w:rPr>
          <w:b/>
          <w:sz w:val="20"/>
        </w:rPr>
        <w:t>Responsibilities</w:t>
      </w:r>
      <w:r>
        <w:rPr>
          <w:sz w:val="20"/>
        </w:rPr>
        <w:t>: Review PO allocations, job configuration, driver/vehicle pairing, waybill POD management, and freight invoice submission.</w:t>
      </w:r>
    </w:p>
    <w:p>
      <w:pPr>
        <w:pStyle w:val="ListBullet2"/>
      </w:pPr>
      <w:r>
        <w:rPr>
          <w:sz w:val="20"/>
        </w:rPr>
      </w:r>
      <w:r>
        <w:rPr>
          <w:b/>
          <w:sz w:val="20"/>
        </w:rPr>
        <w:t>Key Pages</w:t>
      </w:r>
      <w:r>
        <w:rPr>
          <w:sz w:val="20"/>
        </w:rPr>
        <w:t>: `TransporterDashboard.tsx`, `TransporterPOs.tsx`, `TransporterPODs.tsx`, `TransporterInvoices.tsx`.</w:t>
      </w:r>
    </w:p>
    <w:p>
      <w:pPr>
        <w:pStyle w:val="ListBullet2"/>
      </w:pPr>
      <w:r>
        <w:rPr>
          <w:sz w:val="20"/>
        </w:rPr>
      </w:r>
      <w:r>
        <w:rPr>
          <w:b/>
          <w:sz w:val="20"/>
        </w:rPr>
        <w:t>Demo Accounts</w:t>
      </w:r>
      <w:r>
        <w:rPr>
          <w:sz w:val="20"/>
        </w:rPr>
        <w:t>: `ta_sipho`, `transporter_admin`, `transporter_cbs`.</w:t>
      </w:r>
    </w:p>
    <w:p>
      <w:pPr>
        <w:spacing w:after="40"/>
      </w:pPr>
    </w:p>
    <w:p>
      <w:pPr>
        <w:pStyle w:val="ListBullet"/>
      </w:pPr>
      <w:r>
        <w:rPr>
          <w:sz w:val="20"/>
        </w:rPr>
      </w:r>
      <w:r>
        <w:rPr>
          <w:b/>
          <w:sz w:val="20"/>
        </w:rPr>
        <w:t>Driver (`DR`) — Truck Driver</w:t>
      </w:r>
      <w:r>
        <w:rPr>
          <w:sz w:val="20"/>
        </w:rPr>
      </w:r>
    </w:p>
    <w:p>
      <w:pPr>
        <w:pStyle w:val="ListBullet2"/>
      </w:pPr>
      <w:r>
        <w:rPr>
          <w:sz w:val="20"/>
        </w:rPr>
      </w:r>
      <w:r>
        <w:rPr>
          <w:b/>
          <w:sz w:val="20"/>
        </w:rPr>
        <w:t>Responsibilities</w:t>
      </w:r>
      <w:r>
        <w:rPr>
          <w:sz w:val="20"/>
        </w:rPr>
        <w:t>: Mobile interface for digital signature on job acceptance, pickup OTP verification, transit milestone logging, and POD slip photo upload.</w:t>
      </w:r>
    </w:p>
    <w:p>
      <w:pPr>
        <w:pStyle w:val="ListBullet2"/>
      </w:pPr>
      <w:r>
        <w:rPr>
          <w:sz w:val="20"/>
        </w:rPr>
      </w:r>
      <w:r>
        <w:rPr>
          <w:b/>
          <w:sz w:val="20"/>
        </w:rPr>
        <w:t>Key Pages</w:t>
      </w:r>
      <w:r>
        <w:rPr>
          <w:sz w:val="20"/>
        </w:rPr>
        <w:t>: `DriverDashboard.tsx`.</w:t>
      </w:r>
    </w:p>
    <w:p>
      <w:pPr>
        <w:pStyle w:val="ListBullet2"/>
      </w:pPr>
      <w:r>
        <w:rPr>
          <w:sz w:val="20"/>
        </w:rPr>
      </w:r>
      <w:r>
        <w:rPr>
          <w:b/>
          <w:sz w:val="20"/>
        </w:rPr>
        <w:t>Demo Accounts</w:t>
      </w:r>
      <w:r>
        <w:rPr>
          <w:sz w:val="20"/>
        </w:rPr>
        <w:t>: `dr_zweli`, `driver`.</w:t>
      </w:r>
    </w:p>
    <w:p>
      <w:pPr>
        <w:spacing w:after="40"/>
      </w:pPr>
    </w:p>
    <w:p>
      <w:pPr>
        <w:pStyle w:val="ListBullet"/>
      </w:pPr>
      <w:r>
        <w:rPr>
          <w:sz w:val="20"/>
        </w:rPr>
      </w:r>
      <w:r>
        <w:rPr>
          <w:b/>
          <w:sz w:val="20"/>
        </w:rPr>
        <w:t>Weighbridge Supervisor (`SR`) — Mine Siding Gate Operator</w:t>
      </w:r>
      <w:r>
        <w:rPr>
          <w:sz w:val="20"/>
        </w:rPr>
      </w:r>
    </w:p>
    <w:p>
      <w:pPr>
        <w:pStyle w:val="ListBullet2"/>
      </w:pPr>
      <w:r>
        <w:rPr>
          <w:sz w:val="20"/>
        </w:rPr>
      </w:r>
      <w:r>
        <w:rPr>
          <w:b/>
          <w:sz w:val="20"/>
        </w:rPr>
        <w:t>Responsibilities</w:t>
      </w:r>
      <w:r>
        <w:rPr>
          <w:sz w:val="20"/>
        </w:rPr>
        <w:t>: Pre-dispatch check-in, driver credential validation, Gate 1 empty truck tare weight &amp; Gate 2 loaded truck gross weight recording, supervisor stamp issuance.</w:t>
      </w:r>
    </w:p>
    <w:p>
      <w:pPr>
        <w:pStyle w:val="ListBullet2"/>
      </w:pPr>
      <w:r>
        <w:rPr>
          <w:sz w:val="20"/>
        </w:rPr>
      </w:r>
      <w:r>
        <w:rPr>
          <w:b/>
          <w:sz w:val="20"/>
        </w:rPr>
        <w:t>Key Pages</w:t>
      </w:r>
      <w:r>
        <w:rPr>
          <w:sz w:val="20"/>
        </w:rPr>
        <w:t>: `SupervisorDashboard.tsx`.</w:t>
      </w:r>
    </w:p>
    <w:p>
      <w:pPr>
        <w:pStyle w:val="ListBullet2"/>
      </w:pPr>
      <w:r>
        <w:rPr>
          <w:sz w:val="20"/>
        </w:rPr>
      </w:r>
      <w:r>
        <w:rPr>
          <w:b/>
          <w:sz w:val="20"/>
        </w:rPr>
        <w:t>Demo Accounts</w:t>
      </w:r>
      <w:r>
        <w:rPr>
          <w:sz w:val="20"/>
        </w:rPr>
        <w:t>: `sr_gate01`, `supervisor`.</w:t>
      </w:r>
    </w:p>
    <w:p>
      <w:pPr>
        <w:spacing w:after="40"/>
      </w:pPr>
    </w:p>
    <w:p>
      <w:pPr>
        <w:pStyle w:val="ListBullet"/>
      </w:pPr>
      <w:r>
        <w:rPr>
          <w:sz w:val="20"/>
        </w:rPr>
      </w:r>
      <w:r>
        <w:rPr>
          <w:b/>
          <w:sz w:val="20"/>
        </w:rPr>
        <w:t>Customer Receiver (`CR`) — Destination Receiving Site Manager</w:t>
      </w:r>
      <w:r>
        <w:rPr>
          <w:sz w:val="20"/>
        </w:rPr>
      </w:r>
    </w:p>
    <w:p>
      <w:pPr>
        <w:pStyle w:val="ListBullet2"/>
      </w:pPr>
      <w:r>
        <w:rPr>
          <w:sz w:val="20"/>
        </w:rPr>
      </w:r>
      <w:r>
        <w:rPr>
          <w:b/>
          <w:sz w:val="20"/>
        </w:rPr>
        <w:t>Responsibilities</w:t>
      </w:r>
      <w:r>
        <w:rPr>
          <w:sz w:val="20"/>
        </w:rPr>
        <w:t>: Destination arrival geofence check, Gate 3 loaded gross weight &amp; Gate 4 offloaded tare weight recording, destination OTP verification, customer stamp issuance.</w:t>
      </w:r>
    </w:p>
    <w:p>
      <w:pPr>
        <w:pStyle w:val="ListBullet2"/>
      </w:pPr>
      <w:r>
        <w:rPr>
          <w:sz w:val="20"/>
        </w:rPr>
      </w:r>
      <w:r>
        <w:rPr>
          <w:b/>
          <w:sz w:val="20"/>
        </w:rPr>
        <w:t>Key Pages</w:t>
      </w:r>
      <w:r>
        <w:rPr>
          <w:sz w:val="20"/>
        </w:rPr>
        <w:t>: `CustomerDashboard.tsx`.</w:t>
      </w:r>
    </w:p>
    <w:p>
      <w:pPr>
        <w:pStyle w:val="ListBullet2"/>
      </w:pPr>
      <w:r>
        <w:rPr>
          <w:sz w:val="20"/>
        </w:rPr>
      </w:r>
      <w:r>
        <w:rPr>
          <w:b/>
          <w:sz w:val="20"/>
        </w:rPr>
        <w:t>Demo Accounts</w:t>
      </w:r>
      <w:r>
        <w:rPr>
          <w:sz w:val="20"/>
        </w:rPr>
        <w:t>: `cr_mining`, `customer`.</w:t>
      </w:r>
    </w:p>
    <w:p>
      <w:pPr>
        <w:spacing w:after="40"/>
      </w:pPr>
    </w:p>
    <w:p>
      <w:pPr>
        <w:spacing w:after="80"/>
      </w:pPr>
    </w:p>
    <w:p>
      <w:pPr>
        <w:spacing w:after="40"/>
      </w:pPr>
    </w:p>
    <w:p>
      <w:pPr>
        <w:pStyle w:val="Heading2"/>
      </w:pPr>
      <w:r>
        <w:rPr>
          <w:color w:val="2563EB"/>
        </w:rPr>
        <w:t>4. Operational Workflow &amp; Quad-Gate Weight Reconciliation</w:t>
      </w:r>
    </w:p>
    <w:p>
      <w:pPr>
        <w:spacing w:after="40"/>
      </w:pPr>
    </w:p>
    <w:p>
      <w:pPr>
        <w:pStyle w:val="Heading3"/>
      </w:pPr>
      <w:r>
        <w:t>4.1 End-to-End Operational Lifecycle</w:t>
      </w:r>
    </w:p>
    <w:p>
      <w:pPr>
        <w:spacing w:after="40"/>
      </w:pPr>
    </w:p>
    <w:p>
      <w:pPr>
        <w:spacing w:before="0" w:after="0"/>
        <w:ind w:left="432"/>
        <w:shd w:val="clear" w:color="auto" w:fill="1E293B"/>
      </w:pPr>
      <w:r>
        <w:rPr>
          <w:rFonts w:ascii="Courier New" w:hAnsi="Courier New"/>
          <w:color w:val="D1D5DB"/>
          <w:sz w:val="16"/>
        </w:rPr>
        <w:t>[ SAP S21 ERP ] ──► Contract &amp; PO Import</w:t>
      </w:r>
    </w:p>
    <w:p>
      <w:pPr>
        <w:spacing w:before="0" w:after="0"/>
        <w:ind w:left="432"/>
        <w:shd w:val="clear" w:color="auto" w:fill="1E293B"/>
      </w:pPr>
      <w:r>
        <w:rPr>
          <w:rFonts w:ascii="Courier New" w:hAnsi="Courier New"/>
          <w:color w:val="D1D5DB"/>
          <w:sz w:val="16"/>
        </w:rPr>
        <w:t xml:space="preserve">      │</w:t>
      </w:r>
    </w:p>
    <w:p>
      <w:pPr>
        <w:spacing w:before="0" w:after="0"/>
        <w:ind w:left="432"/>
        <w:shd w:val="clear" w:color="auto" w:fill="1E293B"/>
      </w:pPr>
      <w:r>
        <w:rPr>
          <w:rFonts w:ascii="Courier New" w:hAnsi="Courier New"/>
          <w:color w:val="D1D5DB"/>
          <w:sz w:val="16"/>
        </w:rPr>
        <w:t xml:space="preserve">      ▼</w:t>
      </w:r>
    </w:p>
    <w:p>
      <w:pPr>
        <w:spacing w:before="0" w:after="0"/>
        <w:ind w:left="432"/>
        <w:shd w:val="clear" w:color="auto" w:fill="1E293B"/>
      </w:pPr>
      <w:r>
        <w:rPr>
          <w:rFonts w:ascii="Courier New" w:hAnsi="Courier New"/>
          <w:color w:val="D1D5DB"/>
          <w:sz w:val="16"/>
        </w:rPr>
        <w:t>[ Transporter Admin ] ──► PO Allocation &amp; Driver/Vehicle Pairing</w:t>
      </w:r>
    </w:p>
    <w:p>
      <w:pPr>
        <w:spacing w:before="0" w:after="0"/>
        <w:ind w:left="432"/>
        <w:shd w:val="clear" w:color="auto" w:fill="1E293B"/>
      </w:pPr>
      <w:r>
        <w:rPr>
          <w:rFonts w:ascii="Courier New" w:hAnsi="Courier New"/>
          <w:color w:val="D1D5DB"/>
          <w:sz w:val="16"/>
        </w:rPr>
        <w:t xml:space="preserve">      │</w:t>
      </w:r>
    </w:p>
    <w:p>
      <w:pPr>
        <w:spacing w:before="0" w:after="0"/>
        <w:ind w:left="432"/>
        <w:shd w:val="clear" w:color="auto" w:fill="1E293B"/>
      </w:pPr>
      <w:r>
        <w:rPr>
          <w:rFonts w:ascii="Courier New" w:hAnsi="Courier New"/>
          <w:color w:val="D1D5DB"/>
          <w:sz w:val="16"/>
        </w:rPr>
        <w:t xml:space="preserve">      ▼</w:t>
      </w:r>
    </w:p>
    <w:p>
      <w:pPr>
        <w:spacing w:before="0" w:after="0"/>
        <w:ind w:left="432"/>
        <w:shd w:val="clear" w:color="auto" w:fill="1E293B"/>
      </w:pPr>
      <w:r>
        <w:rPr>
          <w:rFonts w:ascii="Courier New" w:hAnsi="Courier New"/>
          <w:color w:val="D1D5DB"/>
          <w:sz w:val="16"/>
        </w:rPr>
        <w:t>[ Driver Canvas ] ──► Digital Signature &amp; PO Acceptance</w:t>
      </w:r>
    </w:p>
    <w:p>
      <w:pPr>
        <w:spacing w:before="0" w:after="0"/>
        <w:ind w:left="432"/>
        <w:shd w:val="clear" w:color="auto" w:fill="1E293B"/>
      </w:pPr>
      <w:r>
        <w:rPr>
          <w:rFonts w:ascii="Courier New" w:hAnsi="Courier New"/>
          <w:color w:val="D1D5DB"/>
          <w:sz w:val="16"/>
        </w:rPr>
        <w:t xml:space="preserve">      │</w:t>
      </w:r>
    </w:p>
    <w:p>
      <w:pPr>
        <w:spacing w:before="0" w:after="0"/>
        <w:ind w:left="432"/>
        <w:shd w:val="clear" w:color="auto" w:fill="1E293B"/>
      </w:pPr>
      <w:r>
        <w:rPr>
          <w:rFonts w:ascii="Courier New" w:hAnsi="Courier New"/>
          <w:color w:val="D1D5DB"/>
          <w:sz w:val="16"/>
        </w:rPr>
        <w:t xml:space="preserve">      ▼</w:t>
      </w:r>
    </w:p>
    <w:p>
      <w:pPr>
        <w:spacing w:before="0" w:after="0"/>
        <w:ind w:left="432"/>
        <w:shd w:val="clear" w:color="auto" w:fill="1E293B"/>
      </w:pPr>
      <w:r>
        <w:rPr>
          <w:rFonts w:ascii="Courier New" w:hAnsi="Courier New"/>
          <w:color w:val="D1D5DB"/>
          <w:sz w:val="16"/>
        </w:rPr>
        <w:t>[ Mine Siding Gate ] ──► Gate 1 (Mine Tare) &amp; Gate 2 (Mine Gross) Weighments</w:t>
      </w:r>
    </w:p>
    <w:p>
      <w:pPr>
        <w:spacing w:before="0" w:after="0"/>
        <w:ind w:left="432"/>
        <w:shd w:val="clear" w:color="auto" w:fill="1E293B"/>
      </w:pPr>
      <w:r>
        <w:rPr>
          <w:rFonts w:ascii="Courier New" w:hAnsi="Courier New"/>
          <w:color w:val="D1D5DB"/>
          <w:sz w:val="16"/>
        </w:rPr>
        <w:t xml:space="preserve">      │</w:t>
      </w:r>
    </w:p>
    <w:p>
      <w:pPr>
        <w:spacing w:before="0" w:after="0"/>
        <w:ind w:left="432"/>
        <w:shd w:val="clear" w:color="auto" w:fill="1E293B"/>
      </w:pPr>
      <w:r>
        <w:rPr>
          <w:rFonts w:ascii="Courier New" w:hAnsi="Courier New"/>
          <w:color w:val="D1D5DB"/>
          <w:sz w:val="16"/>
        </w:rPr>
        <w:t xml:space="preserve">      ▼</w:t>
      </w:r>
    </w:p>
    <w:p>
      <w:pPr>
        <w:spacing w:before="0" w:after="0"/>
        <w:ind w:left="432"/>
        <w:shd w:val="clear" w:color="auto" w:fill="1E293B"/>
      </w:pPr>
      <w:r>
        <w:rPr>
          <w:rFonts w:ascii="Courier New" w:hAnsi="Courier New"/>
          <w:color w:val="D1D5DB"/>
          <w:sz w:val="16"/>
        </w:rPr>
        <w:t>[ Delivery Transit ] ──► Geofence Arrival &amp; OTP Verification</w:t>
      </w:r>
    </w:p>
    <w:p>
      <w:pPr>
        <w:spacing w:before="0" w:after="0"/>
        <w:ind w:left="432"/>
        <w:shd w:val="clear" w:color="auto" w:fill="1E293B"/>
      </w:pPr>
      <w:r>
        <w:rPr>
          <w:rFonts w:ascii="Courier New" w:hAnsi="Courier New"/>
          <w:color w:val="D1D5DB"/>
          <w:sz w:val="16"/>
        </w:rPr>
        <w:t xml:space="preserve">      │</w:t>
      </w:r>
    </w:p>
    <w:p>
      <w:pPr>
        <w:spacing w:before="0" w:after="0"/>
        <w:ind w:left="432"/>
        <w:shd w:val="clear" w:color="auto" w:fill="1E293B"/>
      </w:pPr>
      <w:r>
        <w:rPr>
          <w:rFonts w:ascii="Courier New" w:hAnsi="Courier New"/>
          <w:color w:val="D1D5DB"/>
          <w:sz w:val="16"/>
        </w:rPr>
        <w:t xml:space="preserve">      ▼</w:t>
      </w:r>
    </w:p>
    <w:p>
      <w:pPr>
        <w:spacing w:before="0" w:after="0"/>
        <w:ind w:left="432"/>
        <w:shd w:val="clear" w:color="auto" w:fill="1E293B"/>
      </w:pPr>
      <w:r>
        <w:rPr>
          <w:rFonts w:ascii="Courier New" w:hAnsi="Courier New"/>
          <w:color w:val="D1D5DB"/>
          <w:sz w:val="16"/>
        </w:rPr>
        <w:t>[ Customer Site Gate ] ──► Gate 3 (Dest Gross) &amp; Gate 4 (Dest Tare) Weighments</w:t>
      </w:r>
    </w:p>
    <w:p>
      <w:pPr>
        <w:spacing w:before="0" w:after="0"/>
        <w:ind w:left="432"/>
        <w:shd w:val="clear" w:color="auto" w:fill="1E293B"/>
      </w:pPr>
      <w:r>
        <w:rPr>
          <w:rFonts w:ascii="Courier New" w:hAnsi="Courier New"/>
          <w:color w:val="D1D5DB"/>
          <w:sz w:val="16"/>
        </w:rPr>
        <w:t xml:space="preserve">      │</w:t>
      </w:r>
    </w:p>
    <w:p>
      <w:pPr>
        <w:spacing w:before="0" w:after="0"/>
        <w:ind w:left="432"/>
        <w:shd w:val="clear" w:color="auto" w:fill="1E293B"/>
      </w:pPr>
      <w:r>
        <w:rPr>
          <w:rFonts w:ascii="Courier New" w:hAnsi="Courier New"/>
          <w:color w:val="D1D5DB"/>
          <w:sz w:val="16"/>
        </w:rPr>
        <w:t xml:space="preserve">      ▼</w:t>
      </w:r>
    </w:p>
    <w:p>
      <w:pPr>
        <w:spacing w:before="0" w:after="0"/>
        <w:ind w:left="432"/>
        <w:shd w:val="clear" w:color="auto" w:fill="1E293B"/>
      </w:pPr>
      <w:r>
        <w:rPr>
          <w:rFonts w:ascii="Courier New" w:hAnsi="Courier New"/>
          <w:color w:val="D1D5DB"/>
          <w:sz w:val="16"/>
        </w:rPr>
        <w:t>[ POD Upload ] ──► Scanned Document Upload &amp; OCR Reconciliation</w:t>
      </w:r>
    </w:p>
    <w:p>
      <w:pPr>
        <w:spacing w:before="0" w:after="0"/>
        <w:ind w:left="432"/>
        <w:shd w:val="clear" w:color="auto" w:fill="1E293B"/>
      </w:pPr>
      <w:r>
        <w:rPr>
          <w:rFonts w:ascii="Courier New" w:hAnsi="Courier New"/>
          <w:color w:val="D1D5DB"/>
          <w:sz w:val="16"/>
        </w:rPr>
        <w:t xml:space="preserve">      │</w:t>
      </w:r>
    </w:p>
    <w:p>
      <w:pPr>
        <w:spacing w:before="0" w:after="0"/>
        <w:ind w:left="432"/>
        <w:shd w:val="clear" w:color="auto" w:fill="1E293B"/>
      </w:pPr>
      <w:r>
        <w:rPr>
          <w:rFonts w:ascii="Courier New" w:hAnsi="Courier New"/>
          <w:color w:val="D1D5DB"/>
          <w:sz w:val="16"/>
        </w:rPr>
        <w:t xml:space="preserve">      ▼</w:t>
      </w:r>
    </w:p>
    <w:p>
      <w:pPr>
        <w:spacing w:before="0" w:after="0"/>
        <w:ind w:left="432"/>
        <w:shd w:val="clear" w:color="auto" w:fill="1E293B"/>
      </w:pPr>
      <w:r>
        <w:rPr>
          <w:rFonts w:ascii="Courier New" w:hAnsi="Courier New"/>
          <w:color w:val="D1D5DB"/>
          <w:sz w:val="16"/>
        </w:rPr>
        <w:t>[ Exception Audit ] ──► Company Admin Review Queue Approval (if flagged)</w:t>
      </w:r>
    </w:p>
    <w:p>
      <w:pPr>
        <w:spacing w:before="0" w:after="0"/>
        <w:ind w:left="432"/>
        <w:shd w:val="clear" w:color="auto" w:fill="1E293B"/>
      </w:pPr>
      <w:r>
        <w:rPr>
          <w:rFonts w:ascii="Courier New" w:hAnsi="Courier New"/>
          <w:color w:val="D1D5DB"/>
          <w:sz w:val="16"/>
        </w:rPr>
        <w:t xml:space="preserve">      │</w:t>
      </w:r>
    </w:p>
    <w:p>
      <w:pPr>
        <w:spacing w:before="0" w:after="0"/>
        <w:ind w:left="432"/>
        <w:shd w:val="clear" w:color="auto" w:fill="1E293B"/>
      </w:pPr>
      <w:r>
        <w:rPr>
          <w:rFonts w:ascii="Courier New" w:hAnsi="Courier New"/>
          <w:color w:val="D1D5DB"/>
          <w:sz w:val="16"/>
        </w:rPr>
        <w:t xml:space="preserve">      ▼</w:t>
      </w:r>
    </w:p>
    <w:p>
      <w:pPr>
        <w:spacing w:before="0" w:after="0"/>
        <w:ind w:left="432"/>
        <w:shd w:val="clear" w:color="auto" w:fill="1E293B"/>
      </w:pPr>
      <w:r>
        <w:rPr>
          <w:rFonts w:ascii="Courier New" w:hAnsi="Courier New"/>
          <w:color w:val="D1D5DB"/>
          <w:sz w:val="16"/>
        </w:rPr>
        <w:t>[ SAP Invoicing ] ──► Parked -&gt; Posted -&gt; Cleared MIRO Invoice</w:t>
      </w:r>
    </w:p>
    <w:p>
      <w:pPr>
        <w:spacing w:after="80"/>
      </w:pPr>
    </w:p>
    <w:p>
      <w:pPr>
        <w:spacing w:after="40"/>
      </w:pPr>
    </w:p>
    <w:p>
      <w:pPr>
        <w:pStyle w:val="Heading3"/>
      </w:pPr>
      <w:r>
        <w:t>4.2 Quad-Gate Weight Reconciliation Formulas</w:t>
      </w:r>
    </w:p>
    <w:p>
      <w:pPr>
        <w:spacing w:after="40"/>
      </w:pPr>
    </w:p>
    <w:p>
      <w:r>
        <w:rPr>
          <w:sz w:val="20"/>
        </w:rPr>
        <w:t xml:space="preserve">The system records weights across </w:t>
      </w:r>
      <w:r>
        <w:rPr>
          <w:b/>
          <w:sz w:val="20"/>
        </w:rPr>
        <w:t>4 distinct checkpoints</w:t>
      </w:r>
      <w:r>
        <w:rPr>
          <w:sz w:val="20"/>
        </w:rPr>
        <w:t>:</w:t>
      </w:r>
    </w:p>
    <w:p>
      <w:pPr>
        <w:spacing w:after="40"/>
      </w:pPr>
    </w:p>
    <w:p>
      <w:pPr>
        <w:pStyle w:val="ListBullet"/>
      </w:pPr>
      <w:r>
        <w:rPr>
          <w:sz w:val="20"/>
        </w:rPr>
      </w:r>
      <w:r>
        <w:rPr>
          <w:b/>
          <w:sz w:val="20"/>
        </w:rPr>
        <w:t>Net Mine Payload</w:t>
      </w:r>
      <w:r>
        <w:rPr>
          <w:sz w:val="20"/>
        </w:rPr>
        <w:t xml:space="preserve"> = Gate 2 (Mine Gross) - Gate 1 (Mine Tare)</w:t>
      </w:r>
    </w:p>
    <w:p>
      <w:pPr>
        <w:pStyle w:val="ListBullet"/>
      </w:pPr>
      <w:r>
        <w:rPr>
          <w:sz w:val="20"/>
        </w:rPr>
      </w:r>
      <w:r>
        <w:rPr>
          <w:b/>
          <w:sz w:val="20"/>
        </w:rPr>
        <w:t>Net Delivered Payload</w:t>
      </w:r>
      <w:r>
        <w:rPr>
          <w:sz w:val="20"/>
        </w:rPr>
        <w:t xml:space="preserve"> = Gate 3 (Dest Gross) - Gate 4 (Dest Tare)</w:t>
      </w:r>
    </w:p>
    <w:p>
      <w:pPr>
        <w:pStyle w:val="ListBullet"/>
      </w:pPr>
      <w:r>
        <w:rPr>
          <w:sz w:val="20"/>
        </w:rPr>
      </w:r>
      <w:r>
        <w:rPr>
          <w:b/>
          <w:sz w:val="20"/>
        </w:rPr>
        <w:t>Weight Variance (kg)</w:t>
      </w:r>
      <w:r>
        <w:rPr>
          <w:sz w:val="20"/>
        </w:rPr>
        <w:t xml:space="preserve"> = |Net Mine Payload - Net Delivered Payload|</w:t>
      </w:r>
    </w:p>
    <w:p>
      <w:pPr>
        <w:pStyle w:val="ListBullet"/>
      </w:pPr>
      <w:r>
        <w:rPr>
          <w:sz w:val="20"/>
        </w:rPr>
      </w:r>
      <w:r>
        <w:rPr>
          <w:b/>
          <w:sz w:val="20"/>
        </w:rPr>
        <w:t>Variance (%)</w:t>
      </w:r>
      <w:r>
        <w:rPr>
          <w:sz w:val="20"/>
        </w:rPr>
        <w:t xml:space="preserve"> = (Weight Variance / Net Mine Payload) * 100</w:t>
      </w:r>
    </w:p>
    <w:p>
      <w:pPr>
        <w:spacing w:after="40"/>
      </w:pPr>
    </w:p>
    <w:p>
      <w:pPr>
        <w:pStyle w:val="Heading3"/>
      </w:pPr>
      <w:r>
        <w:t>4.3 Automated Review Queue &amp; Exception Handling</w:t>
      </w:r>
    </w:p>
    <w:p>
      <w:r>
        <w:rPr>
          <w:sz w:val="20"/>
        </w:rPr>
        <w:t xml:space="preserve">If </w:t>
      </w:r>
      <w:r>
        <w:rPr>
          <w:b/>
          <w:sz w:val="20"/>
        </w:rPr>
        <w:t>Variance (%)</w:t>
      </w:r>
      <w:r>
        <w:rPr>
          <w:sz w:val="20"/>
        </w:rPr>
        <w:t xml:space="preserve"> exceeds the contract tolerance threshold (e.g. </w:t>
      </w:r>
      <w:r>
        <w:rPr>
          <w:b/>
          <w:sz w:val="20"/>
        </w:rPr>
        <w:t>0.5%</w:t>
      </w:r>
      <w:r>
        <w:rPr>
          <w:sz w:val="20"/>
        </w:rPr>
        <w:t>), or if the scanned POD document produces an OCR weight mismatch or low confidence score (&lt; 80%), the system automatically:</w:t>
      </w:r>
    </w:p>
    <w:p>
      <w:pPr>
        <w:pStyle w:val="ListBullet"/>
      </w:pPr>
      <w:r>
        <w:rPr>
          <w:sz w:val="20"/>
        </w:rPr>
        <w:t>Flags the consignment in the `review_queue`.</w:t>
      </w:r>
    </w:p>
    <w:p>
      <w:pPr>
        <w:pStyle w:val="ListBullet"/>
      </w:pPr>
      <w:r>
        <w:rPr>
          <w:sz w:val="20"/>
        </w:rPr>
        <w:t>Sets `blocks_miro_bool = 1`, which strictly prevents invoice creation in SAP.</w:t>
      </w:r>
    </w:p>
    <w:p>
      <w:pPr>
        <w:pStyle w:val="ListBullet"/>
      </w:pPr>
      <w:r>
        <w:rPr>
          <w:sz w:val="20"/>
        </w:rPr>
        <w:t>Routes the entry to the Company Admin for side-by-side audit and manual override/approval.</w:t>
      </w:r>
    </w:p>
    <w:p>
      <w:pPr>
        <w:spacing w:after="40"/>
      </w:pPr>
    </w:p>
    <w:p>
      <w:pPr>
        <w:spacing w:after="80"/>
      </w:pPr>
    </w:p>
    <w:p>
      <w:pPr>
        <w:spacing w:after="40"/>
      </w:pPr>
    </w:p>
    <w:p>
      <w:pPr>
        <w:pStyle w:val="Heading2"/>
      </w:pPr>
      <w:r>
        <w:rPr>
          <w:color w:val="2563EB"/>
        </w:rPr>
        <w:t>5. Database Schema Architecture (SQLite V3)</w:t>
      </w:r>
    </w:p>
    <w:p>
      <w:pPr>
        <w:spacing w:after="40"/>
      </w:pPr>
    </w:p>
    <w:p>
      <w:r>
        <w:rPr>
          <w:sz w:val="20"/>
        </w:rPr>
        <w:t>The project utilizes SQLite (`podzo_portal_v3.db`) with `better-sqlite3`. Main tables include:</w:t>
      </w:r>
    </w:p>
    <w:p>
      <w:pPr>
        <w:spacing w:after="40"/>
      </w:pPr>
    </w:p>
    <w:p>
      <w:pPr>
        <w:pStyle w:val="ListBullet"/>
      </w:pPr>
      <w:r>
        <w:rPr>
          <w:sz w:val="20"/>
        </w:rPr>
        <w:t>`users`: User profiles, hashed passwords, roles (`CA`, `TA`, `DR`, `CR`, `SR`).</w:t>
      </w:r>
    </w:p>
    <w:p>
      <w:pPr>
        <w:pStyle w:val="ListBullet"/>
      </w:pPr>
      <w:r>
        <w:rPr>
          <w:sz w:val="20"/>
        </w:rPr>
        <w:t>`contracts`: Master SAP contract numbers, material specs, target values, and validity periods.</w:t>
      </w:r>
    </w:p>
    <w:p>
      <w:pPr>
        <w:pStyle w:val="ListBullet"/>
      </w:pPr>
      <w:r>
        <w:rPr>
          <w:sz w:val="20"/>
        </w:rPr>
        <w:t>`purchase_orders`: Master SAP PO items, rates, target quantities, and percentage tolerances.</w:t>
      </w:r>
    </w:p>
    <w:p>
      <w:pPr>
        <w:pStyle w:val="ListBullet"/>
      </w:pPr>
      <w:r>
        <w:rPr>
          <w:sz w:val="20"/>
        </w:rPr>
        <w:t>`transport_assignments`: Core operational tracking state machine (`ASSIGNED`, `MINE_TARE_LOGGED`, `MINE_GROSS_LOGGED`, `DISPATCHED`, `DELIVERED`, `POD_UPLOADED`, `APPROVED`, `MIRO_POSTED`).</w:t>
      </w:r>
    </w:p>
    <w:p>
      <w:pPr>
        <w:pStyle w:val="ListBullet"/>
      </w:pPr>
      <w:r>
        <w:rPr>
          <w:sz w:val="20"/>
        </w:rPr>
        <w:t>`weight_logs`: Quad-gate weighbridge logs (`MINE_TARE`, `MINE_GROSS`, `DEST_GROSS`, `DEST_TARE`).</w:t>
      </w:r>
    </w:p>
    <w:p>
      <w:pPr>
        <w:pStyle w:val="ListBullet"/>
      </w:pPr>
      <w:r>
        <w:rPr>
          <w:sz w:val="20"/>
        </w:rPr>
        <w:t>`pod_documents`: Scanned POD slip URLs, OCR extracted values, confidence scores, and match indicators.</w:t>
      </w:r>
    </w:p>
    <w:p>
      <w:pPr>
        <w:pStyle w:val="ListBullet"/>
      </w:pPr>
      <w:r>
        <w:rPr>
          <w:sz w:val="20"/>
        </w:rPr>
        <w:t>`review_queue`: Exception audit records with resolution notes and blocking flags.</w:t>
      </w:r>
    </w:p>
    <w:p>
      <w:pPr>
        <w:pStyle w:val="ListBullet"/>
      </w:pPr>
      <w:r>
        <w:rPr>
          <w:sz w:val="20"/>
        </w:rPr>
        <w:t>`delivery_invoices` &amp; `miro_invoices`: Calculated freight amounts, SAP document IDs, and clearing states.</w:t>
      </w:r>
    </w:p>
    <w:p>
      <w:pPr>
        <w:spacing w:after="40"/>
      </w:pPr>
    </w:p>
    <w:p>
      <w:pPr>
        <w:spacing w:after="80"/>
      </w:pPr>
    </w:p>
    <w:p>
      <w:pPr>
        <w:spacing w:after="40"/>
      </w:pPr>
    </w:p>
    <w:p>
      <w:pPr>
        <w:pStyle w:val="Heading2"/>
      </w:pPr>
      <w:r>
        <w:rPr>
          <w:color w:val="2563EB"/>
        </w:rPr>
        <w:t>6. Implementation Status &amp; System Audit Matrix</w:t>
      </w:r>
    </w:p>
    <w:p>
      <w:pPr>
        <w:spacing w:after="40"/>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43447"/>
          </w:tcPr>
          <w:p>
            <w:pPr>
              <w:spacing w:before="20" w:after="20"/>
            </w:pPr>
            <w:r>
              <w:rPr>
                <w:b/>
                <w:color w:val="F1F5F9"/>
                <w:sz w:val="18"/>
              </w:rPr>
            </w:r>
            <w:r>
              <w:rPr>
                <w:b/>
                <w:color w:val="F1F5F9"/>
                <w:sz w:val="18"/>
              </w:rPr>
              <w:t>Feature Module</w:t>
            </w:r>
          </w:p>
        </w:tc>
        <w:tc>
          <w:tcPr>
            <w:tcW w:type="dxa" w:w="3135"/>
            <w:shd w:val="clear" w:color="auto" w:fill="243447"/>
          </w:tcPr>
          <w:p>
            <w:pPr>
              <w:spacing w:before="20" w:after="20"/>
            </w:pPr>
            <w:r>
              <w:rPr>
                <w:b/>
                <w:color w:val="F1F5F9"/>
                <w:sz w:val="18"/>
              </w:rPr>
            </w:r>
            <w:r>
              <w:rPr>
                <w:b/>
                <w:color w:val="F1F5F9"/>
                <w:sz w:val="18"/>
              </w:rPr>
              <w:t>Status</w:t>
            </w:r>
          </w:p>
        </w:tc>
        <w:tc>
          <w:tcPr>
            <w:tcW w:type="dxa" w:w="3135"/>
            <w:shd w:val="clear" w:color="auto" w:fill="243447"/>
          </w:tcPr>
          <w:p>
            <w:pPr>
              <w:spacing w:before="20" w:after="20"/>
            </w:pPr>
            <w:r>
              <w:rPr>
                <w:b/>
                <w:color w:val="F1F5F9"/>
                <w:sz w:val="18"/>
              </w:rPr>
            </w:r>
            <w:r>
              <w:rPr>
                <w:b/>
                <w:color w:val="F1F5F9"/>
                <w:sz w:val="18"/>
              </w:rPr>
              <w:t>Technical Implementation Details</w:t>
            </w:r>
          </w:p>
        </w:tc>
      </w:tr>
      <w:tr>
        <w:tc>
          <w:tcPr>
            <w:tcW w:type="dxa" w:w="3135"/>
          </w:tcPr>
          <w:p>
            <w:pPr>
              <w:spacing w:before="20" w:after="20"/>
            </w:pPr>
            <w:r>
              <w:rPr>
                <w:sz w:val="18"/>
              </w:rPr>
            </w:r>
            <w:r>
              <w:rPr>
                <w:sz w:val="18"/>
              </w:rPr>
            </w:r>
            <w:r>
              <w:rPr>
                <w:b/>
                <w:sz w:val="18"/>
              </w:rPr>
              <w:t>V3 Full-Stack Engine</w:t>
            </w:r>
            <w:r>
              <w:rPr>
                <w:sz w:val="18"/>
              </w:rPr>
            </w:r>
          </w:p>
        </w:tc>
        <w:tc>
          <w:tcPr>
            <w:tcW w:type="dxa" w:w="3135"/>
          </w:tcPr>
          <w:p>
            <w:pPr>
              <w:spacing w:before="20" w:after="20"/>
            </w:pPr>
            <w:r>
              <w:rPr>
                <w:sz w:val="18"/>
              </w:rPr>
            </w:r>
            <w:r>
              <w:rPr>
                <w:sz w:val="18"/>
              </w:rPr>
            </w:r>
            <w:r>
              <w:rPr>
                <w:b/>
                <w:sz w:val="18"/>
              </w:rPr>
              <w:t>COMPLETED</w:t>
            </w:r>
            <w:r>
              <w:rPr>
                <w:sz w:val="18"/>
              </w:rPr>
            </w:r>
          </w:p>
        </w:tc>
        <w:tc>
          <w:tcPr>
            <w:tcW w:type="dxa" w:w="3135"/>
          </w:tcPr>
          <w:p>
            <w:pPr>
              <w:spacing w:before="20" w:after="20"/>
            </w:pPr>
            <w:r>
              <w:rPr>
                <w:sz w:val="18"/>
              </w:rPr>
            </w:r>
            <w:r>
              <w:rPr>
                <w:sz w:val="18"/>
              </w:rPr>
              <w:t>Fully operational Node.js/Express 5 server + SQLite DB + React 19 SPA</w:t>
            </w:r>
          </w:p>
        </w:tc>
      </w:tr>
      <w:tr>
        <w:tc>
          <w:tcPr>
            <w:tcW w:type="dxa" w:w="3135"/>
            <w:shd w:val="clear" w:color="auto" w:fill="F8FAFC"/>
          </w:tcPr>
          <w:p>
            <w:pPr>
              <w:spacing w:before="20" w:after="20"/>
            </w:pPr>
            <w:r>
              <w:rPr>
                <w:sz w:val="18"/>
              </w:rPr>
            </w:r>
            <w:r>
              <w:rPr>
                <w:sz w:val="18"/>
              </w:rPr>
            </w:r>
            <w:r>
              <w:rPr>
                <w:b/>
                <w:sz w:val="18"/>
              </w:rPr>
              <w:t>5-Persona RBAC &amp; Auth</w:t>
            </w:r>
            <w:r>
              <w:rPr>
                <w:sz w:val="18"/>
              </w:rPr>
            </w:r>
          </w:p>
        </w:tc>
        <w:tc>
          <w:tcPr>
            <w:tcW w:type="dxa" w:w="3135"/>
            <w:shd w:val="clear" w:color="auto" w:fill="F8FAFC"/>
          </w:tcPr>
          <w:p>
            <w:pPr>
              <w:spacing w:before="20" w:after="20"/>
            </w:pPr>
            <w:r>
              <w:rPr>
                <w:sz w:val="18"/>
              </w:rPr>
            </w:r>
            <w:r>
              <w:rPr>
                <w:sz w:val="18"/>
              </w:rPr>
            </w:r>
            <w:r>
              <w:rPr>
                <w:b/>
                <w:sz w:val="18"/>
              </w:rPr>
              <w:t>COMPLETED</w:t>
            </w:r>
            <w:r>
              <w:rPr>
                <w:sz w:val="18"/>
              </w:rPr>
            </w:r>
          </w:p>
        </w:tc>
        <w:tc>
          <w:tcPr>
            <w:tcW w:type="dxa" w:w="3135"/>
            <w:shd w:val="clear" w:color="auto" w:fill="F8FAFC"/>
          </w:tcPr>
          <w:p>
            <w:pPr>
              <w:spacing w:before="20" w:after="20"/>
            </w:pPr>
            <w:r>
              <w:rPr>
                <w:sz w:val="18"/>
              </w:rPr>
            </w:r>
            <w:r>
              <w:rPr>
                <w:sz w:val="18"/>
              </w:rPr>
              <w:t>JWT bearer tokens, bcrypt password hashing, role-restricted routes</w:t>
            </w:r>
          </w:p>
        </w:tc>
      </w:tr>
      <w:tr>
        <w:tc>
          <w:tcPr>
            <w:tcW w:type="dxa" w:w="3135"/>
          </w:tcPr>
          <w:p>
            <w:pPr>
              <w:spacing w:before="20" w:after="20"/>
            </w:pPr>
            <w:r>
              <w:rPr>
                <w:sz w:val="18"/>
              </w:rPr>
            </w:r>
            <w:r>
              <w:rPr>
                <w:sz w:val="18"/>
              </w:rPr>
            </w:r>
            <w:r>
              <w:rPr>
                <w:b/>
                <w:sz w:val="18"/>
              </w:rPr>
              <w:t>Quad-Gate Weighment</w:t>
            </w:r>
            <w:r>
              <w:rPr>
                <w:sz w:val="18"/>
              </w:rPr>
            </w:r>
          </w:p>
        </w:tc>
        <w:tc>
          <w:tcPr>
            <w:tcW w:type="dxa" w:w="3135"/>
          </w:tcPr>
          <w:p>
            <w:pPr>
              <w:spacing w:before="20" w:after="20"/>
            </w:pPr>
            <w:r>
              <w:rPr>
                <w:sz w:val="18"/>
              </w:rPr>
            </w:r>
            <w:r>
              <w:rPr>
                <w:sz w:val="18"/>
              </w:rPr>
            </w:r>
            <w:r>
              <w:rPr>
                <w:b/>
                <w:sz w:val="18"/>
              </w:rPr>
              <w:t>COMPLETED</w:t>
            </w:r>
            <w:r>
              <w:rPr>
                <w:sz w:val="18"/>
              </w:rPr>
            </w:r>
          </w:p>
        </w:tc>
        <w:tc>
          <w:tcPr>
            <w:tcW w:type="dxa" w:w="3135"/>
          </w:tcPr>
          <w:p>
            <w:pPr>
              <w:spacing w:before="20" w:after="20"/>
            </w:pPr>
            <w:r>
              <w:rPr>
                <w:sz w:val="18"/>
              </w:rPr>
            </w:r>
            <w:r>
              <w:rPr>
                <w:sz w:val="18"/>
              </w:rPr>
              <w:t>Full logging across all 4 gate checkpoints with automated weight math</w:t>
            </w:r>
          </w:p>
        </w:tc>
      </w:tr>
      <w:tr>
        <w:tc>
          <w:tcPr>
            <w:tcW w:type="dxa" w:w="3135"/>
            <w:shd w:val="clear" w:color="auto" w:fill="F8FAFC"/>
          </w:tcPr>
          <w:p>
            <w:pPr>
              <w:spacing w:before="20" w:after="20"/>
            </w:pPr>
            <w:r>
              <w:rPr>
                <w:sz w:val="18"/>
              </w:rPr>
            </w:r>
            <w:r>
              <w:rPr>
                <w:sz w:val="18"/>
              </w:rPr>
            </w:r>
            <w:r>
              <w:rPr>
                <w:b/>
                <w:sz w:val="18"/>
              </w:rPr>
              <w:t>Tolerance Reconciliation</w:t>
            </w:r>
            <w:r>
              <w:rPr>
                <w:sz w:val="18"/>
              </w:rPr>
            </w:r>
          </w:p>
        </w:tc>
        <w:tc>
          <w:tcPr>
            <w:tcW w:type="dxa" w:w="3135"/>
            <w:shd w:val="clear" w:color="auto" w:fill="F8FAFC"/>
          </w:tcPr>
          <w:p>
            <w:pPr>
              <w:spacing w:before="20" w:after="20"/>
            </w:pPr>
            <w:r>
              <w:rPr>
                <w:sz w:val="18"/>
              </w:rPr>
            </w:r>
            <w:r>
              <w:rPr>
                <w:sz w:val="18"/>
              </w:rPr>
            </w:r>
            <w:r>
              <w:rPr>
                <w:b/>
                <w:sz w:val="18"/>
              </w:rPr>
              <w:t>COMPLETED</w:t>
            </w:r>
            <w:r>
              <w:rPr>
                <w:sz w:val="18"/>
              </w:rPr>
            </w:r>
          </w:p>
        </w:tc>
        <w:tc>
          <w:tcPr>
            <w:tcW w:type="dxa" w:w="3135"/>
            <w:shd w:val="clear" w:color="auto" w:fill="F8FAFC"/>
          </w:tcPr>
          <w:p>
            <w:pPr>
              <w:spacing w:before="20" w:after="20"/>
            </w:pPr>
            <w:r>
              <w:rPr>
                <w:sz w:val="18"/>
              </w:rPr>
            </w:r>
            <w:r>
              <w:rPr>
                <w:sz w:val="18"/>
              </w:rPr>
              <w:t>Automated percentage variance calculation against PO thresholds</w:t>
            </w:r>
          </w:p>
        </w:tc>
      </w:tr>
      <w:tr>
        <w:tc>
          <w:tcPr>
            <w:tcW w:type="dxa" w:w="3135"/>
          </w:tcPr>
          <w:p>
            <w:pPr>
              <w:spacing w:before="20" w:after="20"/>
            </w:pPr>
            <w:r>
              <w:rPr>
                <w:sz w:val="18"/>
              </w:rPr>
            </w:r>
            <w:r>
              <w:rPr>
                <w:sz w:val="18"/>
              </w:rPr>
            </w:r>
            <w:r>
              <w:rPr>
                <w:b/>
                <w:sz w:val="18"/>
              </w:rPr>
              <w:t>Review Queue Blocking</w:t>
            </w:r>
            <w:r>
              <w:rPr>
                <w:sz w:val="18"/>
              </w:rPr>
            </w:r>
          </w:p>
        </w:tc>
        <w:tc>
          <w:tcPr>
            <w:tcW w:type="dxa" w:w="3135"/>
          </w:tcPr>
          <w:p>
            <w:pPr>
              <w:spacing w:before="20" w:after="20"/>
            </w:pPr>
            <w:r>
              <w:rPr>
                <w:sz w:val="18"/>
              </w:rPr>
            </w:r>
            <w:r>
              <w:rPr>
                <w:sz w:val="18"/>
              </w:rPr>
            </w:r>
            <w:r>
              <w:rPr>
                <w:b/>
                <w:sz w:val="18"/>
              </w:rPr>
              <w:t>COMPLETED</w:t>
            </w:r>
            <w:r>
              <w:rPr>
                <w:sz w:val="18"/>
              </w:rPr>
            </w:r>
          </w:p>
        </w:tc>
        <w:tc>
          <w:tcPr>
            <w:tcW w:type="dxa" w:w="3135"/>
          </w:tcPr>
          <w:p>
            <w:pPr>
              <w:spacing w:before="20" w:after="20"/>
            </w:pPr>
            <w:r>
              <w:rPr>
                <w:sz w:val="18"/>
              </w:rPr>
            </w:r>
            <w:r>
              <w:rPr>
                <w:sz w:val="18"/>
              </w:rPr>
              <w:t>Strict transactional blocking of MIRO invoice creation on open exceptions</w:t>
            </w:r>
          </w:p>
        </w:tc>
      </w:tr>
      <w:tr>
        <w:tc>
          <w:tcPr>
            <w:tcW w:type="dxa" w:w="3135"/>
            <w:shd w:val="clear" w:color="auto" w:fill="F8FAFC"/>
          </w:tcPr>
          <w:p>
            <w:pPr>
              <w:spacing w:before="20" w:after="20"/>
            </w:pPr>
            <w:r>
              <w:rPr>
                <w:sz w:val="18"/>
              </w:rPr>
            </w:r>
            <w:r>
              <w:rPr>
                <w:sz w:val="18"/>
              </w:rPr>
            </w:r>
            <w:r>
              <w:rPr>
                <w:b/>
                <w:sz w:val="18"/>
              </w:rPr>
              <w:t>E-Signature Capture</w:t>
            </w:r>
            <w:r>
              <w:rPr>
                <w:sz w:val="18"/>
              </w:rPr>
            </w:r>
          </w:p>
        </w:tc>
        <w:tc>
          <w:tcPr>
            <w:tcW w:type="dxa" w:w="3135"/>
            <w:shd w:val="clear" w:color="auto" w:fill="F8FAFC"/>
          </w:tcPr>
          <w:p>
            <w:pPr>
              <w:spacing w:before="20" w:after="20"/>
            </w:pPr>
            <w:r>
              <w:rPr>
                <w:sz w:val="18"/>
              </w:rPr>
            </w:r>
            <w:r>
              <w:rPr>
                <w:sz w:val="18"/>
              </w:rPr>
            </w:r>
            <w:r>
              <w:rPr>
                <w:b/>
                <w:sz w:val="18"/>
              </w:rPr>
              <w:t>COMPLETED</w:t>
            </w:r>
            <w:r>
              <w:rPr>
                <w:sz w:val="18"/>
              </w:rPr>
            </w:r>
          </w:p>
        </w:tc>
        <w:tc>
          <w:tcPr>
            <w:tcW w:type="dxa" w:w="3135"/>
            <w:shd w:val="clear" w:color="auto" w:fill="F8FAFC"/>
          </w:tcPr>
          <w:p>
            <w:pPr>
              <w:spacing w:before="20" w:after="20"/>
            </w:pPr>
            <w:r>
              <w:rPr>
                <w:sz w:val="18"/>
              </w:rPr>
            </w:r>
            <w:r>
              <w:rPr>
                <w:sz w:val="18"/>
              </w:rPr>
              <w:t>HTML5 canvas signature pad component (`SignaturePad.tsx`)</w:t>
            </w:r>
          </w:p>
        </w:tc>
      </w:tr>
      <w:tr>
        <w:tc>
          <w:tcPr>
            <w:tcW w:type="dxa" w:w="3135"/>
          </w:tcPr>
          <w:p>
            <w:pPr>
              <w:spacing w:before="20" w:after="20"/>
            </w:pPr>
            <w:r>
              <w:rPr>
                <w:sz w:val="18"/>
              </w:rPr>
            </w:r>
            <w:r>
              <w:rPr>
                <w:sz w:val="18"/>
              </w:rPr>
            </w:r>
            <w:r>
              <w:rPr>
                <w:b/>
                <w:sz w:val="18"/>
              </w:rPr>
              <w:t>System Demo Reset</w:t>
            </w:r>
            <w:r>
              <w:rPr>
                <w:sz w:val="18"/>
              </w:rPr>
            </w:r>
          </w:p>
        </w:tc>
        <w:tc>
          <w:tcPr>
            <w:tcW w:type="dxa" w:w="3135"/>
          </w:tcPr>
          <w:p>
            <w:pPr>
              <w:spacing w:before="20" w:after="20"/>
            </w:pPr>
            <w:r>
              <w:rPr>
                <w:sz w:val="18"/>
              </w:rPr>
            </w:r>
            <w:r>
              <w:rPr>
                <w:sz w:val="18"/>
              </w:rPr>
            </w:r>
            <w:r>
              <w:rPr>
                <w:b/>
                <w:sz w:val="18"/>
              </w:rPr>
              <w:t>COMPLETED</w:t>
            </w:r>
            <w:r>
              <w:rPr>
                <w:sz w:val="18"/>
              </w:rPr>
            </w:r>
          </w:p>
        </w:tc>
        <w:tc>
          <w:tcPr>
            <w:tcW w:type="dxa" w:w="3135"/>
          </w:tcPr>
          <w:p>
            <w:pPr>
              <w:spacing w:before="20" w:after="20"/>
            </w:pPr>
            <w:r>
              <w:rPr>
                <w:sz w:val="18"/>
              </w:rPr>
            </w:r>
            <w:r>
              <w:rPr>
                <w:sz w:val="18"/>
              </w:rPr>
              <w:t>`POST /api/v3/demo/reset` clears transactional runs while preserving SAP data</w:t>
            </w:r>
          </w:p>
        </w:tc>
      </w:tr>
      <w:tr>
        <w:tc>
          <w:tcPr>
            <w:tcW w:type="dxa" w:w="3135"/>
            <w:shd w:val="clear" w:color="auto" w:fill="F8FAFC"/>
          </w:tcPr>
          <w:p>
            <w:pPr>
              <w:spacing w:before="20" w:after="20"/>
            </w:pPr>
            <w:r>
              <w:rPr>
                <w:sz w:val="18"/>
              </w:rPr>
            </w:r>
            <w:r>
              <w:rPr>
                <w:sz w:val="18"/>
              </w:rPr>
            </w:r>
            <w:r>
              <w:rPr>
                <w:b/>
                <w:sz w:val="18"/>
              </w:rPr>
              <w:t>OCR Document Engine</w:t>
            </w:r>
            <w:r>
              <w:rPr>
                <w:sz w:val="18"/>
              </w:rPr>
            </w:r>
          </w:p>
        </w:tc>
        <w:tc>
          <w:tcPr>
            <w:tcW w:type="dxa" w:w="3135"/>
            <w:shd w:val="clear" w:color="auto" w:fill="F8FAFC"/>
          </w:tcPr>
          <w:p>
            <w:pPr>
              <w:spacing w:before="20" w:after="20"/>
            </w:pPr>
            <w:r>
              <w:rPr>
                <w:sz w:val="18"/>
              </w:rPr>
            </w:r>
            <w:r>
              <w:rPr>
                <w:sz w:val="18"/>
              </w:rPr>
            </w:r>
            <w:r>
              <w:rPr>
                <w:b/>
                <w:sz w:val="18"/>
              </w:rPr>
              <w:t>SIMULATED</w:t>
            </w:r>
            <w:r>
              <w:rPr>
                <w:sz w:val="18"/>
              </w:rPr>
            </w:r>
          </w:p>
        </w:tc>
        <w:tc>
          <w:tcPr>
            <w:tcW w:type="dxa" w:w="3135"/>
            <w:shd w:val="clear" w:color="auto" w:fill="F8FAFC"/>
          </w:tcPr>
          <w:p>
            <w:pPr>
              <w:spacing w:before="20" w:after="20"/>
            </w:pPr>
            <w:r>
              <w:rPr>
                <w:sz w:val="18"/>
              </w:rPr>
            </w:r>
            <w:r>
              <w:rPr>
                <w:sz w:val="18"/>
              </w:rPr>
              <w:t>Prototype filename pattern matching engine (`OCRSim`)</w:t>
            </w:r>
          </w:p>
        </w:tc>
      </w:tr>
      <w:tr>
        <w:tc>
          <w:tcPr>
            <w:tcW w:type="dxa" w:w="3135"/>
          </w:tcPr>
          <w:p>
            <w:pPr>
              <w:spacing w:before="20" w:after="20"/>
            </w:pPr>
            <w:r>
              <w:rPr>
                <w:sz w:val="18"/>
              </w:rPr>
            </w:r>
            <w:r>
              <w:rPr>
                <w:sz w:val="18"/>
              </w:rPr>
            </w:r>
            <w:r>
              <w:rPr>
                <w:b/>
                <w:sz w:val="18"/>
              </w:rPr>
              <w:t>SAP Live Write-Back</w:t>
            </w:r>
            <w:r>
              <w:rPr>
                <w:sz w:val="18"/>
              </w:rPr>
            </w:r>
          </w:p>
        </w:tc>
        <w:tc>
          <w:tcPr>
            <w:tcW w:type="dxa" w:w="3135"/>
          </w:tcPr>
          <w:p>
            <w:pPr>
              <w:spacing w:before="20" w:after="20"/>
            </w:pPr>
            <w:r>
              <w:rPr>
                <w:sz w:val="18"/>
              </w:rPr>
            </w:r>
            <w:r>
              <w:rPr>
                <w:sz w:val="18"/>
              </w:rPr>
            </w:r>
            <w:r>
              <w:rPr>
                <w:b/>
                <w:sz w:val="18"/>
              </w:rPr>
              <w:t>SIMULATED</w:t>
            </w:r>
            <w:r>
              <w:rPr>
                <w:sz w:val="18"/>
              </w:rPr>
            </w:r>
          </w:p>
        </w:tc>
        <w:tc>
          <w:tcPr>
            <w:tcW w:type="dxa" w:w="3135"/>
          </w:tcPr>
          <w:p>
            <w:pPr>
              <w:spacing w:before="20" w:after="20"/>
            </w:pPr>
            <w:r>
              <w:rPr>
                <w:sz w:val="18"/>
              </w:rPr>
            </w:r>
            <w:r>
              <w:rPr>
                <w:sz w:val="18"/>
              </w:rPr>
              <w:t>Live OData GET fetching enabled with local Express fallback; posting is mock state</w:t>
            </w:r>
          </w:p>
        </w:tc>
      </w:tr>
      <w:tr>
        <w:tc>
          <w:tcPr>
            <w:tcW w:type="dxa" w:w="3135"/>
            <w:shd w:val="clear" w:color="auto" w:fill="F8FAFC"/>
          </w:tcPr>
          <w:p>
            <w:pPr>
              <w:spacing w:before="20" w:after="20"/>
            </w:pPr>
            <w:r>
              <w:rPr>
                <w:sz w:val="18"/>
              </w:rPr>
            </w:r>
            <w:r>
              <w:rPr>
                <w:sz w:val="18"/>
              </w:rPr>
            </w:r>
            <w:r>
              <w:rPr>
                <w:b/>
                <w:sz w:val="18"/>
              </w:rPr>
              <w:t>GPS Geofencing</w:t>
            </w:r>
            <w:r>
              <w:rPr>
                <w:sz w:val="18"/>
              </w:rPr>
            </w:r>
          </w:p>
        </w:tc>
        <w:tc>
          <w:tcPr>
            <w:tcW w:type="dxa" w:w="3135"/>
            <w:shd w:val="clear" w:color="auto" w:fill="F8FAFC"/>
          </w:tcPr>
          <w:p>
            <w:pPr>
              <w:spacing w:before="20" w:after="20"/>
            </w:pPr>
            <w:r>
              <w:rPr>
                <w:sz w:val="18"/>
              </w:rPr>
            </w:r>
            <w:r>
              <w:rPr>
                <w:sz w:val="18"/>
              </w:rPr>
            </w:r>
            <w:r>
              <w:rPr>
                <w:b/>
                <w:sz w:val="18"/>
              </w:rPr>
              <w:t>SIMULATED</w:t>
            </w:r>
            <w:r>
              <w:rPr>
                <w:sz w:val="18"/>
              </w:rPr>
            </w:r>
          </w:p>
        </w:tc>
        <w:tc>
          <w:tcPr>
            <w:tcW w:type="dxa" w:w="3135"/>
            <w:shd w:val="clear" w:color="auto" w:fill="F8FAFC"/>
          </w:tcPr>
          <w:p>
            <w:pPr>
              <w:spacing w:before="20" w:after="20"/>
            </w:pPr>
            <w:r>
              <w:rPr>
                <w:sz w:val="18"/>
              </w:rPr>
            </w:r>
            <w:r>
              <w:rPr>
                <w:sz w:val="18"/>
              </w:rPr>
              <w:t>Haversine formula backend calculation with mock frontend geolocation</w:t>
            </w:r>
          </w:p>
        </w:tc>
      </w:tr>
    </w:tbl>
    <w:p>
      <w:pPr>
        <w:spacing w:after="120"/>
      </w:pPr>
    </w:p>
    <w:p>
      <w:pPr>
        <w:spacing w:after="40"/>
      </w:pPr>
    </w:p>
    <w:p>
      <w:pPr>
        <w:spacing w:after="80"/>
      </w:pPr>
    </w:p>
    <w:p>
      <w:pPr>
        <w:spacing w:after="40"/>
      </w:pPr>
    </w:p>
    <w:p>
      <w:pPr>
        <w:pStyle w:val="Heading2"/>
      </w:pPr>
      <w:r>
        <w:rPr>
          <w:color w:val="2563EB"/>
        </w:rPr>
        <w:t>7. Operational Recommendations &amp; Roadmap</w:t>
      </w:r>
    </w:p>
    <w:p>
      <w:pPr>
        <w:spacing w:after="40"/>
      </w:pPr>
    </w:p>
    <w:p>
      <w:pPr>
        <w:pStyle w:val="ListBullet"/>
      </w:pPr>
      <w:r>
        <w:rPr>
          <w:sz w:val="20"/>
        </w:rPr>
      </w:r>
      <w:r>
        <w:rPr>
          <w:b/>
          <w:sz w:val="20"/>
        </w:rPr>
        <w:t>Production OCR Integration</w:t>
      </w:r>
      <w:r>
        <w:rPr>
          <w:sz w:val="20"/>
        </w:rPr>
        <w:t>: Replace static pattern-matching `OCRSim` with AWS Textract or Google Document AI for live field extraction from scanned POD PDFs.</w:t>
      </w:r>
    </w:p>
    <w:p>
      <w:pPr>
        <w:pStyle w:val="ListBullet"/>
      </w:pPr>
      <w:r>
        <w:rPr>
          <w:sz w:val="20"/>
        </w:rPr>
      </w:r>
      <w:r>
        <w:rPr>
          <w:b/>
          <w:sz w:val="20"/>
        </w:rPr>
        <w:t>Live SAP Write-Back</w:t>
      </w:r>
      <w:r>
        <w:rPr>
          <w:sz w:val="20"/>
        </w:rPr>
        <w:t>: Connect `S21SAPAdapter.ts` to SAP Gateway RFC/OData POST endpoints for live MIRO document creation in SAP production environments.</w:t>
      </w:r>
    </w:p>
    <w:p>
      <w:pPr>
        <w:pStyle w:val="ListBullet"/>
      </w:pPr>
      <w:r>
        <w:rPr>
          <w:sz w:val="20"/>
        </w:rPr>
      </w:r>
      <w:r>
        <w:rPr>
          <w:b/>
          <w:sz w:val="20"/>
        </w:rPr>
        <w:t>IoT Weighbridge Connectivity</w:t>
      </w:r>
      <w:r>
        <w:rPr>
          <w:sz w:val="20"/>
        </w:rPr>
        <w:t>: Integrate serial/MQTT connectors for direct weight reading from physical weighbridge indicator hardware.</w:t>
      </w:r>
    </w:p>
    <w:p>
      <w:pPr>
        <w:pStyle w:val="ListBullet"/>
      </w:pPr>
      <w:r>
        <w:rPr>
          <w:sz w:val="20"/>
        </w:rPr>
      </w:r>
      <w:r>
        <w:rPr>
          <w:b/>
          <w:sz w:val="20"/>
        </w:rPr>
        <w:t>Cloud Storage Provider</w:t>
      </w:r>
      <w:r>
        <w:rPr>
          <w:sz w:val="20"/>
        </w:rPr>
        <w:t>: Transition uploaded file storage from local `/uploads` directory to AWS S3 or SAP BTP Document Management Service.</w:t>
      </w:r>
    </w:p>
    <w:p>
      <w:pPr>
        <w:spacing w:after="40"/>
      </w:pPr>
    </w:p>
    <w:p>
      <w:pPr>
        <w:spacing w:after="80"/>
      </w:pPr>
    </w:p>
    <w:p>
      <w:r>
        <w:rPr>
          <w:sz w:val="20"/>
        </w:rPr>
        <w:t>*Report Generated by Antigravity AI | Project Source: PODZO (Varad-6/POD)*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