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uiux-group-project-concluding-report"/>
    <w:p>
      <w:pPr>
        <w:pStyle w:val="Heading1"/>
      </w:pPr>
      <w:r>
        <w:t xml:space="preserve">UI/UX Group Project: Concluding Report</w:t>
      </w:r>
    </w:p>
    <w:p>
      <w:pPr>
        <w:pStyle w:val="FirstParagraph"/>
      </w:pPr>
      <w:r>
        <w:rPr>
          <w:bCs/>
          <w:b/>
        </w:rPr>
        <w:t xml:space="preserve">Redesigning two cybersecurity experiences: Sentinel (Cloudflare Dashboard) and the Cybercrime Reporting Portal</w:t>
      </w:r>
    </w:p>
    <w:p>
      <w:pPr>
        <w:pStyle w:val="BodyText"/>
      </w:pPr>
      <w:r>
        <w:t xml:space="preserve">Prepared by: Shreya Newaskar, Varad Shelke, Vijay Varia and Jai Umadi · UI/UX Design · October 25, 2026</w:t>
      </w:r>
    </w:p>
    <w:bookmarkStart w:id="20" w:name="summary"/>
    <w:p>
      <w:pPr>
        <w:pStyle w:val="Heading2"/>
      </w:pPr>
      <w:r>
        <w:t xml:space="preserve">1. Summary</w:t>
      </w:r>
    </w:p>
    <w:p>
      <w:pPr>
        <w:pStyle w:val="FirstParagraph"/>
      </w:pPr>
      <w:r>
        <w:t xml:space="preserve">Our group chose the cybersecurity domain and redesigned two products.</w:t>
      </w:r>
      <w:r>
        <w:t xml:space="preserve"> </w:t>
      </w:r>
      <w:r>
        <w:rPr>
          <w:bCs/>
          <w:b/>
        </w:rPr>
        <w:t xml:space="preserve">Sentinel</w:t>
      </w:r>
      <w:r>
        <w:t xml:space="preserve"> </w:t>
      </w:r>
      <w:r>
        <w:t xml:space="preserve">is a redesign of the Cloudflare Dashboard for security and IT administrators. The</w:t>
      </w:r>
      <w:r>
        <w:t xml:space="preserve"> </w:t>
      </w:r>
      <w:r>
        <w:rPr>
          <w:bCs/>
          <w:b/>
        </w:rPr>
        <w:t xml:space="preserve">Cybercrime Reporting Portal redesign</w:t>
      </w:r>
      <w:r>
        <w:t xml:space="preserve"> </w:t>
      </w:r>
      <w:r>
        <w:t xml:space="preserve">is for ordinary citizens who must report online fraud or harassment, often while stressed. The two products have very different users, but they failed in the same way: unclear language, hidden or risky steps, and little feedback about what the system was doing. Both redesigns fixed this with plain wording, visible status, built-in safeguards and easy recovery. Five peer reviewers evaluated the work, and all of them preferred the redesigned versions. Because the review sample is small and informal, we treat this as encouraging evidence, not proof.</w:t>
      </w:r>
    </w:p>
    <w:bookmarkEnd w:id="20"/>
    <w:bookmarkStart w:id="21" w:name="the-two-projects"/>
    <w:p>
      <w:pPr>
        <w:pStyle w:val="Heading2"/>
        <w:keepNext/>
      </w:pPr>
      <w:r>
        <w:t xml:space="preserve">2. The two projects</w:t>
      </w:r>
    </w:p>
    <w:tbl>
      <w:tblPr>
        <w:tblStyle w:val="Table"/>
        <w:tblW w:type="dxa" w:w="9460"/>
        <w:tblLook w:firstRow="1" w:lastRow="0" w:firstColumn="0" w:lastColumn="0" w:noHBand="0" w:noVBand="0" w:val="0020"/>
        <w:jc w:val="start"/>
        <w:tblBorders>
          <w:top w:val="single" w:sz="4" w:color="B8C0D4"/>
          <w:left w:val="single" w:sz="4" w:color="B8C0D4"/>
          <w:bottom w:val="single" w:sz="4" w:color="B8C0D4"/>
          <w:right w:val="single" w:sz="4" w:color="B8C0D4"/>
          <w:insideH w:val="single" w:sz="4" w:color="B8C0D4"/>
          <w:insideV w:val="single" w:sz="4" w:color="B8C0D4"/>
        </w:tblBorders>
        <w:tblLayout w:type="fixed"/>
        <w:tblCellMar>
          <w:top w:w="70" w:type="dxa"/>
          <w:left w:w="100" w:type="dxa"/>
          <w:bottom w:w="70" w:type="dxa"/>
          <w:right w:w="100" w:type="dxa"/>
        </w:tblCellMar>
        <w:tblLayout w:type="fixed"/>
      </w:tblPr>
      <w:tblGrid>
        <w:gridCol w:w="2160"/>
        <w:gridCol w:w="3456"/>
        <w:gridCol w:w="3844"/>
      </w:tblGrid>
      <w:tr>
        <w:trPr>
          <w:tblHeader w:val="true"/>
          <w:cantSplit/>
          <w:tblHeader/>
        </w:trPr>
        <w:tc>
          <w:tcPr>
            <w:tcW w:type="dxa" w:w="2160"/>
            <w:shd w:val="clear" w:color="auto" w:fill="1F3A8A"/>
          </w:tcPr>
          <w:p>
            <w:pPr>
              <w:pStyle w:val="Compact"/>
              <w:keepNext/>
              <w:spacing w:after="0" w:line="264" w:lineRule="auto"/>
            </w:pPr>
          </w:p>
        </w:tc>
        <w:tc>
          <w:tcPr>
            <w:tcW w:type="dxa" w:w="3456"/>
            <w:shd w:val="clear" w:color="auto" w:fill="1F3A8A"/>
          </w:tcPr>
          <w:p>
            <w:pPr>
              <w:pStyle w:val="Compact"/>
              <w:keepNext/>
              <w:spacing w:after="0" w:line="264" w:lineRule="auto"/>
              <w:jc w:val="left"/>
            </w:pPr>
            <w:r>
              <w:rPr>
                <w:rFonts w:ascii="Calibri" w:hAnsi="Calibri"/>
                <w:b/>
                <w:color w:val="FFFFFF"/>
                <w:sz w:val="20"/>
              </w:rPr>
              <w:t xml:space="preserve">Sentinel</w:t>
            </w:r>
          </w:p>
        </w:tc>
        <w:tc>
          <w:tcPr>
            <w:tcW w:type="dxa" w:w="3845"/>
            <w:shd w:val="clear" w:color="auto" w:fill="1F3A8A"/>
          </w:tcPr>
          <w:p>
            <w:pPr>
              <w:pStyle w:val="Compact"/>
              <w:keepNext/>
              <w:spacing w:after="0" w:line="264" w:lineRule="auto"/>
              <w:jc w:val="left"/>
            </w:pPr>
            <w:r>
              <w:rPr>
                <w:rFonts w:ascii="Calibri" w:hAnsi="Calibri"/>
                <w:b/>
                <w:color w:val="FFFFFF"/>
                <w:sz w:val="20"/>
              </w:rPr>
              <w:t xml:space="preserve">Cybercrime Reporting Portal redesign</w:t>
            </w:r>
          </w:p>
        </w:tc>
      </w:tr>
      <w:tr>
        <w:trPr>
          <w:cantSplit/>
        </w:trPr>
        <w:tc>
          <w:tcPr>
            <w:tcW w:type="dxa" w:w="2160"/>
          </w:tcPr>
          <w:p>
            <w:pPr>
              <w:pStyle w:val="Compact"/>
              <w:keepNext/>
              <w:spacing w:after="0" w:line="264" w:lineRule="auto"/>
              <w:jc w:val="left"/>
            </w:pPr>
            <w:r>
              <w:rPr>
                <w:rFonts w:ascii="Calibri" w:hAnsi="Calibri"/>
                <w:b/>
                <w:sz w:val="20"/>
              </w:rPr>
              <w:t xml:space="preserve">Original product</w:t>
            </w:r>
          </w:p>
        </w:tc>
        <w:tc>
          <w:tcPr>
            <w:tcW w:type="dxa" w:w="3456"/>
          </w:tcPr>
          <w:p>
            <w:pPr>
              <w:pStyle w:val="Compact"/>
              <w:keepNext/>
              <w:spacing w:after="0" w:line="264" w:lineRule="auto"/>
              <w:jc w:val="left"/>
            </w:pPr>
            <w:r>
              <w:rPr>
                <w:rFonts w:ascii="Calibri" w:hAnsi="Calibri"/>
                <w:sz w:val="20"/>
              </w:rPr>
              <w:t xml:space="preserve">Cloudflare Dashboard</w:t>
            </w:r>
          </w:p>
        </w:tc>
        <w:tc>
          <w:tcPr>
            <w:tcW w:type="dxa" w:w="3845"/>
          </w:tcPr>
          <w:p>
            <w:pPr>
              <w:pStyle w:val="Compact"/>
              <w:keepNext/>
              <w:spacing w:after="0" w:line="264" w:lineRule="auto"/>
              <w:jc w:val="left"/>
            </w:pPr>
            <w:r>
              <w:rPr>
                <w:rFonts w:ascii="Calibri" w:hAnsi="Calibri"/>
                <w:sz w:val="20"/>
              </w:rPr>
              <w:t xml:space="preserve">Existing national cybercrime reporting website</w:t>
            </w:r>
          </w:p>
        </w:tc>
      </w:tr>
      <w:tr>
        <w:trPr>
          <w:cantSplit/>
        </w:trPr>
        <w:tc>
          <w:tcPr>
            <w:tcW w:type="dxa" w:w="2160"/>
            <w:shd w:val="clear" w:color="auto" w:fill="EEF2FF"/>
          </w:tcPr>
          <w:p>
            <w:pPr>
              <w:pStyle w:val="Compact"/>
              <w:keepNext/>
              <w:spacing w:after="0" w:line="264" w:lineRule="auto"/>
              <w:jc w:val="left"/>
            </w:pPr>
            <w:r>
              <w:rPr>
                <w:rFonts w:ascii="Calibri" w:hAnsi="Calibri"/>
                <w:b/>
                <w:sz w:val="20"/>
              </w:rPr>
              <w:t xml:space="preserve">Main users</w:t>
            </w:r>
          </w:p>
        </w:tc>
        <w:tc>
          <w:tcPr>
            <w:tcW w:type="dxa" w:w="3456"/>
            <w:shd w:val="clear" w:color="auto" w:fill="EEF2FF"/>
          </w:tcPr>
          <w:p>
            <w:pPr>
              <w:pStyle w:val="Compact"/>
              <w:keepNext/>
              <w:spacing w:after="0" w:line="264" w:lineRule="auto"/>
              <w:jc w:val="left"/>
            </w:pPr>
            <w:r>
              <w:rPr>
                <w:rFonts w:ascii="Calibri" w:hAnsi="Calibri"/>
                <w:sz w:val="20"/>
              </w:rPr>
              <w:t xml:space="preserve">Security/IT admins, developers, enterprise admins</w:t>
            </w:r>
          </w:p>
        </w:tc>
        <w:tc>
          <w:tcPr>
            <w:tcW w:type="dxa" w:w="3845"/>
            <w:shd w:val="clear" w:color="auto" w:fill="EEF2FF"/>
          </w:tcPr>
          <w:p>
            <w:pPr>
              <w:pStyle w:val="Compact"/>
              <w:keepNext/>
              <w:spacing w:after="0" w:line="264" w:lineRule="auto"/>
              <w:jc w:val="left"/>
            </w:pPr>
            <w:r>
              <w:rPr>
                <w:rFonts w:ascii="Calibri" w:hAnsi="Calibri"/>
                <w:sz w:val="20"/>
              </w:rPr>
              <w:t xml:space="preserve">Citizens reporting fraud, impersonation, harassment</w:t>
            </w:r>
          </w:p>
        </w:tc>
      </w:tr>
      <w:tr>
        <w:trPr>
          <w:cantSplit/>
        </w:trPr>
        <w:tc>
          <w:tcPr>
            <w:tcW w:type="dxa" w:w="2160"/>
          </w:tcPr>
          <w:p>
            <w:pPr>
              <w:pStyle w:val="Compact"/>
              <w:keepNext/>
              <w:spacing w:after="0" w:line="264" w:lineRule="auto"/>
              <w:jc w:val="left"/>
            </w:pPr>
            <w:r>
              <w:rPr>
                <w:rFonts w:ascii="Calibri" w:hAnsi="Calibri"/>
                <w:b/>
                <w:sz w:val="20"/>
              </w:rPr>
              <w:t xml:space="preserve">Core problem</w:t>
            </w:r>
          </w:p>
        </w:tc>
        <w:tc>
          <w:tcPr>
            <w:tcW w:type="dxa" w:w="3456"/>
          </w:tcPr>
          <w:p>
            <w:pPr>
              <w:pStyle w:val="Compact"/>
              <w:keepNext/>
              <w:spacing w:after="0" w:line="264" w:lineRule="auto"/>
              <w:jc w:val="left"/>
            </w:pPr>
            <w:r>
              <w:rPr>
                <w:rFonts w:ascii="Calibri" w:hAnsi="Calibri"/>
                <w:sz w:val="20"/>
              </w:rPr>
              <w:t xml:space="preserve">Jargon, deep menus, split data, weak error prevention</w:t>
            </w:r>
          </w:p>
        </w:tc>
        <w:tc>
          <w:tcPr>
            <w:tcW w:type="dxa" w:w="3845"/>
          </w:tcPr>
          <w:p>
            <w:pPr>
              <w:pStyle w:val="Compact"/>
              <w:keepNext/>
              <w:spacing w:after="0" w:line="264" w:lineRule="auto"/>
              <w:jc w:val="left"/>
            </w:pPr>
            <w:r>
              <w:rPr>
                <w:rFonts w:ascii="Calibri" w:hAnsi="Calibri"/>
                <w:sz w:val="20"/>
              </w:rPr>
              <w:t xml:space="preserve">Cluttered pages, legal text, confusing categories, no progress or saving</w:t>
            </w:r>
          </w:p>
        </w:tc>
      </w:tr>
      <w:tr>
        <w:trPr>
          <w:cantSplit/>
        </w:trPr>
        <w:tc>
          <w:tcPr>
            <w:tcW w:type="dxa" w:w="2160"/>
            <w:shd w:val="clear" w:color="auto" w:fill="EEF2FF"/>
          </w:tcPr>
          <w:p>
            <w:pPr>
              <w:pStyle w:val="Compact"/>
              <w:keepNext/>
              <w:spacing w:after="0" w:line="264" w:lineRule="auto"/>
              <w:jc w:val="left"/>
            </w:pPr>
            <w:r>
              <w:rPr>
                <w:rFonts w:ascii="Calibri" w:hAnsi="Calibri"/>
                <w:b/>
                <w:sz w:val="20"/>
              </w:rPr>
              <w:t xml:space="preserve">Situation of use</w:t>
            </w:r>
          </w:p>
        </w:tc>
        <w:tc>
          <w:tcPr>
            <w:tcW w:type="dxa" w:w="3456"/>
            <w:shd w:val="clear" w:color="auto" w:fill="EEF2FF"/>
          </w:tcPr>
          <w:p>
            <w:pPr>
              <w:pStyle w:val="Compact"/>
              <w:keepNext/>
              <w:spacing w:after="0" w:line="264" w:lineRule="auto"/>
              <w:jc w:val="left"/>
            </w:pPr>
            <w:r>
              <w:rPr>
                <w:rFonts w:ascii="Calibri" w:hAnsi="Calibri"/>
                <w:sz w:val="20"/>
              </w:rPr>
              <w:t xml:space="preserve">Time-pressured, high-stakes configuration</w:t>
            </w:r>
          </w:p>
        </w:tc>
        <w:tc>
          <w:tcPr>
            <w:tcW w:type="dxa" w:w="3845"/>
            <w:shd w:val="clear" w:color="auto" w:fill="EEF2FF"/>
          </w:tcPr>
          <w:p>
            <w:pPr>
              <w:pStyle w:val="Compact"/>
              <w:keepNext/>
              <w:spacing w:after="0" w:line="264" w:lineRule="auto"/>
              <w:jc w:val="left"/>
            </w:pPr>
            <w:r>
              <w:rPr>
                <w:rFonts w:ascii="Calibri" w:hAnsi="Calibri"/>
                <w:sz w:val="20"/>
              </w:rPr>
              <w:t xml:space="preserve">Emotional stress, often after financial loss or harassment</w:t>
            </w:r>
          </w:p>
        </w:tc>
      </w:tr>
      <w:tr>
        <w:trPr>
          <w:cantSplit/>
        </w:trPr>
        <w:tc>
          <w:tcPr>
            <w:tcW w:type="dxa" w:w="2160"/>
          </w:tcPr>
          <w:p>
            <w:pPr>
              <w:pStyle w:val="Compact"/>
              <w:spacing w:after="0" w:line="264" w:lineRule="auto"/>
              <w:jc w:val="left"/>
            </w:pPr>
            <w:r>
              <w:rPr>
                <w:rFonts w:ascii="Calibri" w:hAnsi="Calibri"/>
                <w:b/>
                <w:sz w:val="20"/>
              </w:rPr>
              <w:t xml:space="preserve">Redesign goal</w:t>
            </w:r>
          </w:p>
        </w:tc>
        <w:tc>
          <w:tcPr>
            <w:tcW w:type="dxa" w:w="3456"/>
          </w:tcPr>
          <w:p>
            <w:pPr>
              <w:pStyle w:val="Compact"/>
              <w:spacing w:after="0" w:line="264" w:lineRule="auto"/>
              <w:jc w:val="left"/>
            </w:pPr>
            <w:r>
              <w:rPr>
                <w:rFonts w:ascii="Calibri" w:hAnsi="Calibri"/>
                <w:sz w:val="20"/>
              </w:rPr>
              <w:t xml:space="preserve">Clarity, safety and control for admins</w:t>
            </w:r>
          </w:p>
        </w:tc>
        <w:tc>
          <w:tcPr>
            <w:tcW w:type="dxa" w:w="3845"/>
          </w:tcPr>
          <w:p>
            <w:pPr>
              <w:pStyle w:val="Compact"/>
              <w:spacing w:after="0" w:line="264" w:lineRule="auto"/>
              <w:jc w:val="left"/>
            </w:pPr>
            <w:r>
              <w:rPr>
                <w:rFonts w:ascii="Calibri" w:hAnsi="Calibri"/>
                <w:sz w:val="20"/>
              </w:rPr>
              <w:t xml:space="preserve">Calm, simple, reassuring reporting</w:t>
            </w:r>
          </w:p>
        </w:tc>
      </w:tr>
    </w:tbl>
    <w:bookmarkEnd w:id="21"/>
    <w:bookmarkStart w:id="22" w:name="how-we-gathered-evidence"/>
    <w:p>
      <w:pPr>
        <w:pStyle w:val="Heading2"/>
      </w:pPr>
      <w:r>
        <w:t xml:space="preserve">3. How we gathered evidence</w:t>
      </w:r>
    </w:p>
    <w:p>
      <w:pPr>
        <w:pStyle w:val="FirstParagraph"/>
      </w:pPr>
      <w:r>
        <w:t xml:space="preserve">Before the peer reviews, Sentinel was analysed with a critical analysis of 18 UX parameters and Shneiderman’s 8 golden rules, a heuristic evaluation using Nielsen’s 10 heuristics, personas and a journey map, and an accessible version for low-vision and colour-blind users. The cybercrime redesign was assessed the same way by its team.</w:t>
      </w:r>
    </w:p>
    <w:p>
      <w:pPr>
        <w:pStyle w:val="BodyText"/>
        <w:keepNext/>
      </w:pPr>
      <w:r>
        <w:t xml:space="preserve">Five peer reviewers then evaluated the finished prototypes against the originals:</w:t>
      </w:r>
    </w:p>
    <w:tbl>
      <w:tblPr>
        <w:tblStyle w:val="Table"/>
        <w:tblW w:type="dxa" w:w="9460"/>
        <w:tblLook w:firstRow="1" w:lastRow="0" w:firstColumn="0" w:lastColumn="0" w:noHBand="0" w:noVBand="0" w:val="0020"/>
        <w:jc w:val="start"/>
        <w:tblBorders>
          <w:top w:val="single" w:sz="4" w:color="B8C0D4"/>
          <w:left w:val="single" w:sz="4" w:color="B8C0D4"/>
          <w:bottom w:val="single" w:sz="4" w:color="B8C0D4"/>
          <w:right w:val="single" w:sz="4" w:color="B8C0D4"/>
          <w:insideH w:val="single" w:sz="4" w:color="B8C0D4"/>
          <w:insideV w:val="single" w:sz="4" w:color="B8C0D4"/>
        </w:tblBorders>
        <w:tblLayout w:type="fixed"/>
        <w:tblCellMar>
          <w:top w:w="70" w:type="dxa"/>
          <w:left w:w="100" w:type="dxa"/>
          <w:bottom w:w="70" w:type="dxa"/>
          <w:right w:w="100" w:type="dxa"/>
        </w:tblCellMar>
        <w:tblLayout w:type="fixed"/>
      </w:tblPr>
      <w:tblGrid>
        <w:gridCol w:w="2304"/>
        <w:gridCol w:w="2015"/>
        <w:gridCol w:w="2015"/>
        <w:gridCol w:w="3124"/>
      </w:tblGrid>
      <w:tr>
        <w:trPr>
          <w:tblHeader w:val="true"/>
          <w:cantSplit/>
          <w:tblHeader/>
        </w:trPr>
        <w:tc>
          <w:tcPr>
            <w:tcW w:type="dxa" w:w="2304"/>
            <w:shd w:val="clear" w:color="auto" w:fill="1F3A8A"/>
          </w:tcPr>
          <w:p>
            <w:pPr>
              <w:pStyle w:val="Compact"/>
              <w:keepNext/>
              <w:spacing w:after="0" w:line="264" w:lineRule="auto"/>
              <w:jc w:val="left"/>
            </w:pPr>
            <w:r>
              <w:rPr>
                <w:rFonts w:ascii="Calibri" w:hAnsi="Calibri"/>
                <w:b/>
                <w:color w:val="FFFFFF"/>
                <w:sz w:val="20"/>
              </w:rPr>
              <w:t xml:space="preserve">Reviewer</w:t>
            </w:r>
          </w:p>
        </w:tc>
        <w:tc>
          <w:tcPr>
            <w:tcW w:type="dxa" w:w="2016"/>
            <w:shd w:val="clear" w:color="auto" w:fill="1F3A8A"/>
          </w:tcPr>
          <w:p>
            <w:pPr>
              <w:pStyle w:val="Compact"/>
              <w:keepNext/>
              <w:spacing w:after="0" w:line="264" w:lineRule="auto"/>
              <w:jc w:val="left"/>
            </w:pPr>
            <w:r>
              <w:rPr>
                <w:rFonts w:ascii="Calibri" w:hAnsi="Calibri"/>
                <w:b/>
                <w:color w:val="FFFFFF"/>
                <w:sz w:val="20"/>
              </w:rPr>
              <w:t xml:space="preserve">Project reviewed</w:t>
            </w:r>
          </w:p>
        </w:tc>
        <w:tc>
          <w:tcPr>
            <w:tcW w:type="dxa" w:w="2016"/>
            <w:shd w:val="clear" w:color="auto" w:fill="1F3A8A"/>
          </w:tcPr>
          <w:p>
            <w:pPr>
              <w:pStyle w:val="Compact"/>
              <w:keepNext/>
              <w:spacing w:after="0" w:line="264" w:lineRule="auto"/>
              <w:jc w:val="left"/>
            </w:pPr>
            <w:r>
              <w:rPr>
                <w:rFonts w:ascii="Calibri" w:hAnsi="Calibri"/>
                <w:b/>
                <w:color w:val="FFFFFF"/>
                <w:sz w:val="20"/>
              </w:rPr>
              <w:t xml:space="preserve">Format</w:t>
            </w:r>
          </w:p>
        </w:tc>
        <w:tc>
          <w:tcPr>
            <w:tcW w:type="dxa" w:w="3125"/>
            <w:shd w:val="clear" w:color="auto" w:fill="1F3A8A"/>
          </w:tcPr>
          <w:p>
            <w:pPr>
              <w:pStyle w:val="Compact"/>
              <w:keepNext/>
              <w:spacing w:after="0" w:line="264" w:lineRule="auto"/>
              <w:jc w:val="left"/>
            </w:pPr>
            <w:r>
              <w:rPr>
                <w:rFonts w:ascii="Calibri" w:hAnsi="Calibri"/>
                <w:b/>
                <w:color w:val="FFFFFF"/>
                <w:sz w:val="20"/>
              </w:rPr>
              <w:t xml:space="preserve">Approach</w:t>
            </w:r>
          </w:p>
        </w:tc>
      </w:tr>
      <w:tr>
        <w:trPr>
          <w:cantSplit/>
        </w:trPr>
        <w:tc>
          <w:tcPr>
            <w:tcW w:type="dxa" w:w="2304"/>
          </w:tcPr>
          <w:p>
            <w:pPr>
              <w:pStyle w:val="Compact"/>
              <w:keepNext/>
              <w:spacing w:after="0" w:line="264" w:lineRule="auto"/>
              <w:jc w:val="left"/>
            </w:pPr>
            <w:r>
              <w:rPr>
                <w:rFonts w:ascii="Calibri" w:hAnsi="Calibri"/>
                <w:b/>
                <w:sz w:val="20"/>
              </w:rPr>
              <w:t xml:space="preserve">Arhaan Mulani</w:t>
            </w:r>
          </w:p>
        </w:tc>
        <w:tc>
          <w:tcPr>
            <w:tcW w:type="dxa" w:w="2016"/>
          </w:tcPr>
          <w:p>
            <w:pPr>
              <w:pStyle w:val="Compact"/>
              <w:keepNext/>
              <w:spacing w:after="0" w:line="264" w:lineRule="auto"/>
              <w:jc w:val="left"/>
            </w:pPr>
            <w:r>
              <w:rPr>
                <w:rFonts w:ascii="Calibri" w:hAnsi="Calibri"/>
                <w:sz w:val="20"/>
              </w:rPr>
              <w:t xml:space="preserve">Sentinel</w:t>
            </w:r>
          </w:p>
        </w:tc>
        <w:tc>
          <w:tcPr>
            <w:tcW w:type="dxa" w:w="2016"/>
          </w:tcPr>
          <w:p>
            <w:pPr>
              <w:pStyle w:val="Compact"/>
              <w:keepNext/>
              <w:spacing w:after="0" w:line="264" w:lineRule="auto"/>
              <w:jc w:val="left"/>
            </w:pPr>
            <w:r>
              <w:rPr>
                <w:rFonts w:ascii="Calibri" w:hAnsi="Calibri"/>
                <w:sz w:val="20"/>
              </w:rPr>
              <w:t xml:space="preserve">Audio</w:t>
            </w:r>
          </w:p>
        </w:tc>
        <w:tc>
          <w:tcPr>
            <w:tcW w:type="dxa" w:w="3125"/>
          </w:tcPr>
          <w:p>
            <w:pPr>
              <w:pStyle w:val="Compact"/>
              <w:keepNext/>
              <w:spacing w:after="0" w:line="264" w:lineRule="auto"/>
              <w:jc w:val="left"/>
            </w:pPr>
            <w:r>
              <w:rPr>
                <w:rFonts w:ascii="Calibri" w:hAnsi="Calibri"/>
                <w:sz w:val="20"/>
              </w:rPr>
              <w:t xml:space="preserve">Summary verdict</w:t>
            </w:r>
          </w:p>
        </w:tc>
      </w:tr>
      <w:tr>
        <w:trPr>
          <w:cantSplit/>
        </w:trPr>
        <w:tc>
          <w:tcPr>
            <w:tcW w:type="dxa" w:w="2304"/>
            <w:shd w:val="clear" w:color="auto" w:fill="EEF2FF"/>
          </w:tcPr>
          <w:p>
            <w:pPr>
              <w:pStyle w:val="Compact"/>
              <w:keepNext/>
              <w:spacing w:after="0" w:line="264" w:lineRule="auto"/>
              <w:jc w:val="left"/>
            </w:pPr>
            <w:r>
              <w:rPr>
                <w:rFonts w:ascii="Calibri" w:hAnsi="Calibri"/>
                <w:b/>
                <w:sz w:val="20"/>
              </w:rPr>
              <w:t xml:space="preserve">Mayank Rane</w:t>
            </w:r>
          </w:p>
        </w:tc>
        <w:tc>
          <w:tcPr>
            <w:tcW w:type="dxa" w:w="2016"/>
            <w:shd w:val="clear" w:color="auto" w:fill="EEF2FF"/>
          </w:tcPr>
          <w:p>
            <w:pPr>
              <w:pStyle w:val="Compact"/>
              <w:keepNext/>
              <w:spacing w:after="0" w:line="264" w:lineRule="auto"/>
              <w:jc w:val="left"/>
            </w:pPr>
            <w:r>
              <w:rPr>
                <w:rFonts w:ascii="Calibri" w:hAnsi="Calibri"/>
                <w:sz w:val="20"/>
              </w:rPr>
              <w:t xml:space="preserve">Sentinel</w:t>
            </w:r>
          </w:p>
        </w:tc>
        <w:tc>
          <w:tcPr>
            <w:tcW w:type="dxa" w:w="2016"/>
            <w:shd w:val="clear" w:color="auto" w:fill="EEF2FF"/>
          </w:tcPr>
          <w:p>
            <w:pPr>
              <w:pStyle w:val="Compact"/>
              <w:keepNext/>
              <w:spacing w:after="0" w:line="264" w:lineRule="auto"/>
              <w:jc w:val="left"/>
            </w:pPr>
            <w:r>
              <w:rPr>
                <w:rFonts w:ascii="Calibri" w:hAnsi="Calibri"/>
                <w:sz w:val="20"/>
              </w:rPr>
              <w:t xml:space="preserve">Audio</w:t>
            </w:r>
          </w:p>
        </w:tc>
        <w:tc>
          <w:tcPr>
            <w:tcW w:type="dxa" w:w="3125"/>
            <w:shd w:val="clear" w:color="auto" w:fill="EEF2FF"/>
          </w:tcPr>
          <w:p>
            <w:pPr>
              <w:pStyle w:val="Compact"/>
              <w:keepNext/>
              <w:spacing w:after="0" w:line="264" w:lineRule="auto"/>
              <w:jc w:val="left"/>
            </w:pPr>
            <w:r>
              <w:rPr>
                <w:rFonts w:ascii="Calibri" w:hAnsi="Calibri"/>
                <w:sz w:val="20"/>
              </w:rPr>
              <w:t xml:space="preserve">Personal feedback by theme</w:t>
            </w:r>
          </w:p>
        </w:tc>
      </w:tr>
      <w:tr>
        <w:trPr>
          <w:cantSplit/>
        </w:trPr>
        <w:tc>
          <w:tcPr>
            <w:tcW w:type="dxa" w:w="2304"/>
          </w:tcPr>
          <w:p>
            <w:pPr>
              <w:pStyle w:val="Compact"/>
              <w:keepNext/>
              <w:spacing w:after="0" w:line="264" w:lineRule="auto"/>
              <w:jc w:val="left"/>
            </w:pPr>
            <w:r>
              <w:rPr>
                <w:rFonts w:ascii="Calibri" w:hAnsi="Calibri"/>
                <w:b/>
                <w:sz w:val="20"/>
              </w:rPr>
              <w:t xml:space="preserve">Kavya</w:t>
            </w:r>
          </w:p>
        </w:tc>
        <w:tc>
          <w:tcPr>
            <w:tcW w:type="dxa" w:w="2016"/>
          </w:tcPr>
          <w:p>
            <w:pPr>
              <w:pStyle w:val="Compact"/>
              <w:keepNext/>
              <w:spacing w:after="0" w:line="264" w:lineRule="auto"/>
              <w:jc w:val="left"/>
            </w:pPr>
            <w:r>
              <w:rPr>
                <w:rFonts w:ascii="Calibri" w:hAnsi="Calibri"/>
                <w:sz w:val="20"/>
              </w:rPr>
              <w:t xml:space="preserve">Cybercrime portal</w:t>
            </w:r>
          </w:p>
        </w:tc>
        <w:tc>
          <w:tcPr>
            <w:tcW w:type="dxa" w:w="2016"/>
          </w:tcPr>
          <w:p>
            <w:pPr>
              <w:pStyle w:val="Compact"/>
              <w:keepNext/>
              <w:spacing w:after="0" w:line="264" w:lineRule="auto"/>
              <w:jc w:val="left"/>
            </w:pPr>
            <w:r>
              <w:rPr>
                <w:rFonts w:ascii="Calibri" w:hAnsi="Calibri"/>
                <w:sz w:val="20"/>
              </w:rPr>
              <w:t xml:space="preserve">Audio</w:t>
            </w:r>
          </w:p>
        </w:tc>
        <w:tc>
          <w:tcPr>
            <w:tcW w:type="dxa" w:w="3125"/>
          </w:tcPr>
          <w:p>
            <w:pPr>
              <w:pStyle w:val="Compact"/>
              <w:keepNext/>
              <w:spacing w:after="0" w:line="264" w:lineRule="auto"/>
              <w:jc w:val="left"/>
            </w:pPr>
            <w:r>
              <w:rPr>
                <w:rFonts w:ascii="Calibri" w:hAnsi="Calibri"/>
                <w:sz w:val="20"/>
              </w:rPr>
              <w:t xml:space="preserve">Summary verdict</w:t>
            </w:r>
          </w:p>
        </w:tc>
      </w:tr>
      <w:tr>
        <w:trPr>
          <w:cantSplit/>
        </w:trPr>
        <w:tc>
          <w:tcPr>
            <w:tcW w:type="dxa" w:w="2304"/>
            <w:shd w:val="clear" w:color="auto" w:fill="EEF2FF"/>
          </w:tcPr>
          <w:p>
            <w:pPr>
              <w:pStyle w:val="Compact"/>
              <w:keepNext/>
              <w:spacing w:after="0" w:line="264" w:lineRule="auto"/>
              <w:jc w:val="left"/>
            </w:pPr>
            <w:r>
              <w:rPr>
                <w:rFonts w:ascii="Calibri" w:hAnsi="Calibri"/>
                <w:b/>
                <w:sz w:val="20"/>
              </w:rPr>
              <w:t xml:space="preserve">Parshva Bora</w:t>
            </w:r>
          </w:p>
        </w:tc>
        <w:tc>
          <w:tcPr>
            <w:tcW w:type="dxa" w:w="2016"/>
            <w:shd w:val="clear" w:color="auto" w:fill="EEF2FF"/>
          </w:tcPr>
          <w:p>
            <w:pPr>
              <w:pStyle w:val="Compact"/>
              <w:keepNext/>
              <w:spacing w:after="0" w:line="264" w:lineRule="auto"/>
              <w:jc w:val="left"/>
            </w:pPr>
            <w:r>
              <w:rPr>
                <w:rFonts w:ascii="Calibri" w:hAnsi="Calibri"/>
                <w:sz w:val="20"/>
              </w:rPr>
              <w:t xml:space="preserve">Cybercrime portal</w:t>
            </w:r>
          </w:p>
        </w:tc>
        <w:tc>
          <w:tcPr>
            <w:tcW w:type="dxa" w:w="2016"/>
            <w:shd w:val="clear" w:color="auto" w:fill="EEF2FF"/>
          </w:tcPr>
          <w:p>
            <w:pPr>
              <w:pStyle w:val="Compact"/>
              <w:keepNext/>
              <w:spacing w:after="0" w:line="264" w:lineRule="auto"/>
              <w:jc w:val="left"/>
            </w:pPr>
            <w:r>
              <w:rPr>
                <w:rFonts w:ascii="Calibri" w:hAnsi="Calibri"/>
                <w:sz w:val="20"/>
              </w:rPr>
              <w:t xml:space="preserve">Written script</w:t>
            </w:r>
          </w:p>
        </w:tc>
        <w:tc>
          <w:tcPr>
            <w:tcW w:type="dxa" w:w="3125"/>
            <w:shd w:val="clear" w:color="auto" w:fill="EEF2FF"/>
          </w:tcPr>
          <w:p>
            <w:pPr>
              <w:pStyle w:val="Compact"/>
              <w:keepNext/>
              <w:spacing w:after="0" w:line="264" w:lineRule="auto"/>
              <w:jc w:val="left"/>
            </w:pPr>
            <w:r>
              <w:rPr>
                <w:rFonts w:ascii="Calibri" w:hAnsi="Calibri"/>
                <w:sz w:val="20"/>
              </w:rPr>
              <w:t xml:space="preserve">Task walkthrough (anonymous report), original vs redesign</w:t>
            </w:r>
          </w:p>
        </w:tc>
      </w:tr>
      <w:tr>
        <w:trPr>
          <w:cantSplit/>
        </w:trPr>
        <w:tc>
          <w:tcPr>
            <w:tcW w:type="dxa" w:w="2304"/>
          </w:tcPr>
          <w:p>
            <w:pPr>
              <w:pStyle w:val="Compact"/>
              <w:spacing w:after="0" w:line="264" w:lineRule="auto"/>
              <w:jc w:val="left"/>
            </w:pPr>
            <w:r>
              <w:rPr>
                <w:rFonts w:ascii="Calibri" w:hAnsi="Calibri"/>
                <w:b/>
                <w:sz w:val="20"/>
              </w:rPr>
              <w:t xml:space="preserve">Soham Pawar</w:t>
            </w:r>
          </w:p>
        </w:tc>
        <w:tc>
          <w:tcPr>
            <w:tcW w:type="dxa" w:w="2016"/>
          </w:tcPr>
          <w:p>
            <w:pPr>
              <w:pStyle w:val="Compact"/>
              <w:spacing w:after="0" w:line="264" w:lineRule="auto"/>
              <w:jc w:val="left"/>
            </w:pPr>
            <w:r>
              <w:rPr>
                <w:rFonts w:ascii="Calibri" w:hAnsi="Calibri"/>
                <w:sz w:val="20"/>
              </w:rPr>
              <w:t xml:space="preserve">Cybercrime portal</w:t>
            </w:r>
          </w:p>
        </w:tc>
        <w:tc>
          <w:tcPr>
            <w:tcW w:type="dxa" w:w="2016"/>
          </w:tcPr>
          <w:p>
            <w:pPr>
              <w:pStyle w:val="Compact"/>
              <w:spacing w:after="0" w:line="264" w:lineRule="auto"/>
              <w:jc w:val="left"/>
            </w:pPr>
            <w:r>
              <w:rPr>
                <w:rFonts w:ascii="Calibri" w:hAnsi="Calibri"/>
                <w:sz w:val="20"/>
              </w:rPr>
              <w:t xml:space="preserve">Audio, about 9 minutes</w:t>
            </w:r>
          </w:p>
        </w:tc>
        <w:tc>
          <w:tcPr>
            <w:tcW w:type="dxa" w:w="3125"/>
          </w:tcPr>
          <w:p>
            <w:pPr>
              <w:pStyle w:val="Compact"/>
              <w:spacing w:after="0" w:line="264" w:lineRule="auto"/>
              <w:jc w:val="left"/>
            </w:pPr>
            <w:r>
              <w:rPr>
                <w:rFonts w:ascii="Calibri" w:hAnsi="Calibri"/>
                <w:sz w:val="20"/>
              </w:rPr>
              <w:t xml:space="preserve">Task walkthrough (fake social media profile), original vs redesign</w:t>
            </w:r>
          </w:p>
        </w:tc>
      </w:tr>
    </w:tbl>
    <w:p>
      <w:pPr>
        <w:pStyle w:val="BodyText"/>
      </w:pPr>
      <w:r>
        <w:t xml:space="preserve">The audio recordings were transcribed automatically, so a few words are uncertain. Only points that were clearly stated are used below.</w:t>
      </w:r>
    </w:p>
    <w:bookmarkEnd w:id="22"/>
    <w:bookmarkStart w:id="23" w:name="findings-sentinel"/>
    <w:p>
      <w:pPr>
        <w:pStyle w:val="Heading2"/>
      </w:pPr>
      <w:r>
        <w:t xml:space="preserve">4. Findings: Sentinel</w:t>
      </w:r>
    </w:p>
    <w:p>
      <w:pPr>
        <w:pStyle w:val="FirstParagraph"/>
        <w:keepNext/>
      </w:pPr>
      <w:r>
        <w:t xml:space="preserve">Both Sentinel reviewers described the original Cloudflare Dashboard as confusing and the redesign as easier to understand. They raised the same seven points.</w:t>
      </w:r>
    </w:p>
    <w:tbl>
      <w:tblPr>
        <w:tblStyle w:val="Table"/>
        <w:tblW w:type="dxa" w:w="9460"/>
        <w:tblLook w:firstRow="1" w:lastRow="0" w:firstColumn="0" w:lastColumn="0" w:noHBand="0" w:noVBand="0" w:val="0020"/>
        <w:jc w:val="start"/>
        <w:tblBorders>
          <w:top w:val="single" w:sz="4" w:color="B8C0D4"/>
          <w:left w:val="single" w:sz="4" w:color="B8C0D4"/>
          <w:bottom w:val="single" w:sz="4" w:color="B8C0D4"/>
          <w:right w:val="single" w:sz="4" w:color="B8C0D4"/>
          <w:insideH w:val="single" w:sz="4" w:color="B8C0D4"/>
          <w:insideV w:val="single" w:sz="4" w:color="B8C0D4"/>
        </w:tblBorders>
        <w:tblLayout w:type="fixed"/>
        <w:tblCellMar>
          <w:top w:w="70" w:type="dxa"/>
          <w:left w:w="100" w:type="dxa"/>
          <w:bottom w:w="70" w:type="dxa"/>
          <w:right w:w="100" w:type="dxa"/>
        </w:tblCellMar>
        <w:tblLayout w:type="fixed"/>
      </w:tblPr>
      <w:tblGrid>
        <w:gridCol w:w="1728"/>
        <w:gridCol w:w="4608"/>
        <w:gridCol w:w="3124"/>
      </w:tblGrid>
      <w:tr>
        <w:trPr>
          <w:tblHeader w:val="true"/>
          <w:cantSplit/>
          <w:tblHeader/>
        </w:trPr>
        <w:tc>
          <w:tcPr>
            <w:tcW w:type="dxa" w:w="1728"/>
            <w:shd w:val="clear" w:color="auto" w:fill="1F3A8A"/>
          </w:tcPr>
          <w:p>
            <w:pPr>
              <w:pStyle w:val="Compact"/>
              <w:keepNext/>
              <w:spacing w:after="0" w:line="264" w:lineRule="auto"/>
              <w:jc w:val="left"/>
            </w:pPr>
            <w:r>
              <w:rPr>
                <w:rFonts w:ascii="Calibri" w:hAnsi="Calibri"/>
                <w:b/>
                <w:color w:val="FFFFFF"/>
                <w:sz w:val="20"/>
              </w:rPr>
              <w:t xml:space="preserve">Theme</w:t>
            </w:r>
          </w:p>
        </w:tc>
        <w:tc>
          <w:tcPr>
            <w:tcW w:type="dxa" w:w="4608"/>
            <w:shd w:val="clear" w:color="auto" w:fill="1F3A8A"/>
          </w:tcPr>
          <w:p>
            <w:pPr>
              <w:pStyle w:val="Compact"/>
              <w:keepNext/>
              <w:spacing w:after="0" w:line="264" w:lineRule="auto"/>
              <w:jc w:val="left"/>
            </w:pPr>
            <w:r>
              <w:rPr>
                <w:rFonts w:ascii="Calibri" w:hAnsi="Calibri"/>
                <w:b/>
                <w:color w:val="FFFFFF"/>
                <w:sz w:val="20"/>
              </w:rPr>
              <w:t xml:space="preserve">What reviewers said</w:t>
            </w:r>
          </w:p>
        </w:tc>
        <w:tc>
          <w:tcPr>
            <w:tcW w:type="dxa" w:w="3125"/>
            <w:shd w:val="clear" w:color="auto" w:fill="1F3A8A"/>
          </w:tcPr>
          <w:p>
            <w:pPr>
              <w:pStyle w:val="Compact"/>
              <w:keepNext/>
              <w:spacing w:after="0" w:line="264" w:lineRule="auto"/>
              <w:jc w:val="left"/>
            </w:pPr>
            <w:r>
              <w:rPr>
                <w:rFonts w:ascii="Calibri" w:hAnsi="Calibri"/>
                <w:b/>
                <w:color w:val="FFFFFF"/>
                <w:sz w:val="20"/>
              </w:rPr>
              <w:t xml:space="preserve">Design change behind it</w:t>
            </w:r>
          </w:p>
        </w:tc>
      </w:tr>
      <w:tr>
        <w:trPr>
          <w:cantSplit/>
        </w:trPr>
        <w:tc>
          <w:tcPr>
            <w:tcW w:type="dxa" w:w="1728"/>
          </w:tcPr>
          <w:p>
            <w:pPr>
              <w:pStyle w:val="Compact"/>
              <w:keepNext/>
              <w:spacing w:after="0" w:line="264" w:lineRule="auto"/>
              <w:jc w:val="left"/>
            </w:pPr>
            <w:r>
              <w:rPr>
                <w:rFonts w:ascii="Calibri" w:hAnsi="Calibri"/>
                <w:b/>
                <w:sz w:val="20"/>
              </w:rPr>
              <w:t xml:space="preserve">Plain language</w:t>
            </w:r>
          </w:p>
        </w:tc>
        <w:tc>
          <w:tcPr>
            <w:tcW w:type="dxa" w:w="4608"/>
          </w:tcPr>
          <w:p>
            <w:pPr>
              <w:pStyle w:val="Compact"/>
              <w:keepNext/>
              <w:spacing w:after="0" w:line="264" w:lineRule="auto"/>
              <w:jc w:val="left"/>
            </w:pPr>
            <w:r>
              <w:rPr>
                <w:rFonts w:ascii="Calibri" w:hAnsi="Calibri"/>
                <w:sz w:val="20"/>
              </w:rPr>
              <w:t xml:space="preserve">Terms like zones, proxy and TTL were confusing in Cloudflare; the prototype’s simpler wording and information icons explained each option</w:t>
            </w:r>
          </w:p>
        </w:tc>
        <w:tc>
          <w:tcPr>
            <w:tcW w:type="dxa" w:w="3125"/>
          </w:tcPr>
          <w:p>
            <w:pPr>
              <w:pStyle w:val="Compact"/>
              <w:keepNext/>
              <w:spacing w:after="0" w:line="264" w:lineRule="auto"/>
              <w:jc w:val="left"/>
            </w:pPr>
            <w:r>
              <w:rPr>
                <w:rFonts w:ascii="Calibri" w:hAnsi="Calibri"/>
                <w:sz w:val="20"/>
              </w:rPr>
              <w:t xml:space="preserve">Plain-language mode,</w:t>
            </w:r>
            <w:r>
              <w:rPr>
                <w:rFonts w:ascii="Calibri" w:hAnsi="Calibri"/>
                <w:sz w:val="20"/>
              </w:rPr>
              <w:t xml:space="preserve"> </w:t>
            </w:r>
            <w:r>
              <w:rPr>
                <w:rFonts w:ascii="Calibri" w:hAnsi="Calibri"/>
                <w:sz w:val="20"/>
              </w:rPr>
              <w:t xml:space="preserve">“</w:t>
            </w:r>
            <w:r>
              <w:rPr>
                <w:rFonts w:ascii="Calibri" w:hAnsi="Calibri"/>
                <w:sz w:val="20"/>
              </w:rPr>
              <w:t xml:space="preserve">i</w:t>
            </w:r>
            <w:r>
              <w:rPr>
                <w:rFonts w:ascii="Calibri" w:hAnsi="Calibri"/>
                <w:sz w:val="20"/>
              </w:rPr>
              <w:t xml:space="preserve">”</w:t>
            </w:r>
            <w:r>
              <w:rPr>
                <w:rFonts w:ascii="Calibri" w:hAnsi="Calibri"/>
                <w:sz w:val="20"/>
              </w:rPr>
              <w:t xml:space="preserve"> </w:t>
            </w:r>
            <w:r>
              <w:rPr>
                <w:rFonts w:ascii="Calibri" w:hAnsi="Calibri"/>
                <w:sz w:val="20"/>
              </w:rPr>
              <w:t xml:space="preserve">tooltips, rewritten alerts</w:t>
            </w:r>
          </w:p>
        </w:tc>
      </w:tr>
      <w:tr>
        <w:trPr>
          <w:cantSplit/>
        </w:trPr>
        <w:tc>
          <w:tcPr>
            <w:tcW w:type="dxa" w:w="1728"/>
            <w:shd w:val="clear" w:color="auto" w:fill="EEF2FF"/>
          </w:tcPr>
          <w:p>
            <w:pPr>
              <w:pStyle w:val="Compact"/>
              <w:keepNext/>
              <w:spacing w:after="0" w:line="264" w:lineRule="auto"/>
              <w:jc w:val="left"/>
            </w:pPr>
            <w:r>
              <w:rPr>
                <w:rFonts w:ascii="Calibri" w:hAnsi="Calibri"/>
                <w:b/>
                <w:sz w:val="20"/>
              </w:rPr>
              <w:t xml:space="preserve">Unified view</w:t>
            </w:r>
          </w:p>
        </w:tc>
        <w:tc>
          <w:tcPr>
            <w:tcW w:type="dxa" w:w="4608"/>
            <w:shd w:val="clear" w:color="auto" w:fill="EEF2FF"/>
          </w:tcPr>
          <w:p>
            <w:pPr>
              <w:pStyle w:val="Compact"/>
              <w:keepNext/>
              <w:spacing w:after="0" w:line="264" w:lineRule="auto"/>
              <w:jc w:val="left"/>
            </w:pPr>
            <w:r>
              <w:rPr>
                <w:rFonts w:ascii="Calibri" w:hAnsi="Calibri"/>
                <w:sz w:val="20"/>
              </w:rPr>
              <w:t xml:space="preserve">In Cloudflare they had to switch pages to see traffic and firewall logs; the prototype shows both side by side</w:t>
            </w:r>
          </w:p>
        </w:tc>
        <w:tc>
          <w:tcPr>
            <w:tcW w:type="dxa" w:w="3125"/>
            <w:shd w:val="clear" w:color="auto" w:fill="EEF2FF"/>
          </w:tcPr>
          <w:p>
            <w:pPr>
              <w:pStyle w:val="Compact"/>
              <w:keepNext/>
              <w:spacing w:after="0" w:line="264" w:lineRule="auto"/>
              <w:jc w:val="left"/>
            </w:pPr>
            <w:r>
              <w:rPr>
                <w:rFonts w:ascii="Calibri" w:hAnsi="Calibri"/>
                <w:sz w:val="20"/>
              </w:rPr>
              <w:t xml:space="preserve">Combined live security overview</w:t>
            </w:r>
          </w:p>
        </w:tc>
      </w:tr>
      <w:tr>
        <w:trPr>
          <w:cantSplit/>
        </w:trPr>
        <w:tc>
          <w:tcPr>
            <w:tcW w:type="dxa" w:w="1728"/>
          </w:tcPr>
          <w:p>
            <w:pPr>
              <w:pStyle w:val="Compact"/>
              <w:keepNext/>
              <w:spacing w:after="0" w:line="264" w:lineRule="auto"/>
              <w:jc w:val="left"/>
            </w:pPr>
            <w:r>
              <w:rPr>
                <w:rFonts w:ascii="Calibri" w:hAnsi="Calibri"/>
                <w:b/>
                <w:sz w:val="20"/>
              </w:rPr>
              <w:t xml:space="preserve">Faster rules</w:t>
            </w:r>
          </w:p>
        </w:tc>
        <w:tc>
          <w:tcPr>
            <w:tcW w:type="dxa" w:w="4608"/>
          </w:tcPr>
          <w:p>
            <w:pPr>
              <w:pStyle w:val="Compact"/>
              <w:keepNext/>
              <w:spacing w:after="0" w:line="264" w:lineRule="auto"/>
              <w:jc w:val="left"/>
            </w:pPr>
            <w:r>
              <w:rPr>
                <w:rFonts w:ascii="Calibri" w:hAnsi="Calibri"/>
                <w:sz w:val="20"/>
              </w:rPr>
              <w:t xml:space="preserve">Templates, an</w:t>
            </w:r>
            <w:r>
              <w:rPr>
                <w:rFonts w:ascii="Calibri" w:hAnsi="Calibri"/>
                <w:sz w:val="20"/>
              </w:rPr>
              <w:t xml:space="preserve"> </w:t>
            </w:r>
            <w:r>
              <w:rPr>
                <w:rFonts w:ascii="Calibri" w:hAnsi="Calibri"/>
                <w:sz w:val="20"/>
              </w:rPr>
              <w:t xml:space="preserve">“</w:t>
            </w:r>
            <w:r>
              <w:rPr>
                <w:rFonts w:ascii="Calibri" w:hAnsi="Calibri"/>
                <w:sz w:val="20"/>
              </w:rPr>
              <w:t xml:space="preserve">if this then that</w:t>
            </w:r>
            <w:r>
              <w:rPr>
                <w:rFonts w:ascii="Calibri" w:hAnsi="Calibri"/>
                <w:sz w:val="20"/>
              </w:rPr>
              <w:t xml:space="preserve">”</w:t>
            </w:r>
            <w:r>
              <w:rPr>
                <w:rFonts w:ascii="Calibri" w:hAnsi="Calibri"/>
                <w:sz w:val="20"/>
              </w:rPr>
              <w:t xml:space="preserve"> </w:t>
            </w:r>
            <w:r>
              <w:rPr>
                <w:rFonts w:ascii="Calibri" w:hAnsi="Calibri"/>
                <w:sz w:val="20"/>
              </w:rPr>
              <w:t xml:space="preserve">format and a duplicate option made rule creation quicker; rules sit on one page</w:t>
            </w:r>
          </w:p>
        </w:tc>
        <w:tc>
          <w:tcPr>
            <w:tcW w:type="dxa" w:w="3125"/>
          </w:tcPr>
          <w:p>
            <w:pPr>
              <w:pStyle w:val="Compact"/>
              <w:keepNext/>
              <w:spacing w:after="0" w:line="264" w:lineRule="auto"/>
              <w:jc w:val="left"/>
            </w:pPr>
            <w:r>
              <w:rPr>
                <w:rFonts w:ascii="Calibri" w:hAnsi="Calibri"/>
                <w:sz w:val="20"/>
              </w:rPr>
              <w:t xml:space="preserve">Rules screen with templates and Duplicate</w:t>
            </w:r>
          </w:p>
        </w:tc>
      </w:tr>
      <w:tr>
        <w:trPr>
          <w:cantSplit/>
        </w:trPr>
        <w:tc>
          <w:tcPr>
            <w:tcW w:type="dxa" w:w="1728"/>
            <w:shd w:val="clear" w:color="auto" w:fill="EEF2FF"/>
          </w:tcPr>
          <w:p>
            <w:pPr>
              <w:pStyle w:val="Compact"/>
              <w:keepNext/>
              <w:spacing w:after="0" w:line="264" w:lineRule="auto"/>
              <w:jc w:val="left"/>
            </w:pPr>
            <w:r>
              <w:rPr>
                <w:rFonts w:ascii="Calibri" w:hAnsi="Calibri"/>
                <w:b/>
                <w:sz w:val="20"/>
              </w:rPr>
              <w:t xml:space="preserve">Safety</w:t>
            </w:r>
          </w:p>
        </w:tc>
        <w:tc>
          <w:tcPr>
            <w:tcW w:type="dxa" w:w="4608"/>
            <w:shd w:val="clear" w:color="auto" w:fill="EEF2FF"/>
          </w:tcPr>
          <w:p>
            <w:pPr>
              <w:pStyle w:val="Compact"/>
              <w:keepNext/>
              <w:spacing w:after="0" w:line="264" w:lineRule="auto"/>
              <w:jc w:val="left"/>
            </w:pPr>
            <w:r>
              <w:rPr>
                <w:rFonts w:ascii="Calibri" w:hAnsi="Calibri"/>
                <w:sz w:val="20"/>
              </w:rPr>
              <w:t xml:space="preserve">Warnings before changing nameservers, including the missing email record, helped avoid a serious mistake</w:t>
            </w:r>
          </w:p>
        </w:tc>
        <w:tc>
          <w:tcPr>
            <w:tcW w:type="dxa" w:w="3125"/>
            <w:shd w:val="clear" w:color="auto" w:fill="EEF2FF"/>
          </w:tcPr>
          <w:p>
            <w:pPr>
              <w:pStyle w:val="Compact"/>
              <w:keepNext/>
              <w:spacing w:after="0" w:line="264" w:lineRule="auto"/>
              <w:jc w:val="left"/>
            </w:pPr>
            <w:r>
              <w:rPr>
                <w:rFonts w:ascii="Calibri" w:hAnsi="Calibri"/>
                <w:sz w:val="20"/>
              </w:rPr>
              <w:t xml:space="preserve">DNS safety check with a locked button</w:t>
            </w:r>
          </w:p>
        </w:tc>
      </w:tr>
      <w:tr>
        <w:trPr>
          <w:cantSplit/>
        </w:trPr>
        <w:tc>
          <w:tcPr>
            <w:tcW w:type="dxa" w:w="1728"/>
          </w:tcPr>
          <w:p>
            <w:pPr>
              <w:pStyle w:val="Compact"/>
              <w:keepNext/>
              <w:spacing w:after="0" w:line="264" w:lineRule="auto"/>
              <w:jc w:val="left"/>
            </w:pPr>
            <w:r>
              <w:rPr>
                <w:rFonts w:ascii="Calibri" w:hAnsi="Calibri"/>
                <w:b/>
                <w:sz w:val="20"/>
              </w:rPr>
              <w:t xml:space="preserve">Recovery</w:t>
            </w:r>
          </w:p>
        </w:tc>
        <w:tc>
          <w:tcPr>
            <w:tcW w:type="dxa" w:w="4608"/>
          </w:tcPr>
          <w:p>
            <w:pPr>
              <w:pStyle w:val="Compact"/>
              <w:keepNext/>
              <w:spacing w:after="0" w:line="264" w:lineRule="auto"/>
              <w:jc w:val="left"/>
            </w:pPr>
            <w:r>
              <w:rPr>
                <w:rFonts w:ascii="Calibri" w:hAnsi="Calibri"/>
                <w:sz w:val="20"/>
              </w:rPr>
              <w:t xml:space="preserve">The undo option let them reverse an action</w:t>
            </w:r>
          </w:p>
        </w:tc>
        <w:tc>
          <w:tcPr>
            <w:tcW w:type="dxa" w:w="3125"/>
          </w:tcPr>
          <w:p>
            <w:pPr>
              <w:pStyle w:val="Compact"/>
              <w:keepNext/>
              <w:spacing w:after="0" w:line="264" w:lineRule="auto"/>
              <w:jc w:val="left"/>
            </w:pPr>
            <w:r>
              <w:rPr>
                <w:rFonts w:ascii="Calibri" w:hAnsi="Calibri"/>
                <w:sz w:val="20"/>
              </w:rPr>
              <w:t xml:space="preserve">Undo on every action</w:t>
            </w:r>
          </w:p>
        </w:tc>
      </w:tr>
      <w:tr>
        <w:trPr>
          <w:cantSplit/>
        </w:trPr>
        <w:tc>
          <w:tcPr>
            <w:tcW w:type="dxa" w:w="1728"/>
            <w:shd w:val="clear" w:color="auto" w:fill="EEF2FF"/>
          </w:tcPr>
          <w:p>
            <w:pPr>
              <w:pStyle w:val="Compact"/>
              <w:keepNext/>
              <w:spacing w:after="0" w:line="264" w:lineRule="auto"/>
              <w:jc w:val="left"/>
            </w:pPr>
            <w:r>
              <w:rPr>
                <w:rFonts w:ascii="Calibri" w:hAnsi="Calibri"/>
                <w:b/>
                <w:sz w:val="20"/>
              </w:rPr>
              <w:t xml:space="preserve">Organisation</w:t>
            </w:r>
          </w:p>
        </w:tc>
        <w:tc>
          <w:tcPr>
            <w:tcW w:type="dxa" w:w="4608"/>
            <w:shd w:val="clear" w:color="auto" w:fill="EEF2FF"/>
          </w:tcPr>
          <w:p>
            <w:pPr>
              <w:pStyle w:val="Compact"/>
              <w:keepNext/>
              <w:spacing w:after="0" w:line="264" w:lineRule="auto"/>
              <w:jc w:val="left"/>
            </w:pPr>
            <w:r>
              <w:rPr>
                <w:rFonts w:ascii="Calibri" w:hAnsi="Calibri"/>
                <w:sz w:val="20"/>
              </w:rPr>
              <w:t xml:space="preserve">Settings grouped as recommended, advanced and danger zone showed what needs attention</w:t>
            </w:r>
          </w:p>
        </w:tc>
        <w:tc>
          <w:tcPr>
            <w:tcW w:type="dxa" w:w="3125"/>
            <w:shd w:val="clear" w:color="auto" w:fill="EEF2FF"/>
          </w:tcPr>
          <w:p>
            <w:pPr>
              <w:pStyle w:val="Compact"/>
              <w:keepNext/>
              <w:spacing w:after="0" w:line="264" w:lineRule="auto"/>
              <w:jc w:val="left"/>
            </w:pPr>
            <w:r>
              <w:rPr>
                <w:rFonts w:ascii="Calibri" w:hAnsi="Calibri"/>
                <w:sz w:val="20"/>
              </w:rPr>
              <w:t xml:space="preserve">Risk-grouped SSL/TLS settings</w:t>
            </w:r>
          </w:p>
        </w:tc>
      </w:tr>
      <w:tr>
        <w:trPr>
          <w:cantSplit/>
        </w:trPr>
        <w:tc>
          <w:tcPr>
            <w:tcW w:type="dxa" w:w="1728"/>
          </w:tcPr>
          <w:p>
            <w:pPr>
              <w:pStyle w:val="Compact"/>
              <w:spacing w:after="0" w:line="264" w:lineRule="auto"/>
              <w:jc w:val="left"/>
            </w:pPr>
            <w:r>
              <w:rPr>
                <w:rFonts w:ascii="Calibri" w:hAnsi="Calibri"/>
                <w:b/>
                <w:sz w:val="20"/>
              </w:rPr>
              <w:t xml:space="preserve">Accessibility</w:t>
            </w:r>
          </w:p>
        </w:tc>
        <w:tc>
          <w:tcPr>
            <w:tcW w:type="dxa" w:w="4608"/>
          </w:tcPr>
          <w:p>
            <w:pPr>
              <w:pStyle w:val="Compact"/>
              <w:spacing w:after="0" w:line="264" w:lineRule="auto"/>
              <w:jc w:val="left"/>
            </w:pPr>
            <w:r>
              <w:rPr>
                <w:rFonts w:ascii="Calibri" w:hAnsi="Calibri"/>
                <w:sz w:val="20"/>
              </w:rPr>
              <w:t xml:space="preserve">Larger text, clear status indicators, high contrast, colour-blind-safe icons and text, screen-reader support</w:t>
            </w:r>
          </w:p>
        </w:tc>
        <w:tc>
          <w:tcPr>
            <w:tcW w:type="dxa" w:w="3125"/>
          </w:tcPr>
          <w:p>
            <w:pPr>
              <w:pStyle w:val="Compact"/>
              <w:spacing w:after="0" w:line="264" w:lineRule="auto"/>
              <w:jc w:val="left"/>
            </w:pPr>
            <w:r>
              <w:rPr>
                <w:rFonts w:ascii="Calibri" w:hAnsi="Calibri"/>
                <w:sz w:val="20"/>
              </w:rPr>
              <w:t xml:space="preserve">Accessible prototype with icon + text + border status</w:t>
            </w:r>
          </w:p>
        </w:tc>
      </w:tr>
    </w:tbl>
    <w:p>
      <w:pPr>
        <w:pStyle w:val="BodyText"/>
      </w:pPr>
      <w:r>
        <w:t xml:space="preserve">One reviewer described the redesign as more beginner-friendly, organised and reassuring. His main suggestion was to keep the interface simple while adding further explanations for advanced settings, so that both beginners and experienced users benefit.</w:t>
      </w:r>
    </w:p>
    <w:bookmarkEnd w:id="23"/>
    <w:bookmarkStart w:id="24" w:name="findings-cybercrime-reporting-portal"/>
    <w:p>
      <w:pPr>
        <w:pStyle w:val="Heading2"/>
      </w:pPr>
      <w:r>
        <w:t xml:space="preserve">5. Findings: Cybercrime Reporting Portal</w:t>
      </w:r>
    </w:p>
    <w:p>
      <w:pPr>
        <w:pStyle w:val="FirstParagraph"/>
      </w:pPr>
      <w:r>
        <w:t xml:space="preserve">Three reviewers used the same method: do a realistic task on the original site, then repeat it on the redesign.</w:t>
      </w:r>
    </w:p>
    <w:p>
      <w:pPr>
        <w:pStyle w:val="BodyText"/>
      </w:pPr>
      <w:r>
        <w:rPr>
          <w:bCs/>
          <w:b/>
        </w:rPr>
        <w:t xml:space="preserve">Problems found in the original website</w:t>
      </w:r>
    </w:p>
    <w:p>
      <w:pPr>
        <w:numPr>
          <w:ilvl w:val="0"/>
          <w:numId w:val="1001"/>
        </w:numPr>
        <w:pStyle w:val="Compact"/>
      </w:pPr>
      <w:r>
        <w:t xml:space="preserve">The homepage is cluttered, so users did not know where to begin.</w:t>
      </w:r>
    </w:p>
    <w:p>
      <w:pPr>
        <w:numPr>
          <w:ilvl w:val="0"/>
          <w:numId w:val="1001"/>
        </w:numPr>
        <w:pStyle w:val="Compact"/>
      </w:pPr>
      <w:r>
        <w:t xml:space="preserve">The anonymous reporting option is hard to find and the instructions are overwhelming; people still wonder if their identity is protected.</w:t>
      </w:r>
    </w:p>
    <w:p>
      <w:pPr>
        <w:numPr>
          <w:ilvl w:val="0"/>
          <w:numId w:val="1001"/>
        </w:numPr>
        <w:pStyle w:val="Compact"/>
      </w:pPr>
      <w:r>
        <w:t xml:space="preserve">A wall of legal text led one reviewer to tick the consent box without reading it.</w:t>
      </w:r>
    </w:p>
    <w:p>
      <w:pPr>
        <w:numPr>
          <w:ilvl w:val="0"/>
          <w:numId w:val="1001"/>
        </w:numPr>
        <w:pStyle w:val="Compact"/>
      </w:pPr>
      <w:r>
        <w:t xml:space="preserve">Categories and sub-categories use unfamiliar terms, so users guessed which one applied.</w:t>
      </w:r>
    </w:p>
    <w:p>
      <w:pPr>
        <w:numPr>
          <w:ilvl w:val="0"/>
          <w:numId w:val="1001"/>
        </w:numPr>
        <w:pStyle w:val="Compact"/>
      </w:pPr>
      <w:r>
        <w:t xml:space="preserve">The suspect section had no way to say</w:t>
      </w:r>
      <w:r>
        <w:t xml:space="preserve"> </w:t>
      </w:r>
      <w:r>
        <w:t xml:space="preserve">“</w:t>
      </w:r>
      <w:r>
        <w:t xml:space="preserve">unknown</w:t>
      </w:r>
      <w:r>
        <w:t xml:space="preserve">”</w:t>
      </w:r>
      <w:r>
        <w:t xml:space="preserve">.</w:t>
      </w:r>
    </w:p>
    <w:p>
      <w:pPr>
        <w:numPr>
          <w:ilvl w:val="0"/>
          <w:numId w:val="1001"/>
        </w:numPr>
        <w:pStyle w:val="Compact"/>
      </w:pPr>
      <w:r>
        <w:t xml:space="preserve">Allowed file types were not shown on the upload page.</w:t>
      </w:r>
    </w:p>
    <w:p>
      <w:pPr>
        <w:numPr>
          <w:ilvl w:val="0"/>
          <w:numId w:val="1001"/>
        </w:numPr>
        <w:pStyle w:val="Compact"/>
      </w:pPr>
      <w:r>
        <w:t xml:space="preserve">There was no message that progress was being saved, and no sense of how many sections remained.</w:t>
      </w:r>
    </w:p>
    <w:p>
      <w:pPr>
        <w:numPr>
          <w:ilvl w:val="0"/>
          <w:numId w:val="1001"/>
        </w:numPr>
        <w:pStyle w:val="Compact"/>
      </w:pPr>
      <w:r>
        <w:t xml:space="preserve">Some text was too small to read comfortably.</w:t>
      </w:r>
    </w:p>
    <w:p>
      <w:pPr>
        <w:pStyle w:val="FirstParagraph"/>
      </w:pPr>
      <w:r>
        <w:rPr>
          <w:bCs/>
          <w:b/>
        </w:rPr>
        <w:t xml:space="preserve">Improvements praised in the redesign</w:t>
      </w:r>
    </w:p>
    <w:p>
      <w:pPr>
        <w:numPr>
          <w:ilvl w:val="0"/>
          <w:numId w:val="1002"/>
        </w:numPr>
        <w:pStyle w:val="Compact"/>
      </w:pPr>
      <w:r>
        <w:t xml:space="preserve">A cleaner homepage with the helpline and the anonymous option clearly visible.</w:t>
      </w:r>
    </w:p>
    <w:p>
      <w:pPr>
        <w:numPr>
          <w:ilvl w:val="0"/>
          <w:numId w:val="1002"/>
        </w:numPr>
        <w:pStyle w:val="Compact"/>
      </w:pPr>
      <w:r>
        <w:t xml:space="preserve">Short instructions, and a terms summary with the full text available on request.</w:t>
      </w:r>
    </w:p>
    <w:p>
      <w:pPr>
        <w:numPr>
          <w:ilvl w:val="0"/>
          <w:numId w:val="1002"/>
        </w:numPr>
        <w:pStyle w:val="Compact"/>
      </w:pPr>
      <w:r>
        <w:t xml:space="preserve">A step indicator, and the form split into four parts.</w:t>
      </w:r>
    </w:p>
    <w:p>
      <w:pPr>
        <w:numPr>
          <w:ilvl w:val="0"/>
          <w:numId w:val="1002"/>
        </w:numPr>
        <w:pStyle w:val="Compact"/>
      </w:pPr>
      <w:r>
        <w:t xml:space="preserve">Searchable categories with plain examples; typing</w:t>
      </w:r>
      <w:r>
        <w:t xml:space="preserve"> </w:t>
      </w:r>
      <w:r>
        <w:t xml:space="preserve">“</w:t>
      </w:r>
      <w:r>
        <w:t xml:space="preserve">fake profile</w:t>
      </w:r>
      <w:r>
        <w:t xml:space="preserve">”</w:t>
      </w:r>
      <w:r>
        <w:t xml:space="preserve"> </w:t>
      </w:r>
      <w:r>
        <w:t xml:space="preserve">suggested the right official category.</w:t>
      </w:r>
    </w:p>
    <w:p>
      <w:pPr>
        <w:numPr>
          <w:ilvl w:val="0"/>
          <w:numId w:val="1002"/>
        </w:numPr>
        <w:pStyle w:val="Compact"/>
      </w:pPr>
      <w:r>
        <w:t xml:space="preserve">Options to enter a profile link or choose</w:t>
      </w:r>
      <w:r>
        <w:t xml:space="preserve"> </w:t>
      </w:r>
      <w:r>
        <w:t xml:space="preserve">“</w:t>
      </w:r>
      <w:r>
        <w:t xml:space="preserve">I don’t know</w:t>
      </w:r>
      <w:r>
        <w:t xml:space="preserve">”</w:t>
      </w:r>
      <w:r>
        <w:t xml:space="preserve">.</w:t>
      </w:r>
    </w:p>
    <w:p>
      <w:pPr>
        <w:numPr>
          <w:ilvl w:val="0"/>
          <w:numId w:val="1002"/>
        </w:numPr>
        <w:pStyle w:val="Compact"/>
      </w:pPr>
      <w:r>
        <w:t xml:space="preserve">Automatic draft saving, a Save &amp; Exit option, and a simpler header.</w:t>
      </w:r>
    </w:p>
    <w:p>
      <w:pPr>
        <w:numPr>
          <w:ilvl w:val="0"/>
          <w:numId w:val="1002"/>
        </w:numPr>
        <w:pStyle w:val="Compact"/>
      </w:pPr>
      <w:r>
        <w:t xml:space="preserve">Accepted file types shown, with a clear confirmation after upload.</w:t>
      </w:r>
    </w:p>
    <w:p>
      <w:pPr>
        <w:numPr>
          <w:ilvl w:val="0"/>
          <w:numId w:val="1002"/>
        </w:numPr>
        <w:pStyle w:val="Compact"/>
      </w:pPr>
      <w:r>
        <w:t xml:space="preserve">A review page where any section can be edited, and a reminder to call the helpline when a financial loss is entered.</w:t>
      </w:r>
    </w:p>
    <w:p>
      <w:pPr>
        <w:pStyle w:val="FirstParagraph"/>
      </w:pPr>
      <w:r>
        <w:t xml:space="preserve">The reviewers’ overall verdicts were strong:</w:t>
      </w:r>
      <w:r>
        <w:t xml:space="preserve"> </w:t>
      </w:r>
      <w:r>
        <w:t xml:space="preserve">“</w:t>
      </w:r>
      <w:r>
        <w:t xml:space="preserve">clear, calm and quick</w:t>
      </w:r>
      <w:r>
        <w:t xml:space="preserve">”</w:t>
      </w:r>
      <w:r>
        <w:t xml:space="preserve">, and one said they would choose the redesign for a friend. One reviewer noted that choosing a category still took a little time, which suggests the examples could be shown earlier.</w:t>
      </w:r>
    </w:p>
    <w:bookmarkEnd w:id="24"/>
    <w:bookmarkStart w:id="25" w:name="what-the-two-projects-show-together"/>
    <w:p>
      <w:pPr>
        <w:pStyle w:val="Heading2"/>
      </w:pPr>
      <w:r>
        <w:t xml:space="preserve">6. What the two projects show together</w:t>
      </w:r>
    </w:p>
    <w:p>
      <w:pPr>
        <w:pStyle w:val="FirstParagraph"/>
      </w:pPr>
      <w:r>
        <w:t xml:space="preserve">The originals were very different products, but reviewers hit the same four problems in both:</w:t>
      </w:r>
    </w:p>
    <w:p>
      <w:pPr>
        <w:numPr>
          <w:ilvl w:val="0"/>
          <w:numId w:val="1003"/>
        </w:numPr>
        <w:pStyle w:val="Compact"/>
      </w:pPr>
      <w:r>
        <w:rPr>
          <w:bCs/>
          <w:b/>
        </w:rPr>
        <w:t xml:space="preserve">Hard-to-understand language</w:t>
      </w:r>
      <w:r>
        <w:t xml:space="preserve"> </w:t>
      </w:r>
      <w:r>
        <w:t xml:space="preserve">(cloud jargon, legal and crime terms).</w:t>
      </w:r>
    </w:p>
    <w:p>
      <w:pPr>
        <w:numPr>
          <w:ilvl w:val="0"/>
          <w:numId w:val="1003"/>
        </w:numPr>
        <w:pStyle w:val="Compact"/>
      </w:pPr>
      <w:r>
        <w:rPr>
          <w:bCs/>
          <w:b/>
        </w:rPr>
        <w:t xml:space="preserve">Hidden or buried important options</w:t>
      </w:r>
      <w:r>
        <w:t xml:space="preserve"> </w:t>
      </w:r>
      <w:r>
        <w:t xml:space="preserve">(rules menus, the anonymous option).</w:t>
      </w:r>
    </w:p>
    <w:p>
      <w:pPr>
        <w:numPr>
          <w:ilvl w:val="0"/>
          <w:numId w:val="1003"/>
        </w:numPr>
        <w:pStyle w:val="Compact"/>
      </w:pPr>
      <w:r>
        <w:rPr>
          <w:bCs/>
          <w:b/>
        </w:rPr>
        <w:t xml:space="preserve">Little feedback or protection</w:t>
      </w:r>
      <w:r>
        <w:t xml:space="preserve"> </w:t>
      </w:r>
      <w:r>
        <w:t xml:space="preserve">(no saving message, no warning before risky changes).</w:t>
      </w:r>
    </w:p>
    <w:p>
      <w:pPr>
        <w:numPr>
          <w:ilvl w:val="0"/>
          <w:numId w:val="1003"/>
        </w:numPr>
        <w:pStyle w:val="Compact"/>
      </w:pPr>
      <w:r>
        <w:rPr>
          <w:bCs/>
          <w:b/>
        </w:rPr>
        <w:t xml:space="preserve">Too much information at once</w:t>
      </w:r>
      <w:r>
        <w:t xml:space="preserve"> </w:t>
      </w:r>
      <w:r>
        <w:t xml:space="preserve">(dense settings, crowded homepage).</w:t>
      </w:r>
    </w:p>
    <w:p>
      <w:pPr>
        <w:pStyle w:val="FirstParagraph"/>
        <w:keepNext/>
        <w:pageBreakBefore/>
        <w:spacing w:after="120"/>
      </w:pPr>
      <w:r/>
      <w:r>
        <w:rPr>
          <w:b/>
          <w:color w:val="1F3A8A"/>
          <w:sz w:val="24"/>
        </w:rPr>
        <w:t>Nielsen's heuristics applied in both projects</w:t>
      </w:r>
    </w:p>
    <w:tbl>
      <w:tblPr>
        <w:tblStyle w:val="Table"/>
        <w:tblW w:type="dxa" w:w="9460"/>
        <w:tblLook w:firstRow="1" w:lastRow="0" w:firstColumn="0" w:lastColumn="0" w:noHBand="0" w:noVBand="0" w:val="0020"/>
        <w:jc w:val="start"/>
        <w:tblBorders>
          <w:top w:val="single" w:sz="4" w:color="B8C0D4"/>
          <w:left w:val="single" w:sz="4" w:color="B8C0D4"/>
          <w:bottom w:val="single" w:sz="4" w:color="B8C0D4"/>
          <w:right w:val="single" w:sz="4" w:color="B8C0D4"/>
          <w:insideH w:val="single" w:sz="4" w:color="B8C0D4"/>
          <w:insideV w:val="single" w:sz="4" w:color="B8C0D4"/>
        </w:tblBorders>
        <w:tblLayout w:type="fixed"/>
        <w:tblCellMar>
          <w:top w:w="70" w:type="dxa"/>
          <w:left w:w="100" w:type="dxa"/>
          <w:bottom w:w="70" w:type="dxa"/>
          <w:right w:w="100" w:type="dxa"/>
        </w:tblCellMar>
        <w:tblLayout w:type="fixed"/>
      </w:tblPr>
      <w:tblGrid>
        <w:gridCol w:w="2736"/>
        <w:gridCol w:w="3311"/>
        <w:gridCol w:w="3412"/>
      </w:tblGrid>
      <w:tr>
        <w:trPr>
          <w:tblHeader w:val="true"/>
          <w:cantSplit/>
          <w:tblHeader/>
        </w:trPr>
        <w:tc>
          <w:tcPr>
            <w:tcW w:type="dxa" w:w="2736"/>
            <w:shd w:val="clear" w:color="auto" w:fill="1F3A8A"/>
          </w:tcPr>
          <w:p>
            <w:pPr>
              <w:pStyle w:val="Compact"/>
              <w:keepNext/>
              <w:spacing w:after="0" w:line="264" w:lineRule="auto"/>
              <w:jc w:val="left"/>
            </w:pPr>
            <w:r>
              <w:rPr>
                <w:rFonts w:ascii="Calibri" w:hAnsi="Calibri"/>
                <w:b/>
                <w:color w:val="FFFFFF"/>
                <w:sz w:val="20"/>
              </w:rPr>
              <w:t xml:space="preserve">Nielsen heuristic</w:t>
            </w:r>
          </w:p>
        </w:tc>
        <w:tc>
          <w:tcPr>
            <w:tcW w:type="dxa" w:w="3312"/>
            <w:shd w:val="clear" w:color="auto" w:fill="1F3A8A"/>
          </w:tcPr>
          <w:p>
            <w:pPr>
              <w:pStyle w:val="Compact"/>
              <w:keepNext/>
              <w:spacing w:after="0" w:line="264" w:lineRule="auto"/>
              <w:jc w:val="left"/>
            </w:pPr>
            <w:r>
              <w:rPr>
                <w:rFonts w:ascii="Calibri" w:hAnsi="Calibri"/>
                <w:b/>
                <w:color w:val="FFFFFF"/>
                <w:sz w:val="20"/>
              </w:rPr>
              <w:t xml:space="preserve">Sentinel</w:t>
            </w:r>
          </w:p>
        </w:tc>
        <w:tc>
          <w:tcPr>
            <w:tcW w:type="dxa" w:w="3413"/>
            <w:shd w:val="clear" w:color="auto" w:fill="1F3A8A"/>
          </w:tcPr>
          <w:p>
            <w:pPr>
              <w:pStyle w:val="Compact"/>
              <w:keepNext/>
              <w:spacing w:after="0" w:line="264" w:lineRule="auto"/>
              <w:jc w:val="left"/>
            </w:pPr>
            <w:r>
              <w:rPr>
                <w:rFonts w:ascii="Calibri" w:hAnsi="Calibri"/>
                <w:b/>
                <w:color w:val="FFFFFF"/>
                <w:sz w:val="20"/>
              </w:rPr>
              <w:t xml:space="preserve">Cybercrime portal</w:t>
            </w:r>
          </w:p>
        </w:tc>
      </w:tr>
      <w:tr>
        <w:trPr>
          <w:cantSplit/>
        </w:trPr>
        <w:tc>
          <w:tcPr>
            <w:tcW w:type="dxa" w:w="2736"/>
          </w:tcPr>
          <w:p>
            <w:pPr>
              <w:pStyle w:val="Compact"/>
              <w:keepNext/>
              <w:spacing w:after="0" w:line="264" w:lineRule="auto"/>
              <w:jc w:val="left"/>
            </w:pPr>
            <w:r>
              <w:rPr>
                <w:rFonts w:ascii="Calibri" w:hAnsi="Calibri"/>
                <w:b/>
                <w:sz w:val="20"/>
              </w:rPr>
              <w:t xml:space="preserve">Visibility of system status</w:t>
            </w:r>
          </w:p>
        </w:tc>
        <w:tc>
          <w:tcPr>
            <w:tcW w:type="dxa" w:w="3312"/>
          </w:tcPr>
          <w:p>
            <w:pPr>
              <w:pStyle w:val="Compact"/>
              <w:keepNext/>
              <w:spacing w:after="0" w:line="264" w:lineRule="auto"/>
              <w:jc w:val="left"/>
            </w:pPr>
            <w:r>
              <w:rPr>
                <w:rFonts w:ascii="Calibri" w:hAnsi="Calibri"/>
                <w:sz w:val="20"/>
              </w:rPr>
              <w:t xml:space="preserve">Live status badges, check counters</w:t>
            </w:r>
          </w:p>
        </w:tc>
        <w:tc>
          <w:tcPr>
            <w:tcW w:type="dxa" w:w="3413"/>
          </w:tcPr>
          <w:p>
            <w:pPr>
              <w:pStyle w:val="Compact"/>
              <w:keepNext/>
              <w:spacing w:after="0" w:line="264" w:lineRule="auto"/>
              <w:jc w:val="left"/>
            </w:pPr>
            <w:r>
              <w:rPr>
                <w:rFonts w:ascii="Calibri" w:hAnsi="Calibri"/>
                <w:sz w:val="20"/>
              </w:rPr>
              <w:t xml:space="preserve">Step indicator, auto-save message</w:t>
            </w:r>
          </w:p>
        </w:tc>
      </w:tr>
      <w:tr>
        <w:trPr>
          <w:cantSplit/>
        </w:trPr>
        <w:tc>
          <w:tcPr>
            <w:tcW w:type="dxa" w:w="2736"/>
            <w:shd w:val="clear" w:color="auto" w:fill="EEF2FF"/>
          </w:tcPr>
          <w:p>
            <w:pPr>
              <w:pStyle w:val="Compact"/>
              <w:keepNext/>
              <w:spacing w:after="0" w:line="264" w:lineRule="auto"/>
              <w:jc w:val="left"/>
            </w:pPr>
            <w:r>
              <w:rPr>
                <w:rFonts w:ascii="Calibri" w:hAnsi="Calibri"/>
                <w:b/>
                <w:sz w:val="20"/>
              </w:rPr>
              <w:t xml:space="preserve">Match with the real world</w:t>
            </w:r>
          </w:p>
        </w:tc>
        <w:tc>
          <w:tcPr>
            <w:tcW w:type="dxa" w:w="3312"/>
            <w:shd w:val="clear" w:color="auto" w:fill="EEF2FF"/>
          </w:tcPr>
          <w:p>
            <w:pPr>
              <w:pStyle w:val="Compact"/>
              <w:keepNext/>
              <w:spacing w:after="0" w:line="264" w:lineRule="auto"/>
              <w:jc w:val="left"/>
            </w:pPr>
            <w:r>
              <w:rPr>
                <w:rFonts w:ascii="Calibri" w:hAnsi="Calibri"/>
                <w:sz w:val="20"/>
              </w:rPr>
              <w:t xml:space="preserve">Plain-language mode</w:t>
            </w:r>
          </w:p>
        </w:tc>
        <w:tc>
          <w:tcPr>
            <w:tcW w:type="dxa" w:w="3413"/>
            <w:shd w:val="clear" w:color="auto" w:fill="EEF2FF"/>
          </w:tcPr>
          <w:p>
            <w:pPr>
              <w:pStyle w:val="Compact"/>
              <w:keepNext/>
              <w:spacing w:after="0" w:line="264" w:lineRule="auto"/>
              <w:jc w:val="left"/>
            </w:pPr>
            <w:r>
              <w:rPr>
                <w:rFonts w:ascii="Calibri" w:hAnsi="Calibri"/>
                <w:sz w:val="20"/>
              </w:rPr>
              <w:t xml:space="preserve">Everyday examples for categories</w:t>
            </w:r>
          </w:p>
        </w:tc>
      </w:tr>
      <w:tr>
        <w:trPr>
          <w:cantSplit/>
        </w:trPr>
        <w:tc>
          <w:tcPr>
            <w:tcW w:type="dxa" w:w="2736"/>
          </w:tcPr>
          <w:p>
            <w:pPr>
              <w:pStyle w:val="Compact"/>
              <w:keepNext/>
              <w:spacing w:after="0" w:line="264" w:lineRule="auto"/>
              <w:jc w:val="left"/>
            </w:pPr>
            <w:r>
              <w:rPr>
                <w:rFonts w:ascii="Calibri" w:hAnsi="Calibri"/>
                <w:b/>
                <w:sz w:val="20"/>
              </w:rPr>
              <w:t xml:space="preserve">User control and freedom</w:t>
            </w:r>
          </w:p>
        </w:tc>
        <w:tc>
          <w:tcPr>
            <w:tcW w:type="dxa" w:w="3312"/>
          </w:tcPr>
          <w:p>
            <w:pPr>
              <w:pStyle w:val="Compact"/>
              <w:keepNext/>
              <w:spacing w:after="0" w:line="264" w:lineRule="auto"/>
              <w:jc w:val="left"/>
            </w:pPr>
            <w:r>
              <w:rPr>
                <w:rFonts w:ascii="Calibri" w:hAnsi="Calibri"/>
                <w:sz w:val="20"/>
              </w:rPr>
              <w:t xml:space="preserve">Undo on every action</w:t>
            </w:r>
          </w:p>
        </w:tc>
        <w:tc>
          <w:tcPr>
            <w:tcW w:type="dxa" w:w="3413"/>
          </w:tcPr>
          <w:p>
            <w:pPr>
              <w:pStyle w:val="Compact"/>
              <w:keepNext/>
              <w:spacing w:after="0" w:line="264" w:lineRule="auto"/>
              <w:jc w:val="left"/>
            </w:pPr>
            <w:r>
              <w:rPr>
                <w:rFonts w:ascii="Calibri" w:hAnsi="Calibri"/>
                <w:sz w:val="20"/>
              </w:rPr>
              <w:t xml:space="preserve">Edit on review page, Save &amp; Exit</w:t>
            </w:r>
          </w:p>
        </w:tc>
      </w:tr>
      <w:tr>
        <w:trPr>
          <w:cantSplit/>
        </w:trPr>
        <w:tc>
          <w:tcPr>
            <w:tcW w:type="dxa" w:w="2736"/>
            <w:shd w:val="clear" w:color="auto" w:fill="EEF2FF"/>
          </w:tcPr>
          <w:p>
            <w:pPr>
              <w:pStyle w:val="Compact"/>
              <w:keepNext/>
              <w:spacing w:after="0" w:line="264" w:lineRule="auto"/>
              <w:jc w:val="left"/>
            </w:pPr>
            <w:r>
              <w:rPr>
                <w:rFonts w:ascii="Calibri" w:hAnsi="Calibri"/>
                <w:b/>
                <w:sz w:val="20"/>
              </w:rPr>
              <w:t xml:space="preserve">Error prevention</w:t>
            </w:r>
          </w:p>
        </w:tc>
        <w:tc>
          <w:tcPr>
            <w:tcW w:type="dxa" w:w="3312"/>
            <w:shd w:val="clear" w:color="auto" w:fill="EEF2FF"/>
          </w:tcPr>
          <w:p>
            <w:pPr>
              <w:pStyle w:val="Compact"/>
              <w:keepNext/>
              <w:spacing w:after="0" w:line="264" w:lineRule="auto"/>
              <w:jc w:val="left"/>
            </w:pPr>
            <w:r>
              <w:rPr>
                <w:rFonts w:ascii="Calibri" w:hAnsi="Calibri"/>
                <w:sz w:val="20"/>
              </w:rPr>
              <w:t xml:space="preserve">Locked DNS button, safety checks</w:t>
            </w:r>
          </w:p>
        </w:tc>
        <w:tc>
          <w:tcPr>
            <w:tcW w:type="dxa" w:w="3413"/>
            <w:shd w:val="clear" w:color="auto" w:fill="EEF2FF"/>
          </w:tcPr>
          <w:p>
            <w:pPr>
              <w:pStyle w:val="Compact"/>
              <w:keepNext/>
              <w:spacing w:after="0" w:line="264" w:lineRule="auto"/>
              <w:jc w:val="left"/>
            </w:pPr>
            <w:r>
              <w:rPr>
                <w:rFonts w:ascii="Calibri" w:hAnsi="Calibri"/>
                <w:sz w:val="20"/>
              </w:rPr>
              <w:t xml:space="preserve">“</w:t>
            </w:r>
            <w:r>
              <w:rPr>
                <w:rFonts w:ascii="Calibri" w:hAnsi="Calibri"/>
                <w:sz w:val="20"/>
              </w:rPr>
              <w:t xml:space="preserve">I don’t know</w:t>
            </w:r>
            <w:r>
              <w:rPr>
                <w:rFonts w:ascii="Calibri" w:hAnsi="Calibri"/>
                <w:sz w:val="20"/>
              </w:rPr>
              <w:t xml:space="preserve">”</w:t>
            </w:r>
            <w:r>
              <w:rPr>
                <w:rFonts w:ascii="Calibri" w:hAnsi="Calibri"/>
                <w:sz w:val="20"/>
              </w:rPr>
              <w:t xml:space="preserve"> </w:t>
            </w:r>
            <w:r>
              <w:rPr>
                <w:rFonts w:ascii="Calibri" w:hAnsi="Calibri"/>
                <w:sz w:val="20"/>
              </w:rPr>
              <w:t xml:space="preserve">options, file-type guidance</w:t>
            </w:r>
          </w:p>
        </w:tc>
      </w:tr>
      <w:tr>
        <w:trPr>
          <w:cantSplit/>
        </w:trPr>
        <w:tc>
          <w:tcPr>
            <w:tcW w:type="dxa" w:w="2736"/>
          </w:tcPr>
          <w:p>
            <w:pPr>
              <w:pStyle w:val="Compact"/>
              <w:keepNext/>
              <w:spacing w:after="0" w:line="264" w:lineRule="auto"/>
              <w:jc w:val="left"/>
            </w:pPr>
            <w:r>
              <w:rPr>
                <w:rFonts w:ascii="Calibri" w:hAnsi="Calibri"/>
                <w:b/>
                <w:sz w:val="20"/>
              </w:rPr>
              <w:t xml:space="preserve">Recognition over recall</w:t>
            </w:r>
          </w:p>
        </w:tc>
        <w:tc>
          <w:tcPr>
            <w:tcW w:type="dxa" w:w="3312"/>
          </w:tcPr>
          <w:p>
            <w:pPr>
              <w:pStyle w:val="Compact"/>
              <w:keepNext/>
              <w:spacing w:after="0" w:line="264" w:lineRule="auto"/>
              <w:jc w:val="left"/>
            </w:pPr>
            <w:r>
              <w:rPr>
                <w:rFonts w:ascii="Calibri" w:hAnsi="Calibri"/>
                <w:sz w:val="20"/>
              </w:rPr>
              <w:t xml:space="preserve">Templates, side-by-side data</w:t>
            </w:r>
          </w:p>
        </w:tc>
        <w:tc>
          <w:tcPr>
            <w:tcW w:type="dxa" w:w="3413"/>
          </w:tcPr>
          <w:p>
            <w:pPr>
              <w:pStyle w:val="Compact"/>
              <w:keepNext/>
              <w:spacing w:after="0" w:line="264" w:lineRule="auto"/>
              <w:jc w:val="left"/>
            </w:pPr>
            <w:r>
              <w:rPr>
                <w:rFonts w:ascii="Calibri" w:hAnsi="Calibri"/>
                <w:sz w:val="20"/>
              </w:rPr>
              <w:t xml:space="preserve">Searchable categories, suggestions</w:t>
            </w:r>
          </w:p>
        </w:tc>
      </w:tr>
      <w:tr>
        <w:trPr>
          <w:cantSplit/>
        </w:trPr>
        <w:tc>
          <w:tcPr>
            <w:tcW w:type="dxa" w:w="2736"/>
            <w:shd w:val="clear" w:color="auto" w:fill="EEF2FF"/>
          </w:tcPr>
          <w:p>
            <w:pPr>
              <w:pStyle w:val="Compact"/>
              <w:keepNext/>
              <w:spacing w:after="0" w:line="264" w:lineRule="auto"/>
              <w:jc w:val="left"/>
            </w:pPr>
            <w:r>
              <w:rPr>
                <w:rFonts w:ascii="Calibri" w:hAnsi="Calibri"/>
                <w:b/>
                <w:sz w:val="20"/>
              </w:rPr>
              <w:t xml:space="preserve">Minimalist design</w:t>
            </w:r>
          </w:p>
        </w:tc>
        <w:tc>
          <w:tcPr>
            <w:tcW w:type="dxa" w:w="3312"/>
            <w:shd w:val="clear" w:color="auto" w:fill="EEF2FF"/>
          </w:tcPr>
          <w:p>
            <w:pPr>
              <w:pStyle w:val="Compact"/>
              <w:keepNext/>
              <w:spacing w:after="0" w:line="264" w:lineRule="auto"/>
              <w:jc w:val="left"/>
            </w:pPr>
            <w:r>
              <w:rPr>
                <w:rFonts w:ascii="Calibri" w:hAnsi="Calibri"/>
                <w:sz w:val="20"/>
              </w:rPr>
              <w:t xml:space="preserve">Risk-grouped settings</w:t>
            </w:r>
          </w:p>
        </w:tc>
        <w:tc>
          <w:tcPr>
            <w:tcW w:type="dxa" w:w="3413"/>
            <w:shd w:val="clear" w:color="auto" w:fill="EEF2FF"/>
          </w:tcPr>
          <w:p>
            <w:pPr>
              <w:pStyle w:val="Compact"/>
              <w:keepNext/>
              <w:spacing w:after="0" w:line="264" w:lineRule="auto"/>
              <w:jc w:val="left"/>
            </w:pPr>
            <w:r>
              <w:rPr>
                <w:rFonts w:ascii="Calibri" w:hAnsi="Calibri"/>
                <w:sz w:val="20"/>
              </w:rPr>
              <w:t xml:space="preserve">Simpler header, shorter instructions</w:t>
            </w:r>
          </w:p>
        </w:tc>
      </w:tr>
      <w:tr>
        <w:trPr>
          <w:cantSplit/>
        </w:trPr>
        <w:tc>
          <w:tcPr>
            <w:tcW w:type="dxa" w:w="2736"/>
          </w:tcPr>
          <w:p>
            <w:pPr>
              <w:pStyle w:val="Compact"/>
              <w:keepNext/>
              <w:spacing w:after="0" w:line="264" w:lineRule="auto"/>
              <w:jc w:val="left"/>
            </w:pPr>
            <w:r>
              <w:rPr>
                <w:rFonts w:ascii="Calibri" w:hAnsi="Calibri"/>
                <w:b/>
                <w:sz w:val="20"/>
              </w:rPr>
              <w:t xml:space="preserve">Help and guidance</w:t>
            </w:r>
          </w:p>
        </w:tc>
        <w:tc>
          <w:tcPr>
            <w:tcW w:type="dxa" w:w="3312"/>
          </w:tcPr>
          <w:p>
            <w:pPr>
              <w:pStyle w:val="Compact"/>
              <w:keepNext/>
              <w:spacing w:after="0" w:line="264" w:lineRule="auto"/>
              <w:jc w:val="left"/>
            </w:pPr>
            <w:r>
              <w:rPr>
                <w:rFonts w:ascii="Calibri" w:hAnsi="Calibri"/>
                <w:sz w:val="20"/>
              </w:rPr>
              <w:t xml:space="preserve">“</w:t>
            </w:r>
            <w:r>
              <w:rPr>
                <w:rFonts w:ascii="Calibri" w:hAnsi="Calibri"/>
                <w:sz w:val="20"/>
              </w:rPr>
              <w:t xml:space="preserve">i</w:t>
            </w:r>
            <w:r>
              <w:rPr>
                <w:rFonts w:ascii="Calibri" w:hAnsi="Calibri"/>
                <w:sz w:val="20"/>
              </w:rPr>
              <w:t xml:space="preserve">”</w:t>
            </w:r>
            <w:r>
              <w:rPr>
                <w:rFonts w:ascii="Calibri" w:hAnsi="Calibri"/>
                <w:sz w:val="20"/>
              </w:rPr>
              <w:t xml:space="preserve"> </w:t>
            </w:r>
            <w:r>
              <w:rPr>
                <w:rFonts w:ascii="Calibri" w:hAnsi="Calibri"/>
                <w:sz w:val="20"/>
              </w:rPr>
              <w:t xml:space="preserve">tooltips</w:t>
            </w:r>
          </w:p>
        </w:tc>
        <w:tc>
          <w:tcPr>
            <w:tcW w:type="dxa" w:w="3413"/>
          </w:tcPr>
          <w:p>
            <w:pPr>
              <w:pStyle w:val="Compact"/>
              <w:keepNext/>
              <w:spacing w:after="0" w:line="264" w:lineRule="auto"/>
              <w:jc w:val="left"/>
            </w:pPr>
            <w:r>
              <w:rPr>
                <w:rFonts w:ascii="Calibri" w:hAnsi="Calibri"/>
                <w:sz w:val="20"/>
              </w:rPr>
              <w:t xml:space="preserve">Timely helpline reminder</w:t>
            </w:r>
          </w:p>
        </w:tc>
      </w:tr>
      <w:tr>
        <w:trPr>
          <w:cantSplit/>
        </w:trPr>
        <w:tc>
          <w:tcPr>
            <w:tcW w:type="dxa" w:w="2736"/>
            <w:shd w:val="clear" w:color="auto" w:fill="EEF2FF"/>
          </w:tcPr>
          <w:p>
            <w:pPr>
              <w:pStyle w:val="Compact"/>
              <w:spacing w:after="0" w:line="264" w:lineRule="auto"/>
              <w:jc w:val="left"/>
            </w:pPr>
            <w:r>
              <w:rPr>
                <w:rFonts w:ascii="Calibri" w:hAnsi="Calibri"/>
                <w:b/>
                <w:sz w:val="20"/>
              </w:rPr>
              <w:t xml:space="preserve">Accessibility</w:t>
            </w:r>
          </w:p>
        </w:tc>
        <w:tc>
          <w:tcPr>
            <w:tcW w:type="dxa" w:w="3312"/>
            <w:shd w:val="clear" w:color="auto" w:fill="EEF2FF"/>
          </w:tcPr>
          <w:p>
            <w:pPr>
              <w:pStyle w:val="Compact"/>
              <w:spacing w:after="0" w:line="264" w:lineRule="auto"/>
              <w:jc w:val="left"/>
            </w:pPr>
            <w:r>
              <w:rPr>
                <w:rFonts w:ascii="Calibri" w:hAnsi="Calibri"/>
                <w:sz w:val="20"/>
              </w:rPr>
              <w:t xml:space="preserve">High contrast, large text, colour-safe icons</w:t>
            </w:r>
          </w:p>
        </w:tc>
        <w:tc>
          <w:tcPr>
            <w:tcW w:type="dxa" w:w="3413"/>
            <w:shd w:val="clear" w:color="auto" w:fill="EEF2FF"/>
          </w:tcPr>
          <w:p>
            <w:pPr>
              <w:pStyle w:val="Compact"/>
              <w:spacing w:after="0" w:line="264" w:lineRule="auto"/>
              <w:jc w:val="left"/>
            </w:pPr>
            <w:r>
              <w:rPr>
                <w:rFonts w:ascii="Calibri" w:hAnsi="Calibri"/>
                <w:sz w:val="20"/>
              </w:rPr>
              <w:t xml:space="preserve">Larger text and clearer layout</w:t>
            </w:r>
          </w:p>
        </w:tc>
      </w:tr>
    </w:tbl>
    <w:p>
      <w:pPr>
        <w:pStyle w:val="BodyText"/>
      </w:pPr>
      <w:r>
        <w:t xml:space="preserve">Both redesigns apply one idea:</w:t>
      </w:r>
      <w:r>
        <w:t xml:space="preserve"> </w:t>
      </w:r>
      <w:r>
        <w:rPr>
          <w:bCs/>
          <w:b/>
        </w:rPr>
        <w:t xml:space="preserve">in a stressful, high-stakes task, the interface should reduce uncertainty.</w:t>
      </w:r>
      <w:r>
        <w:t xml:space="preserve"> </w:t>
      </w:r>
      <w:r>
        <w:t xml:space="preserve">Sentinel does this for administrators who fear a costly mistake, and the portal does it for citizens who fear being lost, judged or losing their work.</w:t>
      </w:r>
    </w:p>
    <w:bookmarkEnd w:id="25"/>
    <w:bookmarkStart w:id="26" w:name="limitations"/>
    <w:p>
      <w:pPr>
        <w:pStyle w:val="Heading2"/>
      </w:pPr>
      <w:r>
        <w:t xml:space="preserve">7. Limitations</w:t>
      </w:r>
    </w:p>
    <w:p>
      <w:pPr>
        <w:numPr>
          <w:ilvl w:val="0"/>
          <w:numId w:val="1004"/>
        </w:numPr>
        <w:pStyle w:val="Compact"/>
      </w:pPr>
      <w:r>
        <w:rPr>
          <w:bCs/>
          <w:b/>
        </w:rPr>
        <w:t xml:space="preserve">Small, informal sample.</w:t>
      </w:r>
      <w:r>
        <w:t xml:space="preserve"> </w:t>
      </w:r>
      <w:r>
        <w:t xml:space="preserve">Five reviewers is enough to spot patterns, not to prove them statistically.</w:t>
      </w:r>
    </w:p>
    <w:p>
      <w:pPr>
        <w:numPr>
          <w:ilvl w:val="0"/>
          <w:numId w:val="1004"/>
        </w:numPr>
        <w:pStyle w:val="Compact"/>
      </w:pPr>
      <w:r>
        <w:rPr>
          <w:bCs/>
          <w:b/>
        </w:rPr>
        <w:t xml:space="preserve">Reviewers are classmates.</w:t>
      </w:r>
      <w:r>
        <w:t xml:space="preserve"> </w:t>
      </w:r>
      <w:r>
        <w:t xml:space="preserve">They are not the real target users (security admins or crime victims) and may lean positive. Some recordings read like prepared presentations and mostly praise the redesign.</w:t>
      </w:r>
    </w:p>
    <w:p>
      <w:pPr>
        <w:numPr>
          <w:ilvl w:val="0"/>
          <w:numId w:val="1004"/>
        </w:numPr>
        <w:pStyle w:val="Compact"/>
      </w:pPr>
      <w:r>
        <w:rPr>
          <w:bCs/>
          <w:b/>
        </w:rPr>
        <w:t xml:space="preserve">No numbers yet.</w:t>
      </w:r>
      <w:r>
        <w:t xml:space="preserve"> </w:t>
      </w:r>
      <w:r>
        <w:t xml:space="preserve">We did not collect task times, error counts or a standard score such as the System Usability Scale.</w:t>
      </w:r>
    </w:p>
    <w:p>
      <w:pPr>
        <w:numPr>
          <w:ilvl w:val="0"/>
          <w:numId w:val="1004"/>
        </w:numPr>
        <w:pStyle w:val="Compact"/>
      </w:pPr>
      <w:r>
        <w:rPr>
          <w:bCs/>
          <w:b/>
        </w:rPr>
        <w:t xml:space="preserve">Uneven depth.</w:t>
      </w:r>
      <w:r>
        <w:t xml:space="preserve"> </w:t>
      </w:r>
      <w:r>
        <w:t xml:space="preserve">Two reviews followed a full task walkthrough, while others gave summary opinions.</w:t>
      </w:r>
    </w:p>
    <w:p>
      <w:pPr>
        <w:numPr>
          <w:ilvl w:val="0"/>
          <w:numId w:val="1004"/>
        </w:numPr>
        <w:pStyle w:val="Compact"/>
      </w:pPr>
      <w:r>
        <w:rPr>
          <w:bCs/>
          <w:b/>
        </w:rPr>
        <w:t xml:space="preserve">Prototype scope.</w:t>
      </w:r>
      <w:r>
        <w:t xml:space="preserve"> </w:t>
      </w:r>
      <w:r>
        <w:t xml:space="preserve">Sentinel has five screens, not the full Cloudflare feature set, and the portal redesign is a prototype.</w:t>
      </w:r>
    </w:p>
    <w:bookmarkEnd w:id="26"/>
    <w:bookmarkStart w:id="27" w:name="recommendations"/>
    <w:p>
      <w:pPr>
        <w:pStyle w:val="Heading2"/>
      </w:pPr>
      <w:r>
        <w:t xml:space="preserve">8. Recommendations</w:t>
      </w:r>
    </w:p>
    <w:p>
      <w:pPr>
        <w:pStyle w:val="FirstParagraph"/>
      </w:pPr>
      <w:r>
        <w:rPr>
          <w:bCs/>
          <w:b/>
        </w:rPr>
        <w:t xml:space="preserve">For Sentinel</w:t>
      </w:r>
    </w:p>
    <w:p>
      <w:pPr>
        <w:numPr>
          <w:ilvl w:val="0"/>
          <w:numId w:val="1005"/>
        </w:numPr>
        <w:pStyle w:val="Compact"/>
      </w:pPr>
      <w:r>
        <w:t xml:space="preserve">Add the missing areas (Zero Trust policies, Analytics, Settings) and a mobile layout.</w:t>
      </w:r>
    </w:p>
    <w:p>
      <w:pPr>
        <w:numPr>
          <w:ilvl w:val="0"/>
          <w:numId w:val="1005"/>
        </w:numPr>
        <w:pStyle w:val="Compact"/>
      </w:pPr>
      <w:r>
        <w:t xml:space="preserve">Add short explanations for advanced settings, as one reviewer suggested.</w:t>
      </w:r>
    </w:p>
    <w:p>
      <w:pPr>
        <w:numPr>
          <w:ilvl w:val="0"/>
          <w:numId w:val="1005"/>
        </w:numPr>
        <w:pStyle w:val="Compact"/>
      </w:pPr>
      <w:r>
        <w:t xml:space="preserve">Test with real security administrators or developers and measure task time and errors.</w:t>
      </w:r>
    </w:p>
    <w:p>
      <w:pPr>
        <w:numPr>
          <w:ilvl w:val="0"/>
          <w:numId w:val="1005"/>
        </w:numPr>
        <w:pStyle w:val="Compact"/>
      </w:pPr>
      <w:r>
        <w:t xml:space="preserve">Publish the prototype with Microsoft Clarity to see real clicks and hesitations.</w:t>
      </w:r>
    </w:p>
    <w:p>
      <w:pPr>
        <w:pStyle w:val="FirstParagraph"/>
      </w:pPr>
      <w:r>
        <w:rPr>
          <w:bCs/>
          <w:b/>
        </w:rPr>
        <w:t xml:space="preserve">For the Cybercrime Portal</w:t>
      </w:r>
    </w:p>
    <w:p>
      <w:pPr>
        <w:numPr>
          <w:ilvl w:val="0"/>
          <w:numId w:val="1006"/>
        </w:numPr>
        <w:pStyle w:val="Compact"/>
      </w:pPr>
      <w:r>
        <w:t xml:space="preserve">Test with people from different ages, languages and digital skill levels.</w:t>
      </w:r>
    </w:p>
    <w:p>
      <w:pPr>
        <w:numPr>
          <w:ilvl w:val="0"/>
          <w:numId w:val="1006"/>
        </w:numPr>
        <w:pStyle w:val="Compact"/>
      </w:pPr>
      <w:r>
        <w:t xml:space="preserve">Make the privacy promise for anonymous reports explicit, and show how a user can track a report.</w:t>
      </w:r>
    </w:p>
    <w:p>
      <w:pPr>
        <w:numPr>
          <w:ilvl w:val="0"/>
          <w:numId w:val="1006"/>
        </w:numPr>
        <w:pStyle w:val="Compact"/>
      </w:pPr>
      <w:r>
        <w:t xml:space="preserve">Move category examples earlier to cut selection time.</w:t>
      </w:r>
    </w:p>
    <w:p>
      <w:pPr>
        <w:numPr>
          <w:ilvl w:val="0"/>
          <w:numId w:val="1006"/>
        </w:numPr>
        <w:pStyle w:val="Compact"/>
      </w:pPr>
      <w:r>
        <w:t xml:space="preserve">Run an accessibility check (contrast, text size, screen-reader support).</w:t>
      </w:r>
    </w:p>
    <w:p>
      <w:pPr>
        <w:pStyle w:val="FirstParagraph"/>
      </w:pPr>
      <w:r>
        <w:rPr>
          <w:bCs/>
          <w:b/>
        </w:rPr>
        <w:t xml:space="preserve">For both</w:t>
      </w:r>
    </w:p>
    <w:p>
      <w:pPr>
        <w:numPr>
          <w:ilvl w:val="0"/>
          <w:numId w:val="1007"/>
        </w:numPr>
        <w:pStyle w:val="Compact"/>
      </w:pPr>
      <w:r>
        <w:t xml:space="preserve">Run moderated think-aloud sessions with at least five target users each.</w:t>
      </w:r>
    </w:p>
    <w:p>
      <w:pPr>
        <w:numPr>
          <w:ilvl w:val="0"/>
          <w:numId w:val="1007"/>
        </w:numPr>
        <w:pStyle w:val="Compact"/>
      </w:pPr>
      <w:r>
        <w:t xml:space="preserve">Use the same simple scale (such as the SUS) so the projects can be compared fairly.</w:t>
      </w:r>
    </w:p>
    <w:p>
      <w:pPr>
        <w:numPr>
          <w:ilvl w:val="0"/>
          <w:numId w:val="1007"/>
        </w:numPr>
        <w:pStyle w:val="Compact"/>
      </w:pPr>
      <w:r>
        <w:t xml:space="preserve">Share one component library and plain-language style guide across the two projects.</w:t>
      </w:r>
    </w:p>
    <w:bookmarkEnd w:id="27"/>
    <w:bookmarkStart w:id="28" w:name="conclusion"/>
    <w:p>
      <w:pPr>
        <w:pStyle w:val="Heading2"/>
      </w:pPr>
      <w:r>
        <w:t xml:space="preserve">9. Conclusion</w:t>
      </w:r>
    </w:p>
    <w:p>
      <w:pPr>
        <w:pStyle w:val="FirstParagraph"/>
      </w:pPr>
      <w:r>
        <w:t xml:space="preserve">This project shows that good design matters most where the stakes are highest. Cloudflare’s dashboard and the cybercrime portal protect people and systems, yet both made users feel lost, worried or unsure. By using plain language, putting key options in view, showing status clearly, preventing mistakes and letting people undo or edit, both redesigns turned stressful tasks into manageable ones, and every reviewer preferred them. The evidence is encouraging but limited, so the next step is testing with real users and measured results. A security product is only as strong as the people who can use it correctly, and both of our redesigns aim to help users do exactly that.</w:t>
      </w:r>
    </w:p>
    <w:bookmarkEnd w:id="28"/>
    <w:bookmarkEnd w:id="29"/>
    <w:sectPr>
      <w:pgSz w:w="11909" w:h="16834"/>
      <w:pgMar w:left="1224" w:right="1224" w:top="1152" w:bottom="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s="Calibri" w:eastAsia="Calibri"/>
      <w:sz w:val="22"/>
    </w:rPr>
  </w:style>
  <w:style w:styleId="BodyText" w:type="paragraph">
    <w:name w:val="Body Text"/>
    <w:basedOn w:val="Normal"/>
    <w:link w:val="BodyTextChar"/>
    <w:pPr>
      <w:spacing w:after="160" w:before="180" w:line="276" w:lineRule="auto"/>
    </w:pPr>
    <w:qFormat/>
    <w:rPr>
      <w:rFonts w:ascii="Calibri" w:hAnsi="Calibri" w:cs="Calibri" w:eastAsia="Calibri"/>
      <w:sz w:val="22"/>
    </w:rPr>
  </w:style>
  <w:style w:customStyle="1" w:styleId="FirstParagraph" w:type="paragraph">
    <w:name w:val="First Paragraph"/>
    <w:basedOn w:val="BodyText"/>
    <w:next w:val="BodyText"/>
    <w:qFormat/>
    <w:pPr>
      <w:spacing w:after="160" w:line="276" w:lineRule="auto"/>
    </w:pPr>
    <w:rPr>
      <w:rFonts w:ascii="Calibri" w:hAnsi="Calibri" w:cs="Calibri" w:eastAsia="Calibri"/>
      <w:sz w:val="22"/>
    </w:rPr>
  </w:style>
  <w:style w:customStyle="1" w:styleId="Compact" w:type="paragraph">
    <w:name w:val="Compact"/>
    <w:basedOn w:val="BodyText"/>
    <w:qFormat/>
    <w:pPr>
      <w:spacing w:after="36" w:before="36"/>
    </w:pPr>
    <w:rPr>
      <w:rFonts w:ascii="Calibri" w:hAnsi="Calibri" w:cs="Calibri" w:eastAsia="Calibri"/>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hAnsi="Calibri" w:cs="Calibri" w:eastAsia="Calibri"/>
      <w:b/>
      <w:bCs/>
      <w:color w:val="1F3A8A"/>
      <w:sz w:val="44"/>
      <w:szCs w:val="32"/>
    </w:rPr>
  </w:style>
  <w:style w:styleId="Heading2" w:type="paragraph">
    <w:name w:val="Heading 2"/>
    <w:basedOn w:val="Normal"/>
    <w:next w:val="BodyText"/>
    <w:uiPriority w:val="9"/>
    <w:unhideWhenUsed/>
    <w:qFormat/>
    <w:pPr>
      <w:keepNext/>
      <w:keepLines/>
      <w:spacing w:after="120" w:before="320"/>
      <w:outlineLvl w:val="1"/>
    </w:pPr>
    <w:rPr>
      <w:rFonts w:ascii="Calibri" w:hAnsi="Calibri" w:cs="Calibri" w:eastAsia="Calibri"/>
      <w:b/>
      <w:bCs/>
      <w:color w:val="1F3A8A"/>
      <w:sz w:val="30"/>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2026-10-25T17:31:39Z</dcterms:created>
  <dcterms:modified xsi:type="dcterms:W3CDTF">2026-10-25T17:31:39Z</dcterms:modified>
</cp:coreProperties>
</file>

<file path=docProps/custom.xml><?xml version="1.0" encoding="utf-8"?>
<Properties xmlns="http://schemas.openxmlformats.org/officeDocument/2006/custom-properties" xmlns:vt="http://schemas.openxmlformats.org/officeDocument/2006/docPropsVTypes"/>
</file>