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60"/>
        <w:jc w:val="center"/>
      </w:pPr>
      <w:r>
        <w:rPr>
          <w:rFonts w:ascii="Calibri" w:cs="Calibri" w:eastAsia="Calibri" w:hAnsi="Calibri"/>
          <w:b/>
          <w:bCs/>
          <w:color w:val="112438"/>
          <w:sz w:val="46"/>
          <w:szCs w:val="46"/>
        </w:rPr>
        <w:t xml:space="preserve">Pay As You Maintain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2E6F8E"/>
          <w:sz w:val="25"/>
          <w:szCs w:val="25"/>
        </w:rPr>
        <w:t xml:space="preserve">System &amp; Architecture Design — Technical Product Specification</w:t>
      </w:r>
    </w:p>
    <w:p>
      <w:pPr>
        <w:spacing w:after="30"/>
        <w:jc w:val="center"/>
      </w:pPr>
      <w:r>
        <w:rPr>
          <w:rFonts w:ascii="Calibri" w:cs="Calibri" w:eastAsia="Calibri" w:hAnsi="Calibri"/>
          <w:i/>
          <w:iCs/>
          <w:color w:val="5B6472"/>
          <w:sz w:val="20"/>
          <w:szCs w:val="20"/>
        </w:rPr>
        <w:t xml:space="preserve">Honors Program in Financial Technology — Capstone Project</w:t>
      </w:r>
    </w:p>
    <w:p>
      <w:pPr>
        <w:pBdr>
          <w:bottom w:val="single" w:color="1B3A5C" w:sz="10" w:space="8"/>
        </w:pBdr>
        <w:spacing w:after="280"/>
        <w:jc w:val="center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August 2026</w:t>
      </w:r>
    </w:p>
    <w:p>
      <w:pPr>
        <w:pStyle w:val="Heading1"/>
        <w:pBdr>
          <w:bottom w:val="single" w:color="1B3A5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12438"/>
          <w:sz w:val="30"/>
          <w:szCs w:val="30"/>
        </w:rPr>
        <w:t xml:space="preserve">1. Product Overview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Pay As You Maintain is a dynamic, own-damage motor insurance pricing product that continuously reflects how a vehicle is actually used and maintained, instead of pricing it once a year off static, self-declared inputs. This document specifies the system design, architecture, data ingestion pipeline, verification layer, user experience, and phased implementation plan needed to build it end-to-end, on an enterprise-grade stack and using an agentic build workflow.</w:t>
      </w:r>
    </w:p>
    <w:p>
      <w:pPr>
        <w:spacing w:after="90"/>
      </w:pPr>
    </w:p>
    <w:p>
      <w:pPr>
        <w:pStyle w:val="Heading1"/>
        <w:pBdr>
          <w:bottom w:val="single" w:color="1B3A5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12438"/>
          <w:sz w:val="30"/>
          <w:szCs w:val="30"/>
        </w:rPr>
        <w:t xml:space="preserve">2. System Design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2.1 Core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376"/>
      </w:tblGrid>
      <w:tr>
        <w:trPr>
          <w:tblHeader/>
        </w:trPr>
        <w:tc>
          <w:tcPr>
            <w:tcW w:type="dxa" w:w="26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3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Identity &amp; Consent</w:t>
            </w:r>
          </w:p>
        </w:tc>
        <w:tc>
          <w:tcPr>
            <w:tcW w:type="dxa" w:w="63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Onboarding, KYC, vehicle registration, DPDP Act consent management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Telematics &amp; Usage Ingestion</w:t>
            </w:r>
          </w:p>
        </w:tc>
        <w:tc>
          <w:tcPr>
            <w:tcW w:type="dxa" w:w="63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Driving behaviour, mileage, and trip-level route/environment data from the mobile app or an optional OBD-II dongle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Maintenance &amp; Vehicle Health Ingestion</w:t>
            </w:r>
          </w:p>
        </w:tc>
        <w:tc>
          <w:tcPr>
            <w:tcW w:type="dxa" w:w="63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Service interval adherence, component wear, recall status, service-provider traceability, OBD/DTC diagnostics, and EV battery health/charging pattern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Risk &amp; Scoring Engine</w:t>
            </w:r>
          </w:p>
        </w:tc>
        <w:tc>
          <w:tcPr>
            <w:tcW w:type="dxa" w:w="63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Computes the Usage and Maintenance scores — including the ML-derived predictive component-wear sub-score — into the Dynamic Risk Multiplier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Pricing &amp; Policy</w:t>
            </w:r>
          </w:p>
        </w:tc>
        <w:tc>
          <w:tcPr>
            <w:tcW w:type="dxa" w:w="63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Applies the multiplier to the OD base premium; sources IDV, NCB, and location from the policy administration system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Claims &amp; Verification</w:t>
            </w:r>
          </w:p>
        </w:tc>
        <w:tc>
          <w:tcPr>
            <w:tcW w:type="dxa" w:w="63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FNOL intake, damage assessment, and fraud/anomaly cross-checks, including the declared-vs-observed usage consistency check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Notification &amp; Advisory</w:t>
            </w:r>
          </w:p>
        </w:tc>
        <w:tc>
          <w:tcPr>
            <w:tcW w:type="dxa" w:w="63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Service, recall, and usage-mismatch alerts; premium-change notices</w:t>
            </w:r>
          </w:p>
        </w:tc>
      </w:tr>
    </w:tbl>
    <w:p>
      <w:pPr>
        <w:spacing w:after="9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2.2 Parameter Coverage Map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Every parameter from the project's established framework is accounted for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626"/>
      </w:tblGrid>
      <w:tr>
        <w:trPr>
          <w:tblHeader/>
        </w:trPr>
        <w:tc>
          <w:tcPr>
            <w:tcW w:type="dxa" w:w="4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Handled by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Service interval adherence</w:t>
            </w:r>
          </w:p>
        </w:tc>
        <w:tc>
          <w:tcPr>
            <w:tcW w:type="dxa" w:w="1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New</w:t>
            </w:r>
          </w:p>
        </w:tc>
        <w:tc>
          <w:tcPr>
            <w:tcW w:type="dxa" w:w="3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Maintenance &amp; Vehicle Health Ingestion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Safety-critical component wear</w:t>
            </w:r>
          </w:p>
        </w:tc>
        <w:tc>
          <w:tcPr>
            <w:tcW w:type="dxa" w:w="1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New</w:t>
            </w:r>
          </w:p>
        </w:tc>
        <w:tc>
          <w:tcPr>
            <w:tcW w:type="dxa" w:w="3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Maintenance &amp; Vehicle Health Ingestion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Recall completion status</w:t>
            </w:r>
          </w:p>
        </w:tc>
        <w:tc>
          <w:tcPr>
            <w:tcW w:type="dxa" w:w="1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New</w:t>
            </w:r>
          </w:p>
        </w:tc>
        <w:tc>
          <w:tcPr>
            <w:tcW w:type="dxa" w:w="3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Maintenance &amp; Vehicle Health Ingestion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OBD / DTC warning-light history</w:t>
            </w:r>
          </w:p>
        </w:tc>
        <w:tc>
          <w:tcPr>
            <w:tcW w:type="dxa" w:w="1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New</w:t>
            </w:r>
          </w:p>
        </w:tc>
        <w:tc>
          <w:tcPr>
            <w:tcW w:type="dxa" w:w="3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Maintenance &amp; Vehicle Health Ingestion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Service-provider consistency / traceability</w:t>
            </w:r>
          </w:p>
        </w:tc>
        <w:tc>
          <w:tcPr>
            <w:tcW w:type="dxa" w:w="1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New</w:t>
            </w:r>
          </w:p>
        </w:tc>
        <w:tc>
          <w:tcPr>
            <w:tcW w:type="dxa" w:w="3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Maintenance &amp; Vehicle Health Ingestion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Declared vs. observed usage consistency</w:t>
            </w:r>
          </w:p>
        </w:tc>
        <w:tc>
          <w:tcPr>
            <w:tcW w:type="dxa" w:w="1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New</w:t>
            </w:r>
          </w:p>
        </w:tc>
        <w:tc>
          <w:tcPr>
            <w:tcW w:type="dxa" w:w="3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Claims &amp; Verification (cross-check)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Predictive component-wear score</w:t>
            </w:r>
          </w:p>
        </w:tc>
        <w:tc>
          <w:tcPr>
            <w:tcW w:type="dxa" w:w="1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New</w:t>
            </w:r>
          </w:p>
        </w:tc>
        <w:tc>
          <w:tcPr>
            <w:tcW w:type="dxa" w:w="3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Risk &amp; Scoring Engine (derived)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EV battery health / charging pattern</w:t>
            </w:r>
          </w:p>
        </w:tc>
        <w:tc>
          <w:tcPr>
            <w:tcW w:type="dxa" w:w="1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New</w:t>
            </w:r>
          </w:p>
        </w:tc>
        <w:tc>
          <w:tcPr>
            <w:tcW w:type="dxa" w:w="3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Maintenance &amp; Vehicle Health Ingestion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Trip-level route &amp; environment exposure</w:t>
            </w:r>
          </w:p>
        </w:tc>
        <w:tc>
          <w:tcPr>
            <w:tcW w:type="dxa" w:w="1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New</w:t>
            </w:r>
          </w:p>
        </w:tc>
        <w:tc>
          <w:tcPr>
            <w:tcW w:type="dxa" w:w="3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Telematics &amp; Usage Ingestion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IDV, NCB, location, vehicle class (baseline)</w:t>
            </w:r>
          </w:p>
        </w:tc>
        <w:tc>
          <w:tcPr>
            <w:tcW w:type="dxa" w:w="1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Existing</w:t>
            </w:r>
          </w:p>
        </w:tc>
        <w:tc>
          <w:tcPr>
            <w:tcW w:type="dxa" w:w="3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Pricing &amp; Policy, from the policy administration system</w:t>
            </w:r>
          </w:p>
        </w:tc>
      </w:tr>
    </w:tbl>
    <w:p>
      <w:pPr>
        <w:spacing w:after="9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2.3 User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376"/>
      </w:tblGrid>
      <w:tr>
        <w:trPr>
          <w:tblHeader/>
        </w:trPr>
        <w:tc>
          <w:tcPr>
            <w:tcW w:type="dxa" w:w="26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3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they do in the system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Policyholder</w:t>
            </w:r>
          </w:p>
        </w:tc>
        <w:tc>
          <w:tcPr>
            <w:tcW w:type="dxa" w:w="63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Views scores and premium, authorises data sources, files claims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Service Centre Partner</w:t>
            </w:r>
          </w:p>
        </w:tc>
        <w:tc>
          <w:tcPr>
            <w:tcW w:type="dxa" w:w="63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Confirms or uploads service records through a partner interface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Underwriter / Actuarial Team</w:t>
            </w:r>
          </w:p>
        </w:tc>
        <w:tc>
          <w:tcPr>
            <w:tcW w:type="dxa" w:w="63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Sets and reviews scoring weights, manages the IRDAI filing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Claims Handler</w:t>
            </w:r>
          </w:p>
        </w:tc>
        <w:tc>
          <w:tcPr>
            <w:tcW w:type="dxa" w:w="63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Reviews flagged claims using the verification dashboard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63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Manages pipeline health, data quality, and model versioning</w:t>
            </w:r>
          </w:p>
        </w:tc>
      </w:tr>
    </w:tbl>
    <w:p>
      <w:pPr>
        <w:spacing w:after="9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2.4 Core User Journeys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Three journeys anchor the design end-to-end — Onboarding, Renewal Repricing, and Claims. Each module above plays a role in at least one of them; all three are laid out step-by-step in Section 6 (User Experience).</w:t>
      </w:r>
    </w:p>
    <w:p>
      <w:pPr>
        <w:pStyle w:val="Heading1"/>
        <w:pBdr>
          <w:bottom w:val="single" w:color="1B3A5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12438"/>
          <w:sz w:val="30"/>
          <w:szCs w:val="30"/>
        </w:rPr>
        <w:t xml:space="preserve">3. Architecture Design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3.1 Layered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Contains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Client Layer</w:t>
            </w:r>
          </w:p>
        </w:tc>
        <w:tc>
          <w:tcPr>
            <w:tcW w:type="dxa" w:w="7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Mobile app (iOS/Android) for policyholders; partner web portal for service centres and claims handlers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7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Authentication, rate limiting, request routing to core services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Core Services</w:t>
            </w:r>
          </w:p>
        </w:tc>
        <w:tc>
          <w:tcPr>
            <w:tcW w:type="dxa" w:w="7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seven modules from Section 2.1, each an independently deployable service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Data Layer</w:t>
            </w:r>
          </w:p>
        </w:tc>
        <w:tc>
          <w:tcPr>
            <w:tcW w:type="dxa" w:w="7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Raw event store, feature store, transactional database, document store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Integration Layer</w:t>
            </w:r>
          </w:p>
        </w:tc>
        <w:tc>
          <w:tcPr>
            <w:tcW w:type="dxa" w:w="7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OEM service APIs, VIN-decode/RTO data, policy administration system, claims system, payment gateway, notification providers</w:t>
            </w:r>
          </w:p>
        </w:tc>
      </w:tr>
    </w:tbl>
    <w:p>
      <w:pPr>
        <w:spacing w:after="9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3.2 Recommended Technology Stack — Enterprise Grade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Chosen for regulated, high-scale insurance workloads, and for alignment with Guidewire's own Java-based ecosystem where the two systems need to integrate.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50"/>
        <w:gridCol w:w="4726"/>
      </w:tblGrid>
      <w:tr>
        <w:trPr>
          <w:tblHeader/>
        </w:trPr>
        <w:tc>
          <w:tcPr>
            <w:tcW w:type="dxa" w:w="17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5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Mobile app</w:t>
            </w:r>
          </w:p>
        </w:tc>
        <w:tc>
          <w:tcPr>
            <w:tcW w:type="dxa" w:w="25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Flutter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Single codebase for Android + iOS; reliable background execution for continuous telematics capture and native Bluetooth support for OBD-II pairing — both weaker on the web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Core backend services</w:t>
            </w:r>
          </w:p>
        </w:tc>
        <w:tc>
          <w:tcPr>
            <w:tcW w:type="dxa" w:w="25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Java 21 / Spring Boot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Industry standard for enterprise insurance platforms — the same ecosystem Guidewire itself is built on, which eases future integration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Scoring &amp; ML services</w:t>
            </w:r>
          </w:p>
        </w:tc>
        <w:tc>
          <w:tcPr>
            <w:tcW w:type="dxa" w:w="25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Python on Vertex AI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Google Cloud's managed enterprise ML platform — training, serving, and monitoring the scoring models with built-in governance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API management</w:t>
            </w:r>
          </w:p>
        </w:tc>
        <w:tc>
          <w:tcPr>
            <w:tcW w:type="dxa" w:w="25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Apigee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Enterprise API gateway: auth, rate limiting, versioning, and a developer portal for OEM/partner integrations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Event streaming</w:t>
            </w:r>
          </w:p>
        </w:tc>
        <w:tc>
          <w:tcPr>
            <w:tcW w:type="dxa" w:w="25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Confluent Kafka or Cloud Pub/Sub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Enterprise-grade, high-throughput delivery for telematics event volume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Transactional database</w:t>
            </w:r>
          </w:p>
        </w:tc>
        <w:tc>
          <w:tcPr>
            <w:tcW w:type="dxa" w:w="25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Cloud Spanner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Globally distributed and strongly consistent — built for regulated financial workloads at scale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Analytics &amp; telematics history</w:t>
            </w:r>
          </w:p>
        </w:tc>
        <w:tc>
          <w:tcPr>
            <w:tcW w:type="dxa" w:w="25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BigQuery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Enterprise data warehouse for trip-level history, model retraining, and actuarial analysis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25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Google Cloud Storage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Service-receipt photos, claim images, raw event archives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Identity &amp; KYC</w:t>
            </w:r>
          </w:p>
        </w:tc>
        <w:tc>
          <w:tcPr>
            <w:tcW w:type="dxa" w:w="25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Cloud IAM / Identity Platform, plus a licensed KYC provider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Enterprise identity, with Aadhaar/PAN verification handled by a regulated third party rather than built in-house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Container orchestration</w:t>
            </w:r>
          </w:p>
        </w:tc>
        <w:tc>
          <w:tcPr>
            <w:tcW w:type="dxa" w:w="25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Google Kubernetes Engine (GKE)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Managed, enterprise-SLA Kubernetes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Security &amp; secrets</w:t>
            </w:r>
          </w:p>
        </w:tc>
        <w:tc>
          <w:tcPr>
            <w:tcW w:type="dxa" w:w="25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Cloud KMS, Secret Manager, VPC Service Controls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Key management and network-level data controls, standard for insurance-grade compliance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25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Cloud Monitoring &amp; Logging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Enterprise SLOs, alerting, and audit trails</w:t>
            </w:r>
          </w:p>
        </w:tc>
      </w:tr>
    </w:tbl>
    <w:p>
      <w:pPr>
        <w:spacing w:after="9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3.3 Integration Points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OEM service-network APIs, for authorized-network maintenance records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VIN-decode and Vahan/RTO data, for vehicle identity and registration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Policy administration system (PolicyCenter-equivalent), for premium application at renewal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Claims management system (ClaimCenter-equivalent), for FNOL and settlement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Payment gateway and SMS/push notification providers</w:t>
      </w:r>
    </w:p>
    <w:p>
      <w:pPr>
        <w:spacing w:after="90"/>
      </w:pPr>
    </w:p>
    <w:p>
      <w:pPr>
        <w:pStyle w:val="Heading1"/>
        <w:pBdr>
          <w:bottom w:val="single" w:color="1B3A5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12438"/>
          <w:sz w:val="30"/>
          <w:szCs w:val="30"/>
        </w:rPr>
        <w:t xml:space="preserve">4. Data Ingestion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4.1 Data 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50"/>
        <w:gridCol w:w="3050"/>
        <w:gridCol w:w="2526"/>
      </w:tblGrid>
      <w:tr>
        <w:trPr>
          <w:tblHeader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9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0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captured</w:t>
            </w:r>
          </w:p>
        </w:tc>
        <w:tc>
          <w:tcPr>
            <w:tcW w:type="dxa" w:w="25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Usage &amp; behaviour</w:t>
            </w:r>
          </w:p>
        </w:tc>
        <w:tc>
          <w:tcPr>
            <w:tcW w:type="dxa" w:w="19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Mobile telematics SDK</w:t>
            </w:r>
          </w:p>
        </w:tc>
        <w:tc>
          <w:tcPr>
            <w:tcW w:type="dxa" w:w="30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GPS, accelerometer, gyroscope — speed, braking, route, trip context</w:t>
            </w:r>
          </w:p>
        </w:tc>
        <w:tc>
          <w:tcPr>
            <w:tcW w:type="dxa" w:w="25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Real-time, per trip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19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OEM service API</w:t>
            </w:r>
          </w:p>
        </w:tc>
        <w:tc>
          <w:tcPr>
            <w:tcW w:type="dxa" w:w="30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Service date, type, parts replaced</w:t>
            </w:r>
          </w:p>
        </w:tc>
        <w:tc>
          <w:tcPr>
            <w:tcW w:type="dxa" w:w="25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Per service event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19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Self-upload</w:t>
            </w:r>
          </w:p>
        </w:tc>
        <w:tc>
          <w:tcPr>
            <w:tcW w:type="dxa" w:w="30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Receipt photo/PDF for out-of-network service</w:t>
            </w:r>
          </w:p>
        </w:tc>
        <w:tc>
          <w:tcPr>
            <w:tcW w:type="dxa" w:w="25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As needed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19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Service-centre inspection</w:t>
            </w:r>
          </w:p>
        </w:tc>
        <w:tc>
          <w:tcPr>
            <w:tcW w:type="dxa" w:w="30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Brake pad, tyre tread, fluid condition</w:t>
            </w:r>
          </w:p>
        </w:tc>
        <w:tc>
          <w:tcPr>
            <w:tcW w:type="dxa" w:w="25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Per service event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19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OEM recall database</w:t>
            </w:r>
          </w:p>
        </w:tc>
        <w:tc>
          <w:tcPr>
            <w:tcW w:type="dxa" w:w="30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Open/closed recall status</w:t>
            </w:r>
          </w:p>
        </w:tc>
        <w:tc>
          <w:tcPr>
            <w:tcW w:type="dxa" w:w="25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Periodic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19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OBD-II dongle (optional)</w:t>
            </w:r>
          </w:p>
        </w:tc>
        <w:tc>
          <w:tcPr>
            <w:tcW w:type="dxa" w:w="30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Diagnostic trouble codes, warning lights</w:t>
            </w:r>
          </w:p>
        </w:tc>
        <w:tc>
          <w:tcPr>
            <w:tcW w:type="dxa" w:w="25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Per trip / periodic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19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EV telematics / OEM app</w:t>
            </w:r>
          </w:p>
        </w:tc>
        <w:tc>
          <w:tcPr>
            <w:tcW w:type="dxa" w:w="30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Battery health, charging pattern</w:t>
            </w:r>
          </w:p>
        </w:tc>
        <w:tc>
          <w:tcPr>
            <w:tcW w:type="dxa" w:w="25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Periodic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Identity</w:t>
            </w:r>
          </w:p>
        </w:tc>
        <w:tc>
          <w:tcPr>
            <w:tcW w:type="dxa" w:w="19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Vahan / RTO</w:t>
            </w:r>
          </w:p>
        </w:tc>
        <w:tc>
          <w:tcPr>
            <w:tcW w:type="dxa" w:w="30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Registration date, vehicle category</w:t>
            </w:r>
          </w:p>
        </w:tc>
        <w:tc>
          <w:tcPr>
            <w:tcW w:type="dxa" w:w="25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Onboarding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Baseline (existing)</w:t>
            </w:r>
          </w:p>
        </w:tc>
        <w:tc>
          <w:tcPr>
            <w:tcW w:type="dxa" w:w="19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Policy administration system</w:t>
            </w:r>
          </w:p>
        </w:tc>
        <w:tc>
          <w:tcPr>
            <w:tcW w:type="dxa" w:w="30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IDV, NCB, location, vehicle class</w:t>
            </w:r>
          </w:p>
        </w:tc>
        <w:tc>
          <w:tcPr>
            <w:tcW w:type="dxa" w:w="25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At renewal</w:t>
            </w:r>
          </w:p>
        </w:tc>
      </w:tr>
    </w:tbl>
    <w:p>
      <w:pPr>
        <w:spacing w:after="9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4.2 Ingestion Pipeline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Client apps and partner systems send data to an authenticated ingestion API, which publishes onto an event queue. A stream processor aggregates the raw events — across the usage and maintenance streams alike — into trip- and period-level summaries, and writes them to two places: a feature store, holding each policyholder's current Usage and Maintenance scores, and a raw data lake, holding the full event history for audits and future model retraining.</w:t>
      </w:r>
    </w:p>
    <w:p>
      <w:pPr>
        <w:spacing w:after="90"/>
      </w:pPr>
    </w:p>
    <w:p>
      <w:pPr>
        <w:pStyle w:val="Heading1"/>
        <w:pBdr>
          <w:bottom w:val="single" w:color="1B3A5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12438"/>
          <w:sz w:val="30"/>
          <w:szCs w:val="30"/>
        </w:rPr>
        <w:t xml:space="preserve">5. Verification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5.1 Data Verification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Declared vs. telemetry-derived mileage cross-check, to flag inconsistent self-reported mileage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OEM service-API records reconciled against self-uploaded receipts (OCR-extracted date, odometer, service type) where both exist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Recall status is pulled directly from the OEM recall database, never self-reported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5.2 Identity &amp; Policy Verification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KYC at onboarding (Aadhaar/PAN), standard for Indian insurance onboarding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Vehicle ownership verified against the RC and the Vahan database before a policy activates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5.3 Usage Consistency Verification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Declared usage type — private or commercial — is checked against the observed telematics pattern: trip timing, frequency, and regularity. A mismatch triggers a review prompt to the policyholder rather than an automatic penalty or claim denial, since the goal is accurate classification, not punishing an undeclared change in use.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5.4 Claims Verification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At FNOL, the claims module automatically pulls the vehicle's maintenance timeline and usage-consistency status as context for the handler. A claim citing mechanical failure is flagged for a second look if it contradicts a clean, recent service record, giving the handler a documented reference point instead of an ad hoc judgement call.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5.5 Score Explainability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Every change to a policyholder's Usage or Maintenance score is logged with the specific inputs that moved it, so both the policyholder and, if required, a regulator can see exactly why a premium changed — consistent with the explainability expectations already emerging under frameworks like the EU AI Act and the US NAIC model bulletin.</w:t>
      </w:r>
    </w:p>
    <w:p>
      <w:pPr>
        <w:spacing w:after="90"/>
      </w:pPr>
    </w:p>
    <w:p>
      <w:pPr>
        <w:pStyle w:val="Heading1"/>
        <w:pBdr>
          <w:bottom w:val="single" w:color="1B3A5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12438"/>
          <w:sz w:val="30"/>
          <w:szCs w:val="30"/>
        </w:rPr>
        <w:t xml:space="preserve">6. User Experience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6.1 Onboarding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Sign-up and KYC (Aadhaar/PAN)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Vehicle registration — RC upload or Vahan lookup, confirming vehicle identity, category, and registration date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Consent screen — explicit, DPDP Act-compliant opt-in for usage and maintenance tracking, with the standard fixed-pricing policy offered as the default alternative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Telematics activation — app-based tracking permission, or OBD dongle pairing if the policyholder chooses that route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Baseline quote — shown using today's static factors, since there's no usage or maintenance history yet</w:t>
      </w:r>
    </w:p>
    <w:p>
      <w:pPr>
        <w:spacing w:after="9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6.2 Dashboard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Current premium and its recent trend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Usage Score and Maintenance Score, each with a plain-language reason for its current value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Upcoming service reminder, tied to the manufacturer-recommended interval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Advisory banner for whatever's live — a due service, an open recall, or a usage-mismatch prompt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“What would improve my premium” — actionable nudges rather than just a number</w:t>
      </w:r>
    </w:p>
    <w:p>
      <w:pPr>
        <w:spacing w:after="9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6.3 Claims Experience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Report the incident — photo/video, location, description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AI-assisted damage estimate from the submitted images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Maintenance context attached automatically — shown to the policyholder for transparency, not hidden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Clean-history claims fast-track to straight-through processing; flagged claims route to a handler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Track status through to settlement — cashless at a network garage, or reimbursement</w:t>
      </w:r>
    </w:p>
    <w:p>
      <w:pPr>
        <w:spacing w:after="9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6.4 Key Screens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Home Dashboard</w:t>
            </w:r>
          </w:p>
        </w:tc>
        <w:tc>
          <w:tcPr>
            <w:tcW w:type="dxa" w:w="6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Premium, scores, and advisories at a glance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Score Breakdown</w:t>
            </w:r>
          </w:p>
        </w:tc>
        <w:tc>
          <w:tcPr>
            <w:tcW w:type="dxa" w:w="6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specific inputs behind the current Usage / Maintenance scores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Service Log</w:t>
            </w:r>
          </w:p>
        </w:tc>
        <w:tc>
          <w:tcPr>
            <w:tcW w:type="dxa" w:w="6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Full maintenance history, authorized-network and self-uploaded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Claims Tracker</w:t>
            </w:r>
          </w:p>
        </w:tc>
        <w:tc>
          <w:tcPr>
            <w:tcW w:type="dxa" w:w="6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Status of any open claim, from FNOL to settlement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Advisory Centre</w:t>
            </w:r>
          </w:p>
        </w:tc>
        <w:tc>
          <w:tcPr>
            <w:tcW w:type="dxa" w:w="6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Service, recall, and usage-consistency guidance in one place</w:t>
            </w:r>
          </w:p>
        </w:tc>
      </w:tr>
    </w:tbl>
    <w:p>
      <w:pPr>
        <w:spacing w:after="90"/>
      </w:pPr>
    </w:p>
    <w:p>
      <w:pPr>
        <w:pStyle w:val="Heading1"/>
        <w:pBdr>
          <w:bottom w:val="single" w:color="1B3A5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12438"/>
          <w:sz w:val="30"/>
          <w:szCs w:val="30"/>
        </w:rPr>
        <w:t xml:space="preserve">7. Implementation Plan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7.1 Build Approach — Agentic Development with Google Antigravity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plan below is written to be executed inside Google Antigravity 2.0, Google's agent-first development platform, rather than as a traditional sprint-by-sprint spec for individual developers to work through by hand.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Three things about how Antigravity works shape how the phases below are structured: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Subagents run in parallel but in isolation — two agents working on different services don't see each other's file changes unless explicitly routed through a shared contract. Each phase is split into module boundaries that match this: services with no shared files run as parallel subagents in the same phase; services with real dependencies are sequenced across phases instead.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Agents produce Artifacts — task lists, implementation plans, and verification evidence — as their unit of output. This document is written at the right granularity to seed those directly: each module in Section 2.1 and each phase below is a reasonable single-agent task.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Long-running work needs checkpoints — Managed Agent sessions have a bounded TTL, so multi-day phases are broken into sub-tasks small enough to complete, verify, and hand off within a session, rather than one open-ended run.</w:t>
      </w:r>
    </w:p>
    <w:p>
      <w:pPr>
        <w:spacing w:after="16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Practically: set up one Antigravity Project per phase, with one workspace per module inside it. Within a phase, launch independent modules as parallel subagents from the Manager view; sequence dependent ones — Pricing &amp; Policy after the Risk &amp; Scoring Engine exists, for example — as follow-on tasks in the same project.</w:t>
      </w:r>
    </w:p>
    <w:p>
      <w:pPr>
        <w:spacing w:after="9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7.2 Phased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76"/>
        <w:gridCol w:w="4350"/>
      </w:tblGrid>
      <w:tr>
        <w:trPr>
          <w:tblHeader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 &amp; key modules</w:t>
            </w:r>
          </w:p>
        </w:tc>
        <w:tc>
          <w:tcPr>
            <w:tcW w:type="dxa" w:w="43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 — Foundation</w:t>
            </w:r>
          </w:p>
        </w:tc>
        <w:tc>
          <w:tcPr>
            <w:tcW w:type="dxa" w:w="31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Monorepo scaffolding, GCP project and IAM baseline, CI/CD, Antigravity workspace setup, shared API contracts across all seven modules</w:t>
            </w:r>
          </w:p>
        </w:tc>
        <w:tc>
          <w:tcPr>
            <w:tcW w:type="dxa" w:w="43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Deployable skeleton for every service; nothing functional yet, but every later phase can run against it in parallel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 — Ingestion</w:t>
            </w:r>
          </w:p>
        </w:tc>
        <w:tc>
          <w:tcPr>
            <w:tcW w:type="dxa" w:w="31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Identity &amp; Consent, Telematics &amp; Usage, Maintenance &amp; Vehicle Health — built as three parallel subagents against synthetic data</w:t>
            </w:r>
          </w:p>
        </w:tc>
        <w:tc>
          <w:tcPr>
            <w:tcW w:type="dxa" w:w="43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Populated feature store; three independent ingestion pipelines running end-to-end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 — Scoring</w:t>
            </w:r>
          </w:p>
        </w:tc>
        <w:tc>
          <w:tcPr>
            <w:tcW w:type="dxa" w:w="31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Risk &amp; Scoring Engine (rule-based v1), Pricing &amp; Policy</w:t>
            </w:r>
          </w:p>
        </w:tc>
        <w:tc>
          <w:tcPr>
            <w:tcW w:type="dxa" w:w="43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Working “usage + maintenance data in, dynamic OD premium out” flow — the core concept, demoable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 — Claims &amp; UX</w:t>
            </w:r>
          </w:p>
        </w:tc>
        <w:tc>
          <w:tcPr>
            <w:tcW w:type="dxa" w:w="31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Claims &amp; Verification, Notification &amp; Advisory, full mobile app — onboarding, dashboard, claims flow</w:t>
            </w:r>
          </w:p>
        </w:tc>
        <w:tc>
          <w:tcPr>
            <w:tcW w:type="dxa" w:w="43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Complete, demoable capstone product end-to-end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 — Hardening</w:t>
            </w:r>
          </w:p>
        </w:tc>
        <w:tc>
          <w:tcPr>
            <w:tcW w:type="dxa" w:w="31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Real OEM/service-partner APIs, live telematics, scoring migrated to Vertex AI, Guidewire PolicyCenter/ClaimCenter integration, security and compliance hardening</w:t>
            </w:r>
          </w:p>
        </w:tc>
        <w:tc>
          <w:tcPr>
            <w:tcW w:type="dxa" w:w="43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Pilot-ready 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 — Scale</w:t>
            </w:r>
          </w:p>
        </w:tc>
        <w:tc>
          <w:tcPr>
            <w:tcW w:type="dxa" w:w="317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Continuous (not just renewal-time) repricing, fully automated claims triage, multi-region scale</w:t>
            </w:r>
          </w:p>
        </w:tc>
        <w:tc>
          <w:tcPr>
            <w:tcW w:type="dxa" w:w="435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Production system</w:t>
            </w:r>
          </w:p>
        </w:tc>
      </w:tr>
    </w:tbl>
    <w:p>
      <w:pPr>
        <w:spacing w:after="90"/>
      </w:pPr>
    </w:p>
    <w:p>
      <w:pPr>
        <w:pStyle w:val="Heading1"/>
        <w:pBdr>
          <w:bottom w:val="single" w:color="1B3A5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12438"/>
          <w:sz w:val="30"/>
          <w:szCs w:val="30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IRDAI — third-party premium schedule, No Claim Bonus slab, and IDV depreciation schedule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Google Antigravity — official documentation and Google I/O 2026 platform announcement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2026-09-20T09:43:48.414Z</dcterms:created>
  <dcterms:modified xsi:type="dcterms:W3CDTF">2026-09-20T09:43:48.423Z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