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jc w:val="center"/>
      </w:pPr>
      <w:r>
        <w:rPr>
          <w:rFonts w:ascii="Calibri" w:cs="Calibri" w:eastAsia="Calibri" w:hAnsi="Calibri"/>
          <w:b/>
          <w:bCs/>
          <w:color w:val="112438"/>
          <w:sz w:val="42"/>
          <w:szCs w:val="42"/>
        </w:rPr>
        <w:t xml:space="preserve">Pay As You Maintain</w:t>
      </w:r>
    </w:p>
    <w:p>
      <w:pPr>
        <w:spacing w:after="220"/>
        <w:jc w:val="center"/>
      </w:pPr>
      <w:r>
        <w:rPr>
          <w:rFonts w:ascii="Calibri" w:cs="Calibri" w:eastAsia="Calibri" w:hAnsi="Calibri"/>
          <w:color w:val="2E6F8E"/>
          <w:sz w:val="23"/>
          <w:szCs w:val="23"/>
        </w:rPr>
        <w:t xml:space="preserve">Revised Ideation &amp; Feasibility Assessment — In Response to Guidewire Review</w:t>
      </w:r>
    </w:p>
    <w:p>
      <w:pPr>
        <w:spacing w:after="30"/>
        <w:jc w:val="center"/>
      </w:pPr>
      <w:r>
        <w:rPr>
          <w:rFonts w:ascii="Calibri" w:cs="Calibri" w:eastAsia="Calibri" w:hAnsi="Calibri"/>
          <w:i/>
          <w:iCs/>
          <w:color w:val="5B6472"/>
          <w:sz w:val="20"/>
          <w:szCs w:val="20"/>
        </w:rPr>
        <w:t xml:space="preserve">Honors Program in Financial Technology — Capstone Project</w:t>
      </w:r>
    </w:p>
    <w:p>
      <w:pPr>
        <w:pBdr>
          <w:bottom w:val="single" w:color="1B3A5C" w:sz="10" w:space="8"/>
        </w:pBdr>
        <w:spacing w:after="280"/>
        <w:jc w:val="center"/>
      </w:pPr>
      <w:r>
        <w:rPr>
          <w:rFonts w:ascii="Calibri" w:cs="Calibri" w:eastAsia="Calibri" w:hAnsi="Calibri"/>
          <w:color w:val="5B6472"/>
          <w:sz w:val="20"/>
          <w:szCs w:val="20"/>
        </w:rPr>
        <w:t xml:space="preserve">September 2026</w:t>
      </w:r>
    </w:p>
    <w:p>
      <w:pPr>
        <w:pStyle w:val="Heading1"/>
        <w:pBdr>
          <w:bottom w:val="single" w:color="1B3A5C" w:sz="6" w:space="4"/>
        </w:pBdr>
        <w:spacing w:after="140" w:before="280"/>
      </w:pPr>
      <w:r>
        <w:rPr>
          <w:rFonts w:ascii="Calibri" w:cs="Calibri" w:eastAsia="Calibri" w:hAnsi="Calibri"/>
          <w:b/>
          <w:bCs/>
          <w:color w:val="112438"/>
          <w:sz w:val="30"/>
          <w:szCs w:val="30"/>
        </w:rPr>
        <w:t xml:space="preserve">1. What Guidewire's Review Actually Said</w:t>
      </w:r>
    </w:p>
    <w:p>
      <w:pPr>
        <w:spacing w:after="160" w:line="288"/>
      </w:pPr>
      <w:r>
        <w:rPr>
          <w:rFonts w:ascii="Calibri" w:cs="Calibri" w:eastAsia="Calibri" w:hAnsi="Calibri"/>
          <w:b w:val="false"/>
          <w:bCs w:val="false"/>
          <w:i w:val="false"/>
          <w:iCs w:val="false"/>
          <w:color w:val="1F2937"/>
          <w:sz w:val="21"/>
          <w:szCs w:val="21"/>
        </w:rPr>
        <w:t xml:space="preserve">Guidewire's reviewers called the concept innovative, Guidewire-relevant, and strong on loss-prevention and customer-engagement potential. They also raised two specific problems with how the idea was framed, plus a set of named risks. Both framing problems are addressed directly in this document, not softened.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C9D2DC" w:sz="4"/>
              <w:left w:val="single" w:color="C9D2DC" w:sz="4"/>
              <w:bottom w:val="single" w:color="C9D2DC" w:sz="4"/>
              <w:right w:val="single" w:color="C9D2DC" w:sz="4"/>
            </w:tcBorders>
            <w:shd w:fill="1B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What was flagged</w:t>
            </w:r>
          </w:p>
        </w:tc>
        <w:tc>
          <w:tcPr>
            <w:tcW w:type="dxa" w:w="5926"/>
            <w:tcBorders>
              <w:top w:val="single" w:color="C9D2DC" w:sz="4"/>
              <w:left w:val="single" w:color="C9D2DC" w:sz="4"/>
              <w:bottom w:val="single" w:color="C9D2DC" w:sz="4"/>
              <w:right w:val="single" w:color="C9D2DC" w:sz="4"/>
            </w:tcBorders>
            <w:shd w:fill="1B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What it actually means</w:t>
            </w:r>
          </w:p>
        </w:tc>
      </w:tr>
      <w:tr>
        <w:trPr>
          <w:cantSplit/>
        </w:trPr>
        <w:tc>
          <w:tcPr>
            <w:tcW w:type="dxa" w:w="31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Unsupported claims about the complete UBI partner landscape</w:t>
            </w:r>
          </w:p>
        </w:tc>
        <w:tc>
          <w:tcPr>
            <w:tcW w:type="dxa" w:w="5926"/>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The earlier Guidewire Integration Strategy stated, without qualification, that none of Guidewire's UBI partners (CMT, TrueMotion, IMS, OCTO) price on maintenance. That claim was built entirely from public marketing material and Marketplace listings — real evidence, but not proof of a complete picture. Section 2 corrects this.</w:t>
            </w:r>
          </w:p>
        </w:tc>
      </w:tr>
      <w:tr>
        <w:trPr>
          <w:cantSplit/>
        </w:trPr>
        <w:tc>
          <w:tcPr>
            <w:tcW w:type="dxa" w:w="31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Assumes maintenance data can directly support pricing</w:t>
            </w:r>
          </w:p>
        </w:tc>
        <w:tc>
          <w:tcPr>
            <w:tcW w:type="dxa" w:w="5926"/>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Nothing built so far has demonstrated that maintenance adherence actually correlates with claims frequency or severity for this population — it's a plausible, mechanistically sound hypothesis, not a validated one. Real actuarial validation requires real loss data, which a capstone project cannot produce. Section 3 reframes the whole product around this honestly.</w:t>
            </w:r>
          </w:p>
        </w:tc>
      </w:tr>
    </w:tbl>
    <w:p>
      <w:pPr>
        <w:spacing w:after="90"/>
      </w:pPr>
    </w:p>
    <w:p>
      <w:pPr>
        <w:pStyle w:val="Heading1"/>
        <w:pBdr>
          <w:bottom w:val="single" w:color="1B3A5C" w:sz="6" w:space="4"/>
        </w:pBdr>
        <w:spacing w:after="140" w:before="280"/>
      </w:pPr>
      <w:r>
        <w:rPr>
          <w:rFonts w:ascii="Calibri" w:cs="Calibri" w:eastAsia="Calibri" w:hAnsi="Calibri"/>
          <w:b/>
          <w:bCs/>
          <w:color w:val="112438"/>
          <w:sz w:val="30"/>
          <w:szCs w:val="30"/>
        </w:rPr>
        <w:t xml:space="preserve">2. Correcting the Partner-Landscape Claim</w:t>
      </w:r>
    </w:p>
    <w:p>
      <w:pPr>
        <w:spacing w:after="160" w:line="288"/>
      </w:pPr>
      <w:r>
        <w:rPr>
          <w:rFonts w:ascii="Calibri" w:cs="Calibri" w:eastAsia="Calibri" w:hAnsi="Calibri"/>
          <w:b w:val="false"/>
          <w:bCs w:val="false"/>
          <w:i w:val="false"/>
          <w:iCs w:val="false"/>
          <w:color w:val="1F2937"/>
          <w:sz w:val="21"/>
          <w:szCs w:val="21"/>
        </w:rPr>
        <w:t xml:space="preserve">The original claim: “none of Guidewire's current UBI partners touch maintenance.” The honest version: based on public marketing materials, Marketplace listings, and press releases, Guidewire's current UBI integrations are marketed around driving behaviour and mileage, and we found no public documentation of a maintenance- or health-based rating capability among them. That is evidence of what's publicly marketed, not proof of the complete internal partner landscape — partners can have unannounced capabilities, and Marketplace listings don't necessarily capture everything a partnership covers.</w:t>
      </w:r>
    </w:p>
    <w:p>
      <w:pPr>
        <w:spacing w:after="160" w:line="288"/>
      </w:pPr>
      <w:r>
        <w:rPr>
          <w:rFonts w:ascii="Calibri" w:cs="Calibri" w:eastAsia="Calibri" w:hAnsi="Calibri"/>
          <w:b w:val="false"/>
          <w:bCs w:val="false"/>
          <w:i/>
          <w:iCs/>
          <w:color w:val="1F2937"/>
          <w:sz w:val="21"/>
          <w:szCs w:val="21"/>
        </w:rPr>
        <w:t xml:space="preserve">This is a one-line fix with a real consequence: the differentiation claim now needs direct confirmation, not inference from search results.</w:t>
      </w:r>
    </w:p>
    <w:p>
      <w:pPr>
        <w:pStyle w:val="ListParagraph"/>
        <w:numPr>
          <w:ilvl w:val="0"/>
          <w:numId w:val="2"/>
        </w:numPr>
        <w:spacing w:after="90" w:line="276"/>
      </w:pPr>
      <w:r>
        <w:rPr>
          <w:rFonts w:ascii="Calibri" w:cs="Calibri" w:eastAsia="Calibri" w:hAnsi="Calibri"/>
          <w:color w:val="1F2937"/>
          <w:sz w:val="21"/>
          <w:szCs w:val="21"/>
        </w:rPr>
        <w:t xml:space="preserve">Any future version of the Guidewire Integration Strategy document should state this as “no publicly documented capability found”, not “none of them do this”</w:t>
      </w:r>
    </w:p>
    <w:p>
      <w:pPr>
        <w:pStyle w:val="ListParagraph"/>
        <w:numPr>
          <w:ilvl w:val="0"/>
          <w:numId w:val="2"/>
        </w:numPr>
        <w:spacing w:after="90" w:line="276"/>
      </w:pPr>
      <w:r>
        <w:rPr>
          <w:rFonts w:ascii="Calibri" w:cs="Calibri" w:eastAsia="Calibri" w:hAnsi="Calibri"/>
          <w:color w:val="1F2937"/>
          <w:sz w:val="21"/>
          <w:szCs w:val="21"/>
        </w:rPr>
        <w:t xml:space="preserve">The next concrete step is a direct question to the Guidewire PartnerConnect or product team: has any current or past UBI partner integration included maintenance or vehicle-health signals, publicly documented or not?</w:t>
      </w:r>
    </w:p>
    <w:p>
      <w:pPr>
        <w:spacing w:after="90"/>
      </w:pPr>
    </w:p>
    <w:p>
      <w:pPr>
        <w:pStyle w:val="Heading1"/>
        <w:pBdr>
          <w:bottom w:val="single" w:color="1B3A5C" w:sz="6" w:space="4"/>
        </w:pBdr>
        <w:spacing w:after="140" w:before="280"/>
      </w:pPr>
      <w:r>
        <w:rPr>
          <w:rFonts w:ascii="Calibri" w:cs="Calibri" w:eastAsia="Calibri" w:hAnsi="Calibri"/>
          <w:b/>
          <w:bCs/>
          <w:color w:val="112438"/>
          <w:sz w:val="30"/>
          <w:szCs w:val="30"/>
        </w:rPr>
        <w:t xml:space="preserve">3. Reframing the Core Idea: From Pricing Engine to Validated Pathway</w:t>
      </w:r>
    </w:p>
    <w:p>
      <w:pPr>
        <w:spacing w:after="160" w:line="288"/>
      </w:pPr>
      <w:r>
        <w:rPr>
          <w:rFonts w:ascii="Calibri" w:cs="Calibri" w:eastAsia="Calibri" w:hAnsi="Calibri"/>
          <w:b w:val="false"/>
          <w:bCs w:val="false"/>
          <w:i w:val="false"/>
          <w:iCs w:val="false"/>
          <w:color w:val="1F2937"/>
          <w:sz w:val="21"/>
          <w:szCs w:val="21"/>
        </w:rPr>
        <w:t xml:space="preserve">This is the more important fix, and it changes the product's positioning, not just its wording. The mechanism behind “poor maintenance increases risk” is mechanistically plausible — worn brakes extend stopping distance, degraded tyres reduce traction — and there is adjacent evidence it matters (Verisk's Auto History Score prices on vehicle condition signals in the US; commercial fleet insurers already factor maintenance compliance into underwriting). None of that is the same as having proven the correlation for this specific scoring model, on this population, with real claims data. Pretending otherwise is exactly the gap Guidewire flagged.</w:t>
      </w:r>
    </w:p>
    <w:p>
      <w:pPr>
        <w:spacing w:after="160" w:line="288"/>
      </w:pPr>
      <w:r>
        <w:rPr>
          <w:rFonts w:ascii="Calibri" w:cs="Calibri" w:eastAsia="Calibri" w:hAnsi="Calibri"/>
          <w:b w:val="false"/>
          <w:bCs w:val="false"/>
          <w:i w:val="false"/>
          <w:iCs w:val="false"/>
          <w:color w:val="1F2937"/>
          <w:sz w:val="21"/>
          <w:szCs w:val="21"/>
        </w:rPr>
        <w:t xml:space="preserve">The fix is a two-phase product, not a weaker one:</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700"/>
        <w:gridCol w:w="3613"/>
        <w:gridCol w:w="3613"/>
      </w:tblGrid>
      <w:tr>
        <w:trPr>
          <w:tblHeader/>
        </w:trPr>
        <w:tc>
          <w:tcPr>
            <w:tcW w:type="dxa" w:w="1700"/>
            <w:tcBorders>
              <w:top w:val="single" w:color="C9D2DC" w:sz="4"/>
              <w:left w:val="single" w:color="C9D2DC" w:sz="4"/>
              <w:bottom w:val="single" w:color="C9D2DC" w:sz="4"/>
              <w:right w:val="single" w:color="C9D2DC" w:sz="4"/>
            </w:tcBorders>
            <w:shd w:fill="1B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
            </w:r>
          </w:p>
        </w:tc>
        <w:tc>
          <w:tcPr>
            <w:tcW w:type="dxa" w:w="3613"/>
            <w:tcBorders>
              <w:top w:val="single" w:color="C9D2DC" w:sz="4"/>
              <w:left w:val="single" w:color="C9D2DC" w:sz="4"/>
              <w:bottom w:val="single" w:color="C9D2DC" w:sz="4"/>
              <w:right w:val="single" w:color="C9D2DC" w:sz="4"/>
            </w:tcBorders>
            <w:shd w:fill="1B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Phase A — Advisory (now)</w:t>
            </w:r>
          </w:p>
        </w:tc>
        <w:tc>
          <w:tcPr>
            <w:tcW w:type="dxa" w:w="3613"/>
            <w:tcBorders>
              <w:top w:val="single" w:color="C9D2DC" w:sz="4"/>
              <w:left w:val="single" w:color="C9D2DC" w:sz="4"/>
              <w:bottom w:val="single" w:color="C9D2DC" w:sz="4"/>
              <w:right w:val="single" w:color="C9D2DC" w:sz="4"/>
            </w:tcBorders>
            <w:shd w:fill="1B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Phase B — Pricing (future)</w:t>
            </w:r>
          </w:p>
        </w:tc>
      </w:tr>
      <w:tr>
        <w:trPr>
          <w:cantSplit/>
        </w:trPr>
        <w:tc>
          <w:tcPr>
            <w:tcW w:type="dxa" w:w="17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What it does</w:t>
            </w:r>
          </w:p>
        </w:tc>
        <w:tc>
          <w:tcPr>
            <w:tcW w:type="dxa" w:w="361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Produces an illustrative vehicle-health score and a renewal recommendation — informational, not binding</w:t>
            </w:r>
          </w:p>
        </w:tc>
        <w:tc>
          <w:tcPr>
            <w:tcW w:type="dxa" w:w="361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Uses the same score as an actual rating factor in the Dynamic Risk Multiplier</w:t>
            </w:r>
          </w:p>
        </w:tc>
      </w:tr>
      <w:tr>
        <w:trPr>
          <w:cantSplit/>
        </w:trPr>
        <w:tc>
          <w:tcPr>
            <w:tcW w:type="dxa" w:w="17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Regulatory posture</w:t>
            </w:r>
          </w:p>
        </w:tc>
        <w:tc>
          <w:tcPr>
            <w:tcW w:type="dxa" w:w="361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No IRDAI filing required — it doesn't change a premium</w:t>
            </w:r>
          </w:p>
        </w:tc>
        <w:tc>
          <w:tcPr>
            <w:tcW w:type="dxa" w:w="361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Requires an IRDAI file-and-use submission with actuarial backing</w:t>
            </w:r>
          </w:p>
        </w:tc>
      </w:tr>
      <w:tr>
        <w:trPr>
          <w:cantSplit/>
        </w:trPr>
        <w:tc>
          <w:tcPr>
            <w:tcW w:type="dxa" w:w="17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What validates it</w:t>
            </w:r>
          </w:p>
        </w:tc>
        <w:tc>
          <w:tcPr>
            <w:tcW w:type="dxa" w:w="361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The data pipeline itself: real maintenance and claims data accumulate during Phase A</w:t>
            </w:r>
          </w:p>
        </w:tc>
        <w:tc>
          <w:tcPr>
            <w:tcW w:type="dxa" w:w="361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Statistically significant correlation between the Phase A score and actual claims, measured from Phase A's own data</w:t>
            </w:r>
          </w:p>
        </w:tc>
      </w:tr>
      <w:tr>
        <w:trPr>
          <w:cantSplit/>
        </w:trPr>
        <w:tc>
          <w:tcPr>
            <w:tcW w:type="dxa" w:w="17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Why an insurer adopts it</w:t>
            </w:r>
          </w:p>
        </w:tc>
        <w:tc>
          <w:tcPr>
            <w:tcW w:type="dxa" w:w="361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Zero actuarial risk, immediate loss-prevention and engagement value — exactly what the review called the concept's strength</w:t>
            </w:r>
          </w:p>
        </w:tc>
        <w:tc>
          <w:tcPr>
            <w:tcW w:type="dxa" w:w="361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Only pursued once Phase A has produced the evidence Phase B needs to exist</w:t>
            </w:r>
          </w:p>
        </w:tc>
      </w:tr>
    </w:tbl>
    <w:p>
      <w:pPr>
        <w:spacing w:after="160" w:line="288"/>
      </w:pPr>
      <w:r>
        <w:rPr>
          <w:rFonts w:ascii="Calibri" w:cs="Calibri" w:eastAsia="Calibri" w:hAnsi="Calibri"/>
          <w:b w:val="false"/>
          <w:bCs w:val="false"/>
          <w:i w:val="false"/>
          <w:iCs w:val="false"/>
          <w:color w:val="1F2937"/>
          <w:sz w:val="21"/>
          <w:szCs w:val="21"/>
        </w:rPr>
        <w:t xml:space="preserve">This isn't a downgrade — it's what makes the product adoptable without first solving a problem a capstone project was never going to solve on its own. Section 4 of the companion Vehicle Health Scoring Specification builds exactly the Phase A deliverable Guidewire asked for: a fully transparent, deterministic score and recommendation, tested against defined scenarios, with no pricing claim attached to it yet.</w:t>
      </w:r>
    </w:p>
    <w:p>
      <w:pPr>
        <w:spacing w:after="90"/>
      </w:pPr>
    </w:p>
    <w:p>
      <w:pPr>
        <w:pStyle w:val="Heading1"/>
        <w:pBdr>
          <w:bottom w:val="single" w:color="1B3A5C" w:sz="6" w:space="4"/>
        </w:pBdr>
        <w:spacing w:after="140" w:before="280"/>
      </w:pPr>
      <w:r>
        <w:rPr>
          <w:rFonts w:ascii="Calibri" w:cs="Calibri" w:eastAsia="Calibri" w:hAnsi="Calibri"/>
          <w:b/>
          <w:bCs/>
          <w:color w:val="112438"/>
          <w:sz w:val="30"/>
          <w:szCs w:val="30"/>
        </w:rPr>
        <w:t xml:space="preserve">4. Feasibility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6726"/>
      </w:tblGrid>
      <w:tr>
        <w:trPr>
          <w:tblHeader/>
        </w:trPr>
        <w:tc>
          <w:tcPr>
            <w:tcW w:type="dxa" w:w="2200"/>
            <w:tcBorders>
              <w:top w:val="single" w:color="C9D2DC" w:sz="4"/>
              <w:left w:val="single" w:color="C9D2DC" w:sz="4"/>
              <w:bottom w:val="single" w:color="C9D2DC" w:sz="4"/>
              <w:right w:val="single" w:color="C9D2DC" w:sz="4"/>
            </w:tcBorders>
            <w:shd w:fill="1B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Dimension</w:t>
            </w:r>
          </w:p>
        </w:tc>
        <w:tc>
          <w:tcPr>
            <w:tcW w:type="dxa" w:w="6726"/>
            <w:tcBorders>
              <w:top w:val="single" w:color="C9D2DC" w:sz="4"/>
              <w:left w:val="single" w:color="C9D2DC" w:sz="4"/>
              <w:bottom w:val="single" w:color="C9D2DC" w:sz="4"/>
              <w:right w:val="single" w:color="C9D2DC" w:sz="4"/>
            </w:tcBorders>
            <w:shd w:fill="1B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Assessment</w:t>
            </w:r>
          </w:p>
        </w:tc>
      </w:tr>
      <w:tr>
        <w:trPr>
          <w:cantSplit/>
        </w:trPr>
        <w:tc>
          <w:tcPr>
            <w:tcW w:type="dxa" w:w="22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Technical</w:t>
            </w:r>
          </w:p>
        </w:tc>
        <w:tc>
          <w:tcPr>
            <w:tcW w:type="dxa" w:w="6726"/>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Strong. Seven of eight planned services are already built and passing tests — identity-consent, telematics-usage-ingestion, maintenance-vehicle-health-ingestion, risk-scoring-engine, pricing-policy, claims-verification, and notification-advisory. The remaining gap is the mobile app, in progress.</w:t>
            </w:r>
          </w:p>
        </w:tc>
      </w:tr>
      <w:tr>
        <w:trPr>
          <w:cantSplit/>
        </w:trPr>
        <w:tc>
          <w:tcPr>
            <w:tcW w:type="dxa" w:w="22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Data (Phase A)</w:t>
            </w:r>
          </w:p>
        </w:tc>
        <w:tc>
          <w:tcPr>
            <w:tcW w:type="dxa" w:w="6726"/>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Feasible with synthetic data now; real OEM/service-network data access is a genuine, non-trivial business-development effort, not a software problem — see Dependencies.</w:t>
            </w:r>
          </w:p>
        </w:tc>
      </w:tr>
      <w:tr>
        <w:trPr>
          <w:cantSplit/>
        </w:trPr>
        <w:tc>
          <w:tcPr>
            <w:tcW w:type="dxa" w:w="22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Data (Phase B)</w:t>
            </w:r>
          </w:p>
        </w:tc>
        <w:tc>
          <w:tcPr>
            <w:tcW w:type="dxa" w:w="6726"/>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Not yet feasible. A real actuarial validation needs a real claims book correlated with real maintenance data over time, which doesn't exist until Phase A has run for a meaningful period.</w:t>
            </w:r>
          </w:p>
        </w:tc>
      </w:tr>
      <w:tr>
        <w:trPr>
          <w:cantSplit/>
        </w:trPr>
        <w:tc>
          <w:tcPr>
            <w:tcW w:type="dxa" w:w="22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Regulatory</w:t>
            </w:r>
          </w:p>
        </w:tc>
        <w:tc>
          <w:tcPr>
            <w:tcW w:type="dxa" w:w="6726"/>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Feasible for Phase A (no filing needed). Phase B feasibility depends entirely on what Phase A's data shows — genuinely unknown until then, and said so rather than assumed.</w:t>
            </w:r>
          </w:p>
        </w:tc>
      </w:tr>
      <w:tr>
        <w:trPr>
          <w:cantSplit/>
        </w:trPr>
        <w:tc>
          <w:tcPr>
            <w:tcW w:type="dxa" w:w="22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Organizational</w:t>
            </w:r>
          </w:p>
        </w:tc>
        <w:tc>
          <w:tcPr>
            <w:tcW w:type="dxa" w:w="6726"/>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Depends on an actual Guidewire PartnerConnect relationship for Marketplace publication, separate from the capstone sponsorship already in place.</w:t>
            </w:r>
          </w:p>
        </w:tc>
      </w:tr>
    </w:tbl>
    <w:p>
      <w:pPr>
        <w:spacing w:after="90"/>
      </w:pPr>
    </w:p>
    <w:p>
      <w:pPr>
        <w:pStyle w:val="Heading1"/>
        <w:pBdr>
          <w:bottom w:val="single" w:color="1B3A5C" w:sz="6" w:space="4"/>
        </w:pBdr>
        <w:spacing w:after="140" w:before="280"/>
      </w:pPr>
      <w:r>
        <w:rPr>
          <w:rFonts w:ascii="Calibri" w:cs="Calibri" w:eastAsia="Calibri" w:hAnsi="Calibri"/>
          <w:b/>
          <w:bCs/>
          <w:color w:val="112438"/>
          <w:sz w:val="30"/>
          <w:szCs w:val="30"/>
        </w:rPr>
        <w:t xml:space="preserve">5. Dependencies</w:t>
      </w:r>
    </w:p>
    <w:p>
      <w:pPr>
        <w:pStyle w:val="ListParagraph"/>
        <w:numPr>
          <w:ilvl w:val="0"/>
          <w:numId w:val="2"/>
        </w:numPr>
        <w:spacing w:after="90" w:line="276"/>
      </w:pPr>
      <w:r>
        <w:rPr>
          <w:rFonts w:ascii="Calibri" w:cs="Calibri" w:eastAsia="Calibri" w:hAnsi="Calibri"/>
          <w:color w:val="1F2937"/>
          <w:sz w:val="21"/>
          <w:szCs w:val="21"/>
        </w:rPr>
        <w:t xml:space="preserve">OEM or service-network data-sharing partnerships — external and slow; no amount of engineering substitutes for an actual data-access agreement</w:t>
      </w:r>
    </w:p>
    <w:p>
      <w:pPr>
        <w:pStyle w:val="ListParagraph"/>
        <w:numPr>
          <w:ilvl w:val="0"/>
          <w:numId w:val="2"/>
        </w:numPr>
        <w:spacing w:after="90" w:line="276"/>
      </w:pPr>
      <w:r>
        <w:rPr>
          <w:rFonts w:ascii="Calibri" w:cs="Calibri" w:eastAsia="Calibri" w:hAnsi="Calibri"/>
          <w:color w:val="1F2937"/>
          <w:sz w:val="21"/>
          <w:szCs w:val="21"/>
        </w:rPr>
        <w:t xml:space="preserve">Policyholder opt-in at meaningful volume — Phase A's entire value depends on real users actually consenting to maintenance tracking, not just building the consent flow</w:t>
      </w:r>
    </w:p>
    <w:p>
      <w:pPr>
        <w:pStyle w:val="ListParagraph"/>
        <w:numPr>
          <w:ilvl w:val="0"/>
          <w:numId w:val="2"/>
        </w:numPr>
        <w:spacing w:after="90" w:line="276"/>
      </w:pPr>
      <w:r>
        <w:rPr>
          <w:rFonts w:ascii="Calibri" w:cs="Calibri" w:eastAsia="Calibri" w:hAnsi="Calibri"/>
          <w:color w:val="1F2937"/>
          <w:sz w:val="21"/>
          <w:szCs w:val="21"/>
        </w:rPr>
        <w:t xml:space="preserve">A real Guidewire PartnerConnect / Insurtech Vanguard relationship, to get from “working prototype” to “published Marketplace accelerator”</w:t>
      </w:r>
    </w:p>
    <w:p>
      <w:pPr>
        <w:pStyle w:val="ListParagraph"/>
        <w:numPr>
          <w:ilvl w:val="0"/>
          <w:numId w:val="2"/>
        </w:numPr>
        <w:spacing w:after="90" w:line="276"/>
      </w:pPr>
      <w:r>
        <w:rPr>
          <w:rFonts w:ascii="Calibri" w:cs="Calibri" w:eastAsia="Calibri" w:hAnsi="Calibri"/>
          <w:color w:val="1F2937"/>
          <w:sz w:val="21"/>
          <w:szCs w:val="21"/>
        </w:rPr>
        <w:t xml:space="preserve">Time — Phase B cannot start until Phase A has run long enough to accumulate statistically meaningful claims correlation; this is measured in months to years, not sprints</w:t>
      </w:r>
    </w:p>
    <w:p>
      <w:pPr>
        <w:spacing w:after="90"/>
      </w:pPr>
    </w:p>
    <w:p>
      <w:pPr>
        <w:pStyle w:val="Heading1"/>
        <w:pBdr>
          <w:bottom w:val="single" w:color="1B3A5C" w:sz="6" w:space="4"/>
        </w:pBdr>
        <w:spacing w:after="140" w:before="280"/>
      </w:pPr>
      <w:r>
        <w:rPr>
          <w:rFonts w:ascii="Calibri" w:cs="Calibri" w:eastAsia="Calibri" w:hAnsi="Calibri"/>
          <w:b/>
          <w:bCs/>
          <w:color w:val="112438"/>
          <w:sz w:val="30"/>
          <w:szCs w:val="30"/>
        </w:rPr>
        <w:t xml:space="preserve">6.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63"/>
        <w:gridCol w:w="3463"/>
      </w:tblGrid>
      <w:tr>
        <w:trPr>
          <w:tblHeader/>
        </w:trPr>
        <w:tc>
          <w:tcPr>
            <w:tcW w:type="dxa" w:w="2100"/>
            <w:tcBorders>
              <w:top w:val="single" w:color="C9D2DC" w:sz="4"/>
              <w:left w:val="single" w:color="C9D2DC" w:sz="4"/>
              <w:bottom w:val="single" w:color="C9D2DC" w:sz="4"/>
              <w:right w:val="single" w:color="C9D2DC" w:sz="4"/>
            </w:tcBorders>
            <w:shd w:fill="1B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Risk</w:t>
            </w:r>
          </w:p>
        </w:tc>
        <w:tc>
          <w:tcPr>
            <w:tcW w:type="dxa" w:w="3463"/>
            <w:tcBorders>
              <w:top w:val="single" w:color="C9D2DC" w:sz="4"/>
              <w:left w:val="single" w:color="C9D2DC" w:sz="4"/>
              <w:bottom w:val="single" w:color="C9D2DC" w:sz="4"/>
              <w:right w:val="single" w:color="C9D2DC" w:sz="4"/>
            </w:tcBorders>
            <w:shd w:fill="1B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Why it matters</w:t>
            </w:r>
          </w:p>
        </w:tc>
        <w:tc>
          <w:tcPr>
            <w:tcW w:type="dxa" w:w="3463"/>
            <w:tcBorders>
              <w:top w:val="single" w:color="C9D2DC" w:sz="4"/>
              <w:left w:val="single" w:color="C9D2DC" w:sz="4"/>
              <w:bottom w:val="single" w:color="C9D2DC" w:sz="4"/>
              <w:right w:val="single" w:color="C9D2DC" w:sz="4"/>
            </w:tcBorders>
            <w:shd w:fill="1B3A5C"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Mitigation</w:t>
            </w:r>
          </w:p>
        </w:tc>
      </w:tr>
      <w:tr>
        <w:trPr>
          <w:cantSplit/>
        </w:trPr>
        <w:tc>
          <w:tcPr>
            <w:tcW w:type="dxa" w:w="21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Tampering</w:t>
            </w:r>
          </w:p>
        </w:tc>
        <w:tc>
          <w:tcPr>
            <w:tcW w:type="dxa" w:w="346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Self-reported maintenance data (photos, typed entries) can be fabricated or altered; a scoring model that trusts it blindly is gameable</w:t>
            </w:r>
          </w:p>
        </w:tc>
        <w:tc>
          <w:tcPr>
            <w:tcW w:type="dxa" w:w="346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Source-confidence weighting built directly into the scoring model (Section 4.2 of the companion spec) — self-reported-only histories are capped below what a verified history can achieve, and conflicting records are flagged rather than silently resolved</w:t>
            </w:r>
          </w:p>
        </w:tc>
      </w:tr>
      <w:tr>
        <w:trPr>
          <w:cantSplit/>
        </w:trPr>
        <w:tc>
          <w:tcPr>
            <w:tcW w:type="dxa" w:w="21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Fairness</w:t>
            </w:r>
          </w:p>
        </w:tc>
        <w:tc>
          <w:tcPr>
            <w:tcW w:type="dxa" w:w="346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Owners without access to authorized service networks — rural or budget-vehicle owners — could be penalized for a structural access gap, not for poor maintenance</w:t>
            </w:r>
          </w:p>
        </w:tc>
        <w:tc>
          <w:tcPr>
            <w:tcW w:type="dxa" w:w="346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The self-upload path exists specifically for this; absence of authorized-network access alone is never penalized, only absence of any service record at all</w:t>
            </w:r>
          </w:p>
        </w:tc>
      </w:tr>
      <w:tr>
        <w:trPr>
          <w:cantSplit/>
        </w:trPr>
        <w:tc>
          <w:tcPr>
            <w:tcW w:type="dxa" w:w="21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Actuarial validation</w:t>
            </w:r>
          </w:p>
        </w:tc>
        <w:tc>
          <w:tcPr>
            <w:tcW w:type="dxa" w:w="346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Addressed directly in Section 3 — no pricing claim is made until Phase A produces the evidence</w:t>
            </w:r>
          </w:p>
        </w:tc>
        <w:tc>
          <w:tcPr>
            <w:tcW w:type="dxa" w:w="346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Two-phase structure; Phase A makes no pricing claim</w:t>
            </w:r>
          </w:p>
        </w:tc>
      </w:tr>
      <w:tr>
        <w:trPr>
          <w:cantSplit/>
        </w:trPr>
        <w:tc>
          <w:tcPr>
            <w:tcW w:type="dxa" w:w="21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Regulatory approval</w:t>
            </w:r>
          </w:p>
        </w:tc>
        <w:tc>
          <w:tcPr>
            <w:tcW w:type="dxa" w:w="346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A new rating factor needs IRDAI file-and-use backing that doesn't exist yet</w:t>
            </w:r>
          </w:p>
        </w:tc>
        <w:tc>
          <w:tcPr>
            <w:tcW w:type="dxa" w:w="346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Deferred to Phase B by design, once there's something to actually file</w:t>
            </w:r>
          </w:p>
        </w:tc>
      </w:tr>
      <w:tr>
        <w:trPr>
          <w:cantSplit/>
        </w:trPr>
        <w:tc>
          <w:tcPr>
            <w:tcW w:type="dxa" w:w="2100"/>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Data availability</w:t>
            </w:r>
          </w:p>
        </w:tc>
        <w:tc>
          <w:tcPr>
            <w:tcW w:type="dxa" w:w="346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OEM/service-network data access isn't guaranteed and isn't a purely technical problem</w:t>
            </w:r>
          </w:p>
        </w:tc>
        <w:tc>
          <w:tcPr>
            <w:tcW w:type="dxa" w:w="3463"/>
            <w:tcBorders>
              <w:top w:val="single" w:color="C9D2DC" w:sz="4"/>
              <w:left w:val="single" w:color="C9D2DC" w:sz="4"/>
              <w:bottom w:val="single" w:color="C9D2DC" w:sz="4"/>
              <w:right w:val="single" w:color="C9D2DC" w:sz="4"/>
            </w:tcBorders>
            <w:tcMar>
              <w:top w:type="dxa" w:w="90"/>
              <w:left w:type="dxa" w:w="130"/>
              <w:bottom w:type="dxa" w:w="90"/>
              <w:right w:type="dxa" w:w="130"/>
            </w:tcMar>
            <w:vAlign w:val="center"/>
          </w:tcPr>
          <w:p>
            <w:pPr>
              <w:jc w:val="left"/>
            </w:pPr>
            <w:r>
              <w:rPr>
                <w:rFonts w:ascii="Calibri" w:cs="Calibri" w:eastAsia="Calibri" w:hAnsi="Calibri"/>
                <w:b w:val="false"/>
                <w:bCs w:val="false"/>
                <w:color w:val="1F2937"/>
                <w:sz w:val="19"/>
                <w:szCs w:val="19"/>
              </w:rPr>
              <w:t xml:space="preserve">Synthetic data for the MVP; self-upload as a permanent fallback, not just a bridge</w:t>
            </w:r>
          </w:p>
        </w:tc>
      </w:tr>
    </w:tbl>
    <w:p>
      <w:pPr>
        <w:spacing w:after="90"/>
      </w:pPr>
    </w:p>
    <w:p>
      <w:pPr>
        <w:pStyle w:val="Heading1"/>
        <w:pBdr>
          <w:bottom w:val="single" w:color="1B3A5C" w:sz="6" w:space="4"/>
        </w:pBdr>
        <w:spacing w:after="140" w:before="280"/>
      </w:pPr>
      <w:r>
        <w:rPr>
          <w:rFonts w:ascii="Calibri" w:cs="Calibri" w:eastAsia="Calibri" w:hAnsi="Calibri"/>
          <w:b/>
          <w:bCs/>
          <w:color w:val="112438"/>
          <w:sz w:val="30"/>
          <w:szCs w:val="30"/>
        </w:rPr>
        <w:t xml:space="preserve">7. Adoption Potential</w:t>
      </w:r>
    </w:p>
    <w:p>
      <w:pPr>
        <w:spacing w:after="160" w:line="288"/>
      </w:pPr>
      <w:r>
        <w:rPr>
          <w:rFonts w:ascii="Calibri" w:cs="Calibri" w:eastAsia="Calibri" w:hAnsi="Calibri"/>
          <w:b w:val="false"/>
          <w:bCs w:val="false"/>
          <w:i w:val="false"/>
          <w:iCs w:val="false"/>
          <w:color w:val="1F2937"/>
          <w:sz w:val="21"/>
          <w:szCs w:val="21"/>
        </w:rPr>
        <w:t xml:space="preserve">Phase A is the easier sell, and it's the one actually being built right now. An insurer can offer a vehicle-health score and renewal recommendation as a customer-engagement and loss-prevention feature — precisely what the review called out as the concept's strength — without touching pricing, without an actuarial sign-off, and without an IRDAI filing. That lowers the adoption bar from “approve a new rating factor” to “add a value-added feature,” which is a materially easier internal approval inside an insurer, and a materially easier pitch to Guidewire itself. Phase B only gets pitched once Phase A has generated the evidence to make that a real conversation rather than a hopeful one.</w:t>
      </w:r>
    </w:p>
    <w:p>
      <w:pPr>
        <w:spacing w:after="90"/>
      </w:pPr>
    </w:p>
    <w:p>
      <w:pPr>
        <w:pStyle w:val="Heading1"/>
        <w:pBdr>
          <w:bottom w:val="single" w:color="1B3A5C" w:sz="6" w:space="4"/>
        </w:pBdr>
        <w:spacing w:after="140" w:before="280"/>
      </w:pPr>
      <w:r>
        <w:rPr>
          <w:rFonts w:ascii="Calibri" w:cs="Calibri" w:eastAsia="Calibri" w:hAnsi="Calibri"/>
          <w:b/>
          <w:bCs/>
          <w:color w:val="112438"/>
          <w:sz w:val="30"/>
          <w:szCs w:val="30"/>
        </w:rPr>
        <w:t xml:space="preserve">References</w:t>
      </w:r>
    </w:p>
    <w:p>
      <w:pPr>
        <w:pStyle w:val="ListParagraph"/>
        <w:numPr>
          <w:ilvl w:val="0"/>
          <w:numId w:val="2"/>
        </w:numPr>
        <w:spacing w:after="90" w:line="276"/>
      </w:pPr>
      <w:r>
        <w:rPr>
          <w:rFonts w:ascii="Calibri" w:cs="Calibri" w:eastAsia="Calibri" w:hAnsi="Calibri"/>
          <w:color w:val="1F2937"/>
          <w:sz w:val="21"/>
          <w:szCs w:val="21"/>
        </w:rPr>
        <w:t xml:space="preserve">Guidewire review feedback — September 2026 (internal)</w:t>
      </w:r>
    </w:p>
    <w:p>
      <w:pPr>
        <w:pStyle w:val="ListParagraph"/>
        <w:numPr>
          <w:ilvl w:val="0"/>
          <w:numId w:val="2"/>
        </w:numPr>
        <w:spacing w:after="90" w:line="276"/>
      </w:pPr>
      <w:r>
        <w:rPr>
          <w:rFonts w:ascii="Calibri" w:cs="Calibri" w:eastAsia="Calibri" w:hAnsi="Calibri"/>
          <w:color w:val="1F2937"/>
          <w:sz w:val="21"/>
          <w:szCs w:val="21"/>
        </w:rPr>
        <w:t xml:space="preserve">Verisk — Auto History Score</w:t>
      </w:r>
    </w:p>
    <w:p>
      <w:pPr>
        <w:pStyle w:val="ListParagraph"/>
        <w:numPr>
          <w:ilvl w:val="0"/>
          <w:numId w:val="2"/>
        </w:numPr>
        <w:spacing w:after="90" w:line="276"/>
      </w:pPr>
      <w:r>
        <w:rPr>
          <w:rFonts w:ascii="Calibri" w:cs="Calibri" w:eastAsia="Calibri" w:hAnsi="Calibri"/>
          <w:color w:val="1F2937"/>
          <w:sz w:val="21"/>
          <w:szCs w:val="21"/>
        </w:rPr>
        <w:t xml:space="preserve">Guidewire — PartnerConnect, Insurtech Vanguard, and “Ready for Guidewire” program announcements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2026-10-06T05:07:37.559Z</dcterms:created>
  <dcterms:modified xsi:type="dcterms:W3CDTF">2026-10-06T05:07:37.566Z</dcterms:modified>
</cp:coreProperties>
</file>

<file path=docProps/custom.xml><?xml version="1.0" encoding="utf-8"?>
<Properties xmlns="http://schemas.openxmlformats.org/officeDocument/2006/custom-properties" xmlns:vt="http://schemas.openxmlformats.org/officeDocument/2006/docPropsVTypes"/>
</file>