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rPr>
          <w:rFonts w:ascii="Calibri" w:cs="Calibri" w:eastAsia="Calibri" w:hAnsi="Calibri"/>
          <w:b/>
          <w:bCs/>
          <w:color w:val="112438"/>
          <w:sz w:val="40"/>
          <w:szCs w:val="40"/>
        </w:rPr>
        <w:t xml:space="preserve">Vehicle Health Scoring Specification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2E6F8E"/>
          <w:sz w:val="23"/>
          <w:szCs w:val="23"/>
        </w:rPr>
        <w:t xml:space="preserve">A Deterministic, Transparent Model — Phase A of Pay As You Maintain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Honors Program in Financial Technology — Capstone Project</w:t>
      </w:r>
    </w:p>
    <w:p>
      <w:pPr>
        <w:pBdr>
          <w:bottom w:val="single" w:color="1B3A5C" w:sz="10" w:space="8"/>
        </w:pBdr>
        <w:spacing w:after="280"/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September 2026</w:t>
      </w: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1. Purpose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specification defines a fully deterministic, rule-based Vehicle Health Score and Renewal Recommendation, built on synthetic inputs, per Guidewire's review feedback. It makes no pricing claim — it is the Phase A deliverable described in the companion Revised Ideation &amp; Feasibility Assessment. Every parameter, weight, threshold, and missing-data rule is defined explicitly below, and every rule is exercised by at least one of the four required test scenarios in Section 5: normal, poor-maintenance, conflicting-data, and incomplete-data.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1"/>
          <w:szCs w:val="21"/>
        </w:rPr>
        <w:t xml:space="preserve">This formalizes logic already running in the project's risk-scoring-engine service, rather than specifying something disconnected from what's actually built.</w:t>
      </w:r>
    </w:p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2. Inputs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4726"/>
      </w:tblGrid>
      <w:tr>
        <w:trPr>
          <w:tblHeader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Days since last service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Integer (days)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Latest event in the maintenance service timeline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Has brake-related service within 24 months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service_type field across the timeline (brake_service or full_service)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Open recall status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Boolean, or ‘unavailable’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Structured recall-status record (never inferred from free text)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Vehicle age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Integer (months)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Registration date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Record source per event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oem_api | self_upload | inspection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source field on each maintenance event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Overlapping-period records</w:t>
            </w:r>
          </w:p>
        </w:tc>
        <w:tc>
          <w:tcPr>
            <w:tcW w:type="dxa" w:w="21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Set of events, if any</w:t>
            </w:r>
          </w:p>
        </w:tc>
        <w:tc>
          <w:tcPr>
            <w:tcW w:type="dxa" w:w="47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Two or more events whose service dates and odometer readings are inconsistent for an overlapping window</w:t>
            </w:r>
          </w:p>
        </w:tc>
      </w:tr>
    </w:tbl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3. Scoring Model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Vehicle Health Score = 100 − (Service Recency Penalty + Recall Penalty + Safety-Critical Gap Penalty), then capped by the Source Confidence Rule. Floor of 0. Each component is independently computed, logged, and returned as a contributing_factor — nothing is folded into a single opaque number.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3.1 Service Recency Penalty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26"/>
      </w:tblGrid>
      <w:tr>
        <w:trPr>
          <w:tblHeader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 since last service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0–365 (on schedule)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366–545 (1–6 months overdue)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546–730 (6–12 months overdue)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&gt; 730 (more than 12 months overdue)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40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3.2 Recall Penalty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26"/>
      </w:tblGrid>
      <w:tr>
        <w:trPr>
          <w:tblHeader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 status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open recall (structured, confirmed)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Open recall on file (structured, confirmed)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Unavailable — see missing-data rule in Section 4</w:t>
            </w:r>
          </w:p>
        </w:tc>
        <w:tc>
          <w:tcPr>
            <w:tcW w:type="dxa" w:w="44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Excluded from the calculation, not assumed 0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3.3 Safety-Critical Service Gap Penalty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Scoped to brake-related service specifically — the single maintenance category with the most direct, well-established link to stopping distance and collision risk.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126"/>
      </w:tblGrid>
      <w:tr>
        <w:trPr>
          <w:tblHeader/>
        </w:trPr>
        <w:tc>
          <w:tcPr>
            <w:tcW w:type="dxa" w:w="5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Penalty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Brake-related service on record within 24 months</w:t>
            </w:r>
          </w:p>
        </w:tc>
        <w:tc>
          <w:tcPr>
            <w:tcW w:type="dxa" w:w="31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brake-related service, but vehicle is under 24 months old</w:t>
            </w:r>
          </w:p>
        </w:tc>
        <w:tc>
          <w:tcPr>
            <w:tcW w:type="dxa" w:w="31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— too new to expect one yet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brake-related service, vehicle 24+ months old</w:t>
            </w:r>
          </w:p>
        </w:tc>
        <w:tc>
          <w:tcPr>
            <w:tcW w:type="dxa" w:w="31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</w:tr>
    </w:tbl>
    <w:p>
      <w:pPr>
        <w:spacing w:after="9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3.4 Source Confidence Rule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exists specifically to address the tampering risk named in Guidewire's review: self-reported data is the easiest channel to fabricate, so it can never alone produce a fully trusted score.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If every service record contributing to the score is self_upload, with no oem_api or inspection-sourced record present: cap the final score at 85, and label the output “Unverified — based on self-reported records only.”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If at least one oem_api or inspection-sourced record exists: no cap. The score is fully computed from the penalties above.</w:t>
      </w:r>
    </w:p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4. Missing-Data and Conflicting-Data Rules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13"/>
        <w:gridCol w:w="2913"/>
      </w:tblGrid>
      <w:tr>
        <w:trPr>
          <w:tblHeader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3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Zero service events on file</w:t>
            </w:r>
          </w:p>
        </w:tc>
        <w:tc>
          <w:tcPr>
            <w:tcW w:type="dxa" w:w="33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Do not compute a numeric score — there is nothing to score</w:t>
            </w:r>
          </w:p>
        </w:tc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Status: “Insufficient Data.” Recommendation: schedule a baseline inspection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Recall status unavailable (source error, not ‘no recall’)</w:t>
            </w:r>
          </w:p>
        </w:tc>
        <w:tc>
          <w:tcPr>
            <w:tcW w:type="dxa" w:w="33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Exclude the Recall Penalty from the calculation entirely; never default it to 0</w:t>
            </w:r>
          </w:p>
        </w:tc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Score computed from the remaining components, flagged “recall status unverified at time of scoring”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Only self-upload records exist</w:t>
            </w:r>
          </w:p>
        </w:tc>
        <w:tc>
          <w:tcPr>
            <w:tcW w:type="dxa" w:w="33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Apply the Source Confidence cap (Section 3.4)</w:t>
            </w:r>
          </w:p>
        </w:tc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Score capped at 85, labelled unverified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Two records conflict for an overlapping period (inconsistent odometer readings)</w:t>
            </w:r>
          </w:p>
        </w:tc>
        <w:tc>
          <w:tcPr>
            <w:tcW w:type="dxa" w:w="33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higher-confidence source (oem_api or inspection) is used for scoring; the conflict is logged, not silently dropped</w:t>
            </w:r>
          </w:p>
        </w:tc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Score computed from the trusted record; output includes a standalone “conflicting records detected” flag naming both records</w:t>
            </w:r>
          </w:p>
        </w:tc>
      </w:tr>
    </w:tbl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5. Renewal Recommendation Logic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626"/>
      </w:tblGrid>
      <w:tr>
        <w:trPr>
          <w:tblHeader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band / status</w:t>
            </w:r>
          </w:p>
        </w:tc>
        <w:tc>
          <w:tcPr>
            <w:tcW w:type="dxa" w:w="6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 text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≥ 85, full confidence</w:t>
            </w:r>
          </w:p>
        </w:tc>
        <w:tc>
          <w:tcPr>
            <w:tcW w:type="dxa" w:w="6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“Eligible for standard renewal — vehicle health profile is strong.”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60–84</w:t>
            </w:r>
          </w:p>
        </w:tc>
        <w:tc>
          <w:tcPr>
            <w:tcW w:type="dxa" w:w="6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“Eligible for renewal — consider scheduling [specific overdue/missing item] before your next service interval.”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&lt; 60</w:t>
            </w:r>
          </w:p>
        </w:tc>
        <w:tc>
          <w:tcPr>
            <w:tcW w:type="dxa" w:w="6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“Eligible for renewal — vehicle health profile shows meaningful gaps. We recommend [specific items] before renewal.” Never phrased as a denial — Phase A is advisory only.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Insufficient Data</w:t>
            </w:r>
          </w:p>
        </w:tc>
        <w:tc>
          <w:tcPr>
            <w:tcW w:type="dxa" w:w="6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“Schedule a baseline inspection to begin health tracking for this vehicle.”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Open recall present (any score)</w:t>
            </w:r>
          </w:p>
        </w:tc>
        <w:tc>
          <w:tcPr>
            <w:tcW w:type="dxa" w:w="66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Always surfaces as a standalone line, separate from the score band: “Open recall on file — schedule service immediately.”</w:t>
            </w:r>
          </w:p>
        </w:tc>
      </w:tr>
    </w:tbl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6. Test Scenarios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four scenarios Guidewire's feedback specifically asked for, each fully traced from input to output.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6F8E"/>
          <w:sz w:val="22"/>
          <w:szCs w:val="22"/>
        </w:rPr>
        <w:t xml:space="preserve">6.1 Normal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26"/>
      </w:tblGrid>
      <w:tr>
        <w:trPr>
          <w:tblHeader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Vehicle age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 years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Last service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200 days ago, oem_api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Brake-related service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Yes, 10 months ago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Recall status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open recall (structured, confirmed)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Trace → Output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Recency 0 + Recall 0 + Safety-gap 0 = 100. Full confidence (oem_api present). Score: 100. “Eligible for standard renewal — vehicle health profile is strong.”</w:t>
            </w:r>
          </w:p>
        </w:tc>
      </w:tr>
    </w:tbl>
    <w:p>
      <w:pPr>
        <w:spacing w:after="9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6F8E"/>
          <w:sz w:val="22"/>
          <w:szCs w:val="22"/>
        </w:rPr>
        <w:t xml:space="preserve">6.2 Poor Maintenance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26"/>
      </w:tblGrid>
      <w:tr>
        <w:trPr>
          <w:tblHeader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Vehicle age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 years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Last service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800 days ago, oem_api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Brake-related service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None on record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Recall status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Open recall (structured, confirmed)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Trace → Output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Recency 40 + Recall 30 + Safety-gap 15 = 100 − 85 = 15. Full confidence — the low score is earned, not a confidence artifact. Score: 15. “Eligible for renewal — vehicle health profile shows meaningful gaps. We recommend a full service and brake inspection before renewal.” Plus standalone flag: “Open recall on file — schedule service immediately.”</w:t>
            </w:r>
          </w:p>
        </w:tc>
      </w:tr>
    </w:tbl>
    <w:p>
      <w:pPr>
        <w:spacing w:after="9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6F8E"/>
          <w:sz w:val="22"/>
          <w:szCs w:val="22"/>
        </w:rPr>
        <w:t xml:space="preserve">6.3 Conflicting Data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26"/>
      </w:tblGrid>
      <w:tr>
        <w:trPr>
          <w:tblHeader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Record A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oem_api: full service 100 days ago, odometer 42,000 km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Record B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self_upload: full service 95 days ago, odometer 38,500 km (a 3,500 km gap in 5 days — physically inconsistent)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Recall status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 open recall (structured, confirmed)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Trace → Output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Conflicting-data rule triggers. OEM record used for scoring: Recency 0 + Recall 0 + Safety-gap 0 = 100. Score: 100, but flagged: “Conflicting service records detected — OEM-sourced record used for scoring; a self-reported record for an overlapping period was not used and has been flagged for manual review.”</w:t>
            </w:r>
          </w:p>
        </w:tc>
      </w:tr>
    </w:tbl>
    <w:p>
      <w:pPr>
        <w:spacing w:after="9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6F8E"/>
          <w:sz w:val="22"/>
          <w:szCs w:val="22"/>
        </w:rPr>
        <w:t xml:space="preserve">6.4 Incomplete Data</w:t>
      </w:r>
    </w:p>
    <w:p>
      <w:pPr>
        <w:spacing w:after="160" w:line="288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1"/>
          <w:szCs w:val="21"/>
        </w:rPr>
        <w:t xml:space="preserve">Two sub-cases, since “incomplete” covers both total and partial absence of data.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26"/>
      </w:tblGrid>
      <w:tr>
        <w:trPr>
          <w:tblHeader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(6.4a — total absence)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history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Zero events — newly registered policyholder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Trace → Output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Missing-data rule triggers. No numeric score produced. Status: “Insufficient Data.” Recommendation: “Schedule a baseline inspection to begin health tracking for this vehicle.”</w:t>
            </w:r>
          </w:p>
        </w:tc>
      </w:tr>
    </w:tbl>
    <w:p>
      <w:pPr>
        <w:spacing w:after="6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26"/>
      </w:tblGrid>
      <w:tr>
        <w:trPr>
          <w:tblHeader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(6.4b — partial absence)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Service history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One self_upload record: tyre rotation, 60 days ago. No oem_api or inspection record.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Recall status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Unavailable — source timed out at scoring time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Trace → Output</w:t>
            </w:r>
          </w:p>
        </w:tc>
        <w:tc>
          <w:tcPr>
            <w:tcW w:type="dxa" w:w="602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AF0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Recency 0 (60 days, on schedule) + Recall excluded (not assumed 0) + Safety-gap 15 (no brake service, vehicle over 24 months old) = 85. Source Confidence cap also applies at 85 (self-upload only) — the two happen to coincide here; the cap is a ceiling, not always the binding constraint. Score: 85, labelled “Unverified — based on self-reported records only; recall status not verified at time of scoring.” Recommendation: “Eligible for renewal — health profile looks reasonable based on self-reported data only. We recommend confirming your next service through our partner network for a fully verified score.”</w:t>
            </w:r>
          </w:p>
        </w:tc>
      </w:tr>
    </w:tbl>
    <w:p>
      <w:pPr>
        <w:spacing w:after="90"/>
      </w:pPr>
    </w:p>
    <w:p>
      <w:pPr>
        <w:pStyle w:val="Heading1"/>
        <w:pBdr>
          <w:bottom w:val="single" w:color="1B3A5C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12438"/>
          <w:sz w:val="30"/>
          <w:szCs w:val="30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Guidewire review feedback — September 2026 (internal)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Pay As You Maintain — System &amp; Architecture Design (risk-scoring-engine module, existing scoring logic)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Pay As You Maintain — Revised Ideation &amp; Feasibility Assessment (companion document)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2026-10-06T05:08:41.091Z</dcterms:created>
  <dcterms:modified xsi:type="dcterms:W3CDTF">2026-10-06T05:08:41.091Z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