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Key Risk Indicator Monitoring Procedure</w:t>
      </w:r>
    </w:p>
    <w:p>
      <w:pPr>
        <w:spacing w:after="800"/>
        <w:jc w:val="center"/>
      </w:pPr>
      <w:r>
        <w:rPr>
          <w:rFonts w:ascii="Calibri" w:cs="Calibri" w:eastAsia="Calibri" w:hAnsi="Calibri"/>
          <w:color w:val="666666"/>
          <w:sz w:val="24"/>
          <w:szCs w:val="24"/>
        </w:rPr>
        <w:t xml:space="preserve">ISO 31000:2018 Clause 6.6</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RM-PRO-003</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[Risk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[Chief Risk Officer]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This procedure defines the process for establishing, monitoring, and responding to Key Risk Indicators (KRIs) in accordance with ISO 31000:2018 Clause 6.6 (Monitoring and Review). KRIs provide early warning signals that risk levels are changing and may require management action.</w:t>
      </w:r>
    </w:p>
    <w:p>
      <w:pPr>
        <w:pStyle w:val="Heading1"/>
        <w:pBdr>
          <w:bottom w:val="single" w:color="E8EFF7" w:sz="1"/>
        </w:pBdr>
        <w:spacing w:before="400" w:after="100"/>
      </w:pPr>
      <w:r>
        <w:rPr>
          <w:rFonts w:ascii="Calibri" w:cs="Calibri" w:eastAsia="Calibri" w:hAnsi="Calibri"/>
          <w:b/>
          <w:bCs/>
          <w:color w:val="1B3A5C"/>
          <w:sz w:val="28"/>
          <w:szCs w:val="28"/>
        </w:rPr>
        <w:t xml:space="preserve">2. KRI Definition</w:t>
      </w:r>
    </w:p>
    <w:p>
      <w:pPr>
        <w:spacing w:after="120" w:line="300"/>
      </w:pPr>
      <w:r>
        <w:rPr>
          <w:rFonts w:ascii="Calibri" w:cs="Calibri" w:eastAsia="Calibri" w:hAnsi="Calibri"/>
          <w:color w:val="333333"/>
          <w:sz w:val="21"/>
          <w:szCs w:val="21"/>
        </w:rPr>
        <w:t xml:space="preserve">A Key Risk Indicator is a quantitative metric that provides an early signal of increasing risk exposure. Effective KRIs are:</w:t>
      </w:r>
    </w:p>
    <w:p>
      <w:pPr>
        <w:pStyle w:val="ListParagraph"/>
        <w:numPr>
          <w:ilvl w:val="0"/>
          <w:numId w:val="1"/>
        </w:numPr>
        <w:spacing w:after="60" w:line="280"/>
      </w:pPr>
      <w:r>
        <w:rPr>
          <w:rFonts w:ascii="Calibri" w:cs="Calibri" w:eastAsia="Calibri" w:hAnsi="Calibri"/>
          <w:color w:val="333333"/>
          <w:sz w:val="21"/>
          <w:szCs w:val="21"/>
        </w:rPr>
        <w:t xml:space="preserve">Measurable — quantifiable with a clear unit of measurement</w:t>
      </w:r>
    </w:p>
    <w:p>
      <w:pPr>
        <w:pStyle w:val="ListParagraph"/>
        <w:numPr>
          <w:ilvl w:val="0"/>
          <w:numId w:val="1"/>
        </w:numPr>
        <w:spacing w:after="60" w:line="280"/>
      </w:pPr>
      <w:r>
        <w:rPr>
          <w:rFonts w:ascii="Calibri" w:cs="Calibri" w:eastAsia="Calibri" w:hAnsi="Calibri"/>
          <w:color w:val="333333"/>
          <w:sz w:val="21"/>
          <w:szCs w:val="21"/>
        </w:rPr>
        <w:t xml:space="preserve">Relevant — directly linked to a specific risk</w:t>
      </w:r>
    </w:p>
    <w:p>
      <w:pPr>
        <w:pStyle w:val="ListParagraph"/>
        <w:numPr>
          <w:ilvl w:val="0"/>
          <w:numId w:val="1"/>
        </w:numPr>
        <w:spacing w:after="60" w:line="280"/>
      </w:pPr>
      <w:r>
        <w:rPr>
          <w:rFonts w:ascii="Calibri" w:cs="Calibri" w:eastAsia="Calibri" w:hAnsi="Calibri"/>
          <w:color w:val="333333"/>
          <w:sz w:val="21"/>
          <w:szCs w:val="21"/>
        </w:rPr>
        <w:t xml:space="preserve">Timely — capable of providing early warning before risk materialises</w:t>
      </w:r>
    </w:p>
    <w:p>
      <w:pPr>
        <w:pStyle w:val="ListParagraph"/>
        <w:numPr>
          <w:ilvl w:val="0"/>
          <w:numId w:val="1"/>
        </w:numPr>
        <w:spacing w:after="60" w:line="280"/>
      </w:pPr>
      <w:r>
        <w:rPr>
          <w:rFonts w:ascii="Calibri" w:cs="Calibri" w:eastAsia="Calibri" w:hAnsi="Calibri"/>
          <w:color w:val="333333"/>
          <w:sz w:val="21"/>
          <w:szCs w:val="21"/>
        </w:rPr>
        <w:t xml:space="preserve">Comparable — consistent measurement over time to identify trends</w:t>
      </w:r>
    </w:p>
    <w:p>
      <w:pPr>
        <w:pStyle w:val="ListParagraph"/>
        <w:numPr>
          <w:ilvl w:val="0"/>
          <w:numId w:val="1"/>
        </w:numPr>
        <w:spacing w:after="60" w:line="280"/>
      </w:pPr>
      <w:r>
        <w:rPr>
          <w:rFonts w:ascii="Calibri" w:cs="Calibri" w:eastAsia="Calibri" w:hAnsi="Calibri"/>
          <w:color w:val="333333"/>
          <w:sz w:val="21"/>
          <w:szCs w:val="21"/>
        </w:rPr>
        <w:t xml:space="preserve">Actionable — threshold breaches trigger specific management responses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Status</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Colour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Meaning</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Action Required</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GREEN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Green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KRI value is within acceptable range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Continue routine monitoring</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AMBER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Amber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KRI value has breached the warning threshold</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Investigate trend; consider preventive action; notify risk owner</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RED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Red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KRI value has breached the critical threshold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Immediate investigation; implement corrective action; escalate to Risk Committee</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4. KRI Measurement Process</w:t>
      </w:r>
    </w:p>
    <w:p>
      <w:pPr>
        <w:spacing w:after="120" w:line="300"/>
      </w:pPr>
      <w:r>
        <w:rPr>
          <w:rFonts w:ascii="Calibri" w:cs="Calibri" w:eastAsia="Calibri" w:hAnsi="Calibri"/>
          <w:color w:val="333333"/>
          <w:sz w:val="21"/>
          <w:szCs w:val="21"/>
        </w:rPr>
        <w:t xml:space="preserve">The following process shall be followed for each KRI measurement cycle:</w:t>
      </w:r>
    </w:p>
    <w:p>
      <w:pPr>
        <w:pStyle w:val="Heading2"/>
        <w:spacing w:before="200" w:after="100"/>
      </w:pPr>
      <w:r>
        <w:rPr>
          <w:rFonts w:ascii="Calibri" w:cs="Calibri" w:eastAsia="Calibri" w:hAnsi="Calibri"/>
          <w:b/>
          <w:bCs/>
          <w:color w:val="1B3A5C"/>
          <w:sz w:val="24"/>
          <w:szCs w:val="24"/>
        </w:rPr>
        <w:t xml:space="preserve">4.1 Data Collection</w:t>
      </w:r>
    </w:p>
    <w:p>
      <w:pPr>
        <w:spacing w:after="120" w:line="300"/>
      </w:pPr>
      <w:r>
        <w:rPr>
          <w:rFonts w:ascii="Calibri" w:cs="Calibri" w:eastAsia="Calibri" w:hAnsi="Calibri"/>
          <w:color w:val="333333"/>
          <w:sz w:val="21"/>
          <w:szCs w:val="21"/>
        </w:rPr>
        <w:t xml:space="preserve">KRI data shall be collected at the defined frequency (daily, weekly, monthly, quarterly, or annually) from reliable and verified sources. Automated data collection through the Nexara IMS platform is preferred where available.</w:t>
      </w:r>
    </w:p>
    <w:p>
      <w:pPr>
        <w:pStyle w:val="Heading2"/>
        <w:spacing w:before="200" w:after="100"/>
      </w:pPr>
      <w:r>
        <w:rPr>
          <w:rFonts w:ascii="Calibri" w:cs="Calibri" w:eastAsia="Calibri" w:hAnsi="Calibri"/>
          <w:b/>
          <w:bCs/>
          <w:color w:val="1B3A5C"/>
          <w:sz w:val="24"/>
          <w:szCs w:val="24"/>
        </w:rPr>
        <w:t xml:space="preserve">4.2 Recording</w:t>
      </w:r>
    </w:p>
    <w:p>
      <w:pPr>
        <w:spacing w:after="120" w:line="300"/>
      </w:pPr>
      <w:r>
        <w:rPr>
          <w:rFonts w:ascii="Calibri" w:cs="Calibri" w:eastAsia="Calibri" w:hAnsi="Calibri"/>
          <w:color w:val="333333"/>
          <w:sz w:val="21"/>
          <w:szCs w:val="21"/>
        </w:rPr>
        <w:t xml:space="preserve">Each reading shall be recorded with the following information:</w:t>
      </w:r>
    </w:p>
    <w:p>
      <w:pPr>
        <w:pStyle w:val="ListParagraph"/>
        <w:numPr>
          <w:ilvl w:val="0"/>
          <w:numId w:val="1"/>
        </w:numPr>
        <w:spacing w:after="60" w:line="280"/>
      </w:pPr>
      <w:r>
        <w:rPr>
          <w:rFonts w:ascii="Calibri" w:cs="Calibri" w:eastAsia="Calibri" w:hAnsi="Calibri"/>
          <w:color w:val="333333"/>
          <w:sz w:val="21"/>
          <w:szCs w:val="21"/>
        </w:rPr>
        <w:t xml:space="preserve">KRI name and associated risk</w:t>
      </w:r>
    </w:p>
    <w:p>
      <w:pPr>
        <w:pStyle w:val="ListParagraph"/>
        <w:numPr>
          <w:ilvl w:val="0"/>
          <w:numId w:val="1"/>
        </w:numPr>
        <w:spacing w:after="60" w:line="280"/>
      </w:pPr>
      <w:r>
        <w:rPr>
          <w:rFonts w:ascii="Calibri" w:cs="Calibri" w:eastAsia="Calibri" w:hAnsi="Calibri"/>
          <w:color w:val="333333"/>
          <w:sz w:val="21"/>
          <w:szCs w:val="21"/>
        </w:rPr>
        <w:t xml:space="preserve">Measurement date and value</w:t>
      </w:r>
    </w:p>
    <w:p>
      <w:pPr>
        <w:pStyle w:val="ListParagraph"/>
        <w:numPr>
          <w:ilvl w:val="0"/>
          <w:numId w:val="1"/>
        </w:numPr>
        <w:spacing w:after="60" w:line="280"/>
      </w:pPr>
      <w:r>
        <w:rPr>
          <w:rFonts w:ascii="Calibri" w:cs="Calibri" w:eastAsia="Calibri" w:hAnsi="Calibri"/>
          <w:color w:val="333333"/>
          <w:sz w:val="21"/>
          <w:szCs w:val="21"/>
        </w:rPr>
        <w:t xml:space="preserve">Unit of measurement</w:t>
      </w:r>
    </w:p>
    <w:p>
      <w:pPr>
        <w:pStyle w:val="ListParagraph"/>
        <w:numPr>
          <w:ilvl w:val="0"/>
          <w:numId w:val="1"/>
        </w:numPr>
        <w:spacing w:after="60" w:line="280"/>
      </w:pPr>
      <w:r>
        <w:rPr>
          <w:rFonts w:ascii="Calibri" w:cs="Calibri" w:eastAsia="Calibri" w:hAnsi="Calibri"/>
          <w:color w:val="333333"/>
          <w:sz w:val="21"/>
          <w:szCs w:val="21"/>
        </w:rPr>
        <w:t xml:space="preserve">Automatic status evaluation (GREEN/AMBER/RED)</w:t>
      </w:r>
    </w:p>
    <w:p>
      <w:pPr>
        <w:pStyle w:val="ListParagraph"/>
        <w:numPr>
          <w:ilvl w:val="0"/>
          <w:numId w:val="1"/>
        </w:numPr>
        <w:spacing w:after="60" w:line="280"/>
      </w:pPr>
      <w:r>
        <w:rPr>
          <w:rFonts w:ascii="Calibri" w:cs="Calibri" w:eastAsia="Calibri" w:hAnsi="Calibri"/>
          <w:color w:val="333333"/>
          <w:sz w:val="21"/>
          <w:szCs w:val="21"/>
        </w:rPr>
        <w:t xml:space="preserve">Notes or context for the reading</w:t>
      </w:r>
    </w:p>
    <w:p>
      <w:pPr>
        <w:pStyle w:val="ListParagraph"/>
        <w:numPr>
          <w:ilvl w:val="0"/>
          <w:numId w:val="1"/>
        </w:numPr>
        <w:spacing w:after="60" w:line="280"/>
      </w:pPr>
      <w:r>
        <w:rPr>
          <w:rFonts w:ascii="Calibri" w:cs="Calibri" w:eastAsia="Calibri" w:hAnsi="Calibri"/>
          <w:color w:val="333333"/>
          <w:sz w:val="21"/>
          <w:szCs w:val="21"/>
        </w:rPr>
        <w:t xml:space="preserve">Recorded by (user)</w:t>
      </w:r>
    </w:p>
    <w:p>
      <w:pPr>
        <w:pStyle w:val="Heading2"/>
        <w:spacing w:before="200" w:after="100"/>
      </w:pPr>
      <w:r>
        <w:rPr>
          <w:rFonts w:ascii="Calibri" w:cs="Calibri" w:eastAsia="Calibri" w:hAnsi="Calibri"/>
          <w:b/>
          <w:bCs/>
          <w:color w:val="1B3A5C"/>
          <w:sz w:val="24"/>
          <w:szCs w:val="24"/>
        </w:rPr>
        <w:t xml:space="preserve">4.3 Trend Analysis</w:t>
      </w:r>
    </w:p>
    <w:p>
      <w:pPr>
        <w:spacing w:after="120" w:line="300"/>
      </w:pPr>
      <w:r>
        <w:rPr>
          <w:rFonts w:ascii="Calibri" w:cs="Calibri" w:eastAsia="Calibri" w:hAnsi="Calibri"/>
          <w:color w:val="333333"/>
          <w:sz w:val="21"/>
          <w:szCs w:val="21"/>
        </w:rPr>
        <w:t xml:space="preserve">KRI readings shall be analysed for trends over time. Where a KRI shows a deteriorating trend (even within GREEN thresholds), the risk owner shall be notified and the risk reassessed.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Trigger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Action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Timeframe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AMBER breach (first)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Risk owner notified; review scheduled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Within 5 working days</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AMBER breach (consecutive)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Risk Committee informed; treatment plan reviewed</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Within 10 working days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RED breach</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Immediate escalation to CRO; emergency risk review</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Within 24 hours</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RED breach (sustained)</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Board notification; corrective action mandatory</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Within 48 hours</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6. KRI Review</w:t>
      </w:r>
    </w:p>
    <w:p>
      <w:pPr>
        <w:spacing w:after="120" w:line="300"/>
      </w:pPr>
      <w:r>
        <w:rPr>
          <w:rFonts w:ascii="Calibri" w:cs="Calibri" w:eastAsia="Calibri" w:hAnsi="Calibri"/>
          <w:color w:val="333333"/>
          <w:sz w:val="21"/>
          <w:szCs w:val="21"/>
        </w:rPr>
        <w:t xml:space="preserve">The KRI portfolio shall be reviewed quarterly to ensure:</w:t>
      </w:r>
    </w:p>
    <w:p>
      <w:pPr>
        <w:spacing w:after="120" w:line="300"/>
      </w:pPr>
      <w:r>
        <w:rPr>
          <w:rFonts w:ascii="Calibri" w:cs="Calibri" w:eastAsia="Calibri" w:hAnsi="Calibri"/>
          <w:color w:val="333333"/>
          <w:sz w:val="21"/>
          <w:szCs w:val="21"/>
        </w:rPr>
        <w:t xml:space="preserve">a) KRIs remain relevant to current risks
b) Thresholds are appropriately calibrated
c) Measurement frequencies are adequate
d) New risks have appropriate KRIs assigned</w:t>
      </w:r>
    </w:p>
    <w:p>
      <w:pPr>
        <w:spacing w:after="120" w:line="300"/>
      </w:pPr>
      <w:r>
        <w:rPr>
          <w:rFonts w:ascii="Calibri" w:cs="Calibri" w:eastAsia="Calibri" w:hAnsi="Calibri"/>
          <w:color w:val="333333"/>
          <w:sz w:val="21"/>
          <w:szCs w:val="21"/>
        </w:rPr>
        <w:t xml:space="preserve">The Risk Committee shall approve all changes to KRI definitions and thresholds.</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RM-PRO-003  |  v1.0  |  ISO 31000:2018 Clause 6.6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2026-02-16T21:26:47.520Z</dcterms:created>
  <dcterms:modified xsi:type="dcterms:W3CDTF">2026-02-16T21:26:47.521Z</dcterms:modified>
</cp:coreProperties>
</file>

<file path=docProps/custom.xml><?xml version="1.0" encoding="utf-8"?>
<Properties xmlns="http://schemas.openxmlformats.org/officeDocument/2006/custom-properties" xmlns:vt="http://schemas.openxmlformats.org/officeDocument/2006/docPropsVTypes"/>
</file>